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color w:val="111722"/>
          <w:sz w:val="52"/>
        </w:rPr>
        <w:t>VYTAL HOUSE</w:t>
      </w:r>
    </w:p>
    <w:p>
      <w:pPr>
        <w:jc w:val="center"/>
      </w:pPr>
      <w:r>
        <w:rPr>
          <w:rFonts w:ascii="Aptos" w:hAnsi="Aptos"/>
          <w:b/>
          <w:color w:val="C8A46B"/>
          <w:sz w:val="26"/>
        </w:rPr>
        <w:t>Recharge. Recover. Evolve.</w:t>
      </w:r>
    </w:p>
    <w:p>
      <w:pPr>
        <w:jc w:val="center"/>
      </w:pPr>
      <w:r>
        <w:rPr>
          <w:rFonts w:ascii="Aptos" w:hAnsi="Aptos"/>
          <w:b w:val="0"/>
          <w:color w:val="5C626E"/>
          <w:sz w:val="19"/>
        </w:rPr>
        <w:t>Full Manifest Dossier | Local Draft Package | June 21, 2026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Executive Control Summary</w:t>
      </w:r>
    </w:p>
    <w:p>
      <w:pPr>
        <w:spacing w:after="120" w:line="264" w:lineRule="auto"/>
      </w:pPr>
      <w:r>
        <w:rPr>
          <w:rFonts w:ascii="Aptos" w:hAnsi="Aptos"/>
          <w:b w:val="0"/>
          <w:color w:val="22262E"/>
          <w:sz w:val="21"/>
        </w:rPr>
        <w:t>VYTAL House is structured as an isolated recovery and wellness club package with source-backed planning, governed data records, local-first artifact outputs, and explicit gates for legal, medical, financial, vendor, payment, Notion, and Figma actions.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Brand is locked to VYTAL House, the tagline Recharge. Recover. Evolve., and owners Chauncey Gardner and Kathy Ha.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Target flagship location is 6000 Merriweather Drive, Columbia, MD 21044, pending lease, zoning, utilities, permits, and professional review.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The software MVP uses Next.js, React, Firebase-ready rules, seeded records, and safe prototype forms.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The command portal adds local role login for owner, admin, clinical, operations, marketing, vendor, and member review.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The operating package includes Notion importables, Figma tokens, vendor outreach, social calendar, source manifest, and delivery manifest.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Firebase and Google Cloud readiness are manifested as draft configuration and document-vault plans only; no live resources are created.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The quality gate requires a score of at least 97/100 before runtime handoff.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Membership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987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Monthly Price</w:t>
            </w:r>
          </w:p>
        </w:tc>
        <w:tc>
          <w:tcPr>
            <w:tcW w:type="dxa" w:w="1987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Projected Members</w:t>
            </w:r>
          </w:p>
        </w:tc>
        <w:tc>
          <w:tcPr>
            <w:tcW w:type="dxa" w:w="1987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Projected MRR</w:t>
            </w:r>
          </w:p>
        </w:tc>
        <w:tc>
          <w:tcPr>
            <w:tcW w:type="dxa" w:w="1987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Core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$299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150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$44,850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Entry recovery access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Elite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$599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100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$59,900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Unlimited recovery and IV/NAD+ credit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Black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$1,499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50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$74,950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Concierge wellness and diagnostics</w:t>
            </w:r>
          </w:p>
        </w:tc>
      </w:tr>
    </w:tbl>
    <w:p/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Service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Target Location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6000 Merriweather Drive, Columbia, MD 21044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Lease and zoning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Hyperbaric Oxygen Therapy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Anchor clinical recovery modality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Clinical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IV and NAD+ Lounge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High-touch lounge treatment flow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Medical director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Red Light Therapy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Photobiomodulation and recovery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Protocol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Cryotherapy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Cold exposure recovery lane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Safety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Sauna and Cold Plunge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Thermal contrast suite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Float and Dry Float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Restoration and stress relief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 review</w:t>
            </w:r>
          </w:p>
        </w:tc>
      </w:tr>
    </w:tbl>
    <w:p/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Separation of Duties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 Own</w:t>
            </w:r>
          </w:p>
        </w:tc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Cannot Do Without Approval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Final launch gates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Bypass professional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Platform and quality evidence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Collect protected health data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clinical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Medical protocols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Publish legal or financial claims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Vendors and booking readiness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Send vendor messages without approval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marketing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Content and social calendar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Make clinical claims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vendor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 quote responses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Access member data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member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 booking interest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Access admin surfaces</w:t>
            </w:r>
          </w:p>
        </w:tc>
      </w:tr>
    </w:tbl>
    <w:p/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7-Field Schema</w:t>
      </w:r>
    </w:p>
    <w:p>
      <w:pPr>
        <w:spacing w:after="120" w:line="264" w:lineRule="auto"/>
      </w:pPr>
      <w:r>
        <w:rPr>
          <w:rFonts w:ascii="Aptos" w:hAnsi="Aptos"/>
          <w:b w:val="0"/>
          <w:color w:val="22262E"/>
          <w:sz w:val="21"/>
        </w:rPr>
        <w:t>Every database-like object must include id, entity, type, name, status, owner, and updatedAt. Domain payloads live under metadata.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Source and Compliance Notes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Vendor and modality claims are anchored to source URLs listed in docs/01_SOURCE_MANIFEST.md.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Project-ready goals, Firebase readiness, Google Cloud file vault planning, and Desktop/Downloads import evidence are tracked in docs/21 through docs/23.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Maryland entity formation details require SDAT/Business Express review before filing.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HHS HIPAA guidance is treated as a privacy reference; no PHI is collected in the prototype.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The CAD package is conceptual only and requires architect/engineer conversion before permits.</w:t>
      </w:r>
    </w:p>
    <w:p>
      <w:pPr>
        <w:sectPr>
          <w:footerReference w:type="default" r:id="rId9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C626E"/>
        <w:sz w:val="16"/>
      </w:rPr>
      <w:t>VYTAL House | Draft package for professional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