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2E2BA" w14:textId="0F0AF9D5" w:rsidR="00392C30" w:rsidRDefault="00392C30" w:rsidP="00AF7B34">
      <w:pPr>
        <w:spacing w:line="240" w:lineRule="auto"/>
        <w:jc w:val="both"/>
      </w:pPr>
      <w:r w:rsidRPr="00392C30">
        <w:t xml:space="preserve">All </w:t>
      </w:r>
      <w:r w:rsidR="003F438A">
        <w:t xml:space="preserve">supporting </w:t>
      </w:r>
      <w:r w:rsidRPr="00392C30">
        <w:t xml:space="preserve">tables </w:t>
      </w:r>
      <w:r>
        <w:t xml:space="preserve">are in a machine-readable Excel </w:t>
      </w:r>
      <w:r w:rsidR="003F438A">
        <w:t>Open XML spread</w:t>
      </w:r>
      <w:r>
        <w:t xml:space="preserve">sheet format. </w:t>
      </w:r>
    </w:p>
    <w:p w14:paraId="549AB415" w14:textId="14EE70A3" w:rsidR="00392C30" w:rsidRDefault="00392C30" w:rsidP="00AF7B34">
      <w:pPr>
        <w:spacing w:line="240" w:lineRule="auto"/>
        <w:jc w:val="both"/>
        <w:rPr>
          <w:b/>
          <w:bCs/>
        </w:rPr>
      </w:pPr>
      <w:r w:rsidRPr="00392C30">
        <w:rPr>
          <w:b/>
          <w:bCs/>
        </w:rPr>
        <w:t>Table S1. Chemical space explored in the study.</w:t>
      </w:r>
    </w:p>
    <w:p w14:paraId="490450F7" w14:textId="115ACE78" w:rsidR="00744299" w:rsidRDefault="00392C30" w:rsidP="00AF7B34">
      <w:pPr>
        <w:spacing w:line="240" w:lineRule="auto"/>
        <w:jc w:val="both"/>
      </w:pPr>
      <w:r>
        <w:t xml:space="preserve">Columns A-D give the code names, SMILES structural formulas, full names, and IUPAC proper names for all molecules in our chemical space. Column E gives the aggregate state (liquid or solid) at 25 </w:t>
      </w:r>
      <w:r>
        <w:rPr>
          <w:vertAlign w:val="superscript"/>
        </w:rPr>
        <w:t>o</w:t>
      </w:r>
      <w:r>
        <w:t>C, column F gives the chemical class (</w:t>
      </w:r>
      <w:r w:rsidR="003F438A">
        <w:t>which</w:t>
      </w:r>
      <w:r>
        <w:t xml:space="preserve"> can be ambiguous in a multifunctional molecule), and density in </w:t>
      </w:r>
      <w:r w:rsidR="00FB37BA">
        <w:t>k</w:t>
      </w:r>
      <w:r>
        <w:t>g/m</w:t>
      </w:r>
      <w:r>
        <w:rPr>
          <w:vertAlign w:val="superscript"/>
        </w:rPr>
        <w:t>3</w:t>
      </w:r>
      <w:r>
        <w:t xml:space="preserve"> (for liquids only), when known. Column H indicates whether the molecule has been measured (1 for measured, 0 otherwise). Column I indicates to which </w:t>
      </w:r>
      <w:r w:rsidR="003F438A">
        <w:t xml:space="preserve">initial K-means </w:t>
      </w:r>
      <w:r>
        <w:t>cluster the molecule belongs when the chemical space is grouped into eight classes using the Euclidean distances between the molecular descriptor vectors. Columns J-M give the projections of these vectors on the four main principal components</w:t>
      </w:r>
      <w:r w:rsidR="003F438A">
        <w:t xml:space="preserve"> (eigenvectors of covariance matrix with the largest eigenvalues)</w:t>
      </w:r>
      <w:r>
        <w:t xml:space="preserve"> labeled PC1 to PC4. Column N gives the CAS numbers, column O gives their purity, and </w:t>
      </w:r>
      <w:r w:rsidR="00744299">
        <w:t xml:space="preserve">column P gives the source for molecules we studied. </w:t>
      </w:r>
      <w:r w:rsidR="00744299" w:rsidRPr="00AF7B34">
        <w:t>In column O, [1] is</w:t>
      </w:r>
      <w:r w:rsidR="00AF7B34">
        <w:t xml:space="preserve"> for reagents that were dried over molecular sieves,</w:t>
      </w:r>
      <w:r w:rsidR="00744299" w:rsidRPr="00AF7B34">
        <w:t xml:space="preserve"> [2] is</w:t>
      </w:r>
      <w:r w:rsidR="00AF7B34">
        <w:t xml:space="preserve"> </w:t>
      </w:r>
      <w:proofErr w:type="gramStart"/>
      <w:r w:rsidR="00AF7B34">
        <w:t xml:space="preserve">for </w:t>
      </w:r>
      <w:r w:rsidR="00744299" w:rsidRPr="00AF7B34">
        <w:t xml:space="preserve"> </w:t>
      </w:r>
      <w:proofErr w:type="spellStart"/>
      <w:r w:rsidR="00AF7B34" w:rsidRPr="00AF7B34">
        <w:t>HiPerSolv</w:t>
      </w:r>
      <w:proofErr w:type="spellEnd"/>
      <w:proofErr w:type="gramEnd"/>
      <w:r w:rsidR="00AF7B34" w:rsidRPr="00AF7B34">
        <w:t xml:space="preserve"> CHROMANORM for HPLC</w:t>
      </w:r>
      <w:r w:rsidR="00AF7B34">
        <w:t xml:space="preserve"> grade chemicals</w:t>
      </w:r>
      <w:r w:rsidR="00127A04">
        <w:t>.</w:t>
      </w:r>
      <w:r w:rsidR="00AF7B34">
        <w:t xml:space="preserve"> </w:t>
      </w:r>
    </w:p>
    <w:p w14:paraId="142AE69D" w14:textId="74C46E3A" w:rsidR="00744299" w:rsidRDefault="00744299" w:rsidP="00AF7B34">
      <w:pPr>
        <w:spacing w:line="240" w:lineRule="auto"/>
        <w:jc w:val="both"/>
        <w:rPr>
          <w:b/>
          <w:bCs/>
        </w:rPr>
      </w:pPr>
      <w:r w:rsidRPr="00FB37BA">
        <w:rPr>
          <w:b/>
          <w:bCs/>
        </w:rPr>
        <w:t xml:space="preserve">Table S2. </w:t>
      </w:r>
      <w:r w:rsidR="00FB37BA" w:rsidRPr="00FB37BA">
        <w:rPr>
          <w:b/>
          <w:bCs/>
        </w:rPr>
        <w:t>Summary of step-1 kinetic data.</w:t>
      </w:r>
    </w:p>
    <w:p w14:paraId="6EBD850A" w14:textId="5E469F69" w:rsidR="00FB37BA" w:rsidRDefault="00FB37BA" w:rsidP="00AF7B34">
      <w:pPr>
        <w:spacing w:line="240" w:lineRule="auto"/>
        <w:jc w:val="both"/>
        <w:rPr>
          <w:rFonts w:eastAsiaTheme="minorEastAsia"/>
        </w:rPr>
      </w:pPr>
      <w:r>
        <w:t xml:space="preserve">Columns A-F give the code names, SMILES structural formulas, full </w:t>
      </w:r>
      <w:r w:rsidR="003F438A">
        <w:t xml:space="preserve">chemical </w:t>
      </w:r>
      <w:r>
        <w:t>names, class, molecular weights (g/mol) and densities (kg/m</w:t>
      </w:r>
      <w:r>
        <w:rPr>
          <w:vertAlign w:val="superscript"/>
        </w:rPr>
        <w:t>3</w:t>
      </w:r>
      <w:r>
        <w:t>) for reagents. Column G gives the molarity of MPT-BF</w:t>
      </w:r>
      <w:r>
        <w:rPr>
          <w:vertAlign w:val="subscript"/>
        </w:rPr>
        <w:t>4</w:t>
      </w:r>
      <w:r>
        <w:t xml:space="preserve"> in MeCN solutions. Column H gives the estimate of second-order reaction rate constants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for the corresponding reagents with the time expressed in the units of hours and the concentrations expressed in the units of stock solution (by default, </w:t>
      </w:r>
      <w:r w:rsidR="003F438A">
        <w:rPr>
          <w:rFonts w:eastAsiaTheme="minorEastAsia"/>
        </w:rPr>
        <w:t>100 vol%</w:t>
      </w:r>
      <w:r>
        <w:rPr>
          <w:rFonts w:eastAsiaTheme="minorEastAsia"/>
        </w:rPr>
        <w:t xml:space="preserve"> reagent). Column I indicates the relative error in the measurement (the standard deviation in the measured slope of the median reaction rate vs. reagent concentration). Column J indicates stock dilution factors for solid reagents. Column K gives the </w:t>
      </w:r>
      <w:proofErr w:type="gramStart"/>
      <w:r>
        <w:rPr>
          <w:rFonts w:eastAsiaTheme="minorEastAsia"/>
        </w:rPr>
        <w:t>molarity</w:t>
      </w:r>
      <w:proofErr w:type="gramEnd"/>
      <w:r>
        <w:rPr>
          <w:rFonts w:eastAsiaTheme="minorEastAsia"/>
        </w:rPr>
        <w:t xml:space="preserve"> of stock reagents. Column L converts the data in column H to the units of h</w:t>
      </w:r>
      <w:r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 xml:space="preserve"> M</w:t>
      </w:r>
      <w:r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 xml:space="preserve"> assuming ideality of the reaction mixtures. Column M gives the logarithms of these reaction constants. The last column (N) logs </w:t>
      </w:r>
      <w:r w:rsidR="00AB260A">
        <w:rPr>
          <w:rFonts w:eastAsiaTheme="minorEastAsia"/>
        </w:rPr>
        <w:t>additions</w:t>
      </w:r>
      <w:r w:rsidR="00AF7B34">
        <w:rPr>
          <w:rFonts w:eastAsiaTheme="minorEastAsia"/>
        </w:rPr>
        <w:t xml:space="preserve"> to SQL database </w:t>
      </w:r>
      <w:r w:rsidR="00AB260A">
        <w:rPr>
          <w:rFonts w:eastAsiaTheme="minorEastAsia"/>
        </w:rPr>
        <w:t>keeping</w:t>
      </w:r>
      <w:r w:rsidR="00AF7B34">
        <w:rPr>
          <w:rFonts w:eastAsiaTheme="minorEastAsia"/>
        </w:rPr>
        <w:t xml:space="preserve"> track of step-1 iterations. After each iteration, machine learning models are used to select reagents for the next iteration. The table does not include long-lived reagents for which rate constants could not be determined in dilute MeCN solutions</w:t>
      </w:r>
      <w:r w:rsidR="00AB260A">
        <w:rPr>
          <w:rFonts w:eastAsiaTheme="minorEastAsia"/>
        </w:rPr>
        <w:t xml:space="preserve"> over the observation period</w:t>
      </w:r>
      <w:r w:rsidR="00AF7B34">
        <w:rPr>
          <w:rFonts w:eastAsiaTheme="minorEastAsia"/>
        </w:rPr>
        <w:t xml:space="preserve">. These chemicals were used in step-2 trials, see </w:t>
      </w:r>
      <w:r w:rsidR="00AF7B34" w:rsidRPr="00AF7B34">
        <w:rPr>
          <w:rFonts w:eastAsiaTheme="minorEastAsia"/>
          <w:highlight w:val="yellow"/>
        </w:rPr>
        <w:t>Table S3.</w:t>
      </w:r>
    </w:p>
    <w:p w14:paraId="756353C9" w14:textId="1D466EFD" w:rsidR="00127A04" w:rsidRDefault="00127A04" w:rsidP="00AF7B34">
      <w:pPr>
        <w:spacing w:line="240" w:lineRule="auto"/>
        <w:jc w:val="both"/>
        <w:rPr>
          <w:rFonts w:eastAsiaTheme="minorEastAsia"/>
          <w:b/>
          <w:bCs/>
        </w:rPr>
      </w:pPr>
      <w:r w:rsidRPr="00127A04">
        <w:rPr>
          <w:rFonts w:eastAsiaTheme="minorEastAsia"/>
          <w:b/>
          <w:bCs/>
        </w:rPr>
        <w:t xml:space="preserve">Table S3. Summary of step-2 kinetic data. </w:t>
      </w:r>
    </w:p>
    <w:p w14:paraId="7859CD99" w14:textId="59C33769" w:rsidR="00C75BD4" w:rsidRDefault="00127A04" w:rsidP="00AF7B34">
      <w:pPr>
        <w:spacing w:line="240" w:lineRule="auto"/>
        <w:jc w:val="both"/>
      </w:pPr>
      <w:r>
        <w:t xml:space="preserve">Columns A-E give the code name of the solvent, </w:t>
      </w:r>
      <w:r w:rsidR="00AB260A">
        <w:t>S</w:t>
      </w:r>
      <w:r>
        <w:t>MILES structural formulas</w:t>
      </w:r>
      <w:r w:rsidR="00AB260A">
        <w:t xml:space="preserve">, </w:t>
      </w:r>
      <w:r>
        <w:t xml:space="preserve">full </w:t>
      </w:r>
      <w:r w:rsidR="00AB260A">
        <w:t xml:space="preserve">chemical </w:t>
      </w:r>
      <w:r>
        <w:t>names and chemical class</w:t>
      </w:r>
      <w:r w:rsidR="00AB260A">
        <w:t>es</w:t>
      </w:r>
      <w:r>
        <w:t xml:space="preserve"> of the solvent molecules. </w:t>
      </w:r>
      <w:r w:rsidR="002B2585">
        <w:t>All solutions initially contained 1 mM MPT-BF</w:t>
      </w:r>
      <w:r w:rsidR="002B2585" w:rsidRPr="002B2585">
        <w:rPr>
          <w:vertAlign w:val="subscript"/>
        </w:rPr>
        <w:t>4</w:t>
      </w:r>
      <w:r w:rsidR="002B2585">
        <w:t xml:space="preserve">. </w:t>
      </w:r>
      <w:r>
        <w:t xml:space="preserve">Column E indicates when the molecule was </w:t>
      </w:r>
      <w:r w:rsidR="00AB260A">
        <w:t>labeled</w:t>
      </w:r>
      <w:r>
        <w:t xml:space="preserve"> “slow” in step-1 trials. Column F indicates the stability rank</w:t>
      </w:r>
      <w:r w:rsidR="00AB260A">
        <w:t xml:space="preserve">. </w:t>
      </w:r>
      <w:proofErr w:type="gramStart"/>
      <w:r w:rsidR="00A07E0B">
        <w:t xml:space="preserve">Rank </w:t>
      </w:r>
      <w:r>
        <w:t xml:space="preserve"> </w:t>
      </w:r>
      <w:r w:rsidR="00A07E0B">
        <w:t>0</w:t>
      </w:r>
      <w:proofErr w:type="gramEnd"/>
      <w:r w:rsidR="00A07E0B">
        <w:t xml:space="preserve"> molecules have projected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1/2 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A07E0B">
        <w:t>lifetimes &lt; 100 h. Rank 1-6 molecules, have the projected lifetimes &gt; 1500 h, &gt; 1000 h, &gt; 500 h, &gt; 300 h, &gt; 200 h, and &gt; 100 h</w:t>
      </w:r>
      <w:r w:rsidR="00AB260A">
        <w:t xml:space="preserve">, </w:t>
      </w:r>
      <w:r w:rsidR="00A07E0B">
        <w:t xml:space="preserve">respectively (columns G to L). The solvents are grouped according to these ranks in the descending order of stability in step-2 trials. Column M indicates the diluent </w:t>
      </w:r>
      <w:r w:rsidR="004D13B6">
        <w:t>(FEC or MeCN</w:t>
      </w:r>
      <w:proofErr w:type="gramStart"/>
      <w:r w:rsidR="004D13B6">
        <w:t>)</w:t>
      </w:r>
      <w:proofErr w:type="gramEnd"/>
      <w:r w:rsidR="004D13B6">
        <w:t xml:space="preserve"> </w:t>
      </w:r>
      <w:r w:rsidR="00A07E0B">
        <w:t>and column N gives the volume (for liquids) or weight (for solids) fractions of the reagent/solvent. Columns O and P give the projected lifetimes in step-2 and step-3 trials, and column Q gives the plate codes. By default, the step-3 trials are for PYR</w:t>
      </w:r>
      <w:r w:rsidR="00A07E0B" w:rsidRPr="004D13B6">
        <w:rPr>
          <w:vertAlign w:val="subscript"/>
        </w:rPr>
        <w:t>14</w:t>
      </w:r>
      <w:r w:rsidR="00A07E0B">
        <w:t xml:space="preserve"> TFSI ionic liquid diluent </w:t>
      </w:r>
      <w:r w:rsidR="004D13B6">
        <w:t xml:space="preserve">at 50 </w:t>
      </w:r>
      <w:proofErr w:type="gramStart"/>
      <w:r w:rsidR="004D13B6">
        <w:t>vol%.</w:t>
      </w:r>
      <w:proofErr w:type="gramEnd"/>
      <w:r w:rsidR="004D13B6">
        <w:t xml:space="preserve"> Columns T to U indicate trial progress. The molecules suggested by logistic </w:t>
      </w:r>
      <w:r w:rsidR="009D2472">
        <w:t xml:space="preserve">regression </w:t>
      </w:r>
      <w:r w:rsidR="00AB260A">
        <w:t xml:space="preserve">(LGR) </w:t>
      </w:r>
      <w:r w:rsidR="009D2472">
        <w:t xml:space="preserve">and random forest (rf) models in </w:t>
      </w:r>
      <w:r w:rsidR="009D2472" w:rsidRPr="009D2472">
        <w:rPr>
          <w:highlight w:val="yellow"/>
        </w:rPr>
        <w:t>Section S3.6</w:t>
      </w:r>
      <w:r w:rsidR="009D2472">
        <w:t xml:space="preserve"> are indicated accordingly. </w:t>
      </w:r>
      <w:r w:rsidR="00C75BD4">
        <w:t xml:space="preserve">“Linear” in column R refers to </w:t>
      </w:r>
      <w:r w:rsidR="00AB260A">
        <w:t xml:space="preserve">the </w:t>
      </w:r>
      <w:r w:rsidR="00C75BD4">
        <w:t xml:space="preserve">molecules with extrapolated rate constants below that for water, and the asterisk refers to </w:t>
      </w:r>
      <w:r w:rsidR="00AB260A">
        <w:t xml:space="preserve">the </w:t>
      </w:r>
      <w:r w:rsidR="00C75BD4">
        <w:t xml:space="preserve">molecules introduced </w:t>
      </w:r>
      <w:r w:rsidR="00C75BD4">
        <w:lastRenderedPageBreak/>
        <w:t xml:space="preserve">from step-1 trials. In column S, “pos” </w:t>
      </w:r>
      <w:r w:rsidR="00AB260A">
        <w:t>refers</w:t>
      </w:r>
      <w:r w:rsidR="00C75BD4">
        <w:t xml:space="preserve"> to LGR predictions of &gt; 100 h molecules. In columns T and U, </w:t>
      </w:r>
      <w:r w:rsidR="00AB260A">
        <w:t xml:space="preserve">these </w:t>
      </w:r>
      <w:r w:rsidR="00C75BD4">
        <w:t xml:space="preserve">predictions were of &gt; 1000 h molecules for LGR, </w:t>
      </w:r>
      <w:r w:rsidR="00AB260A">
        <w:t xml:space="preserve">whereas </w:t>
      </w:r>
      <w:r w:rsidR="00C75BD4">
        <w:t>rf refers to the predictions of the rf model that were not threshold</w:t>
      </w:r>
      <w:r w:rsidR="00AB260A">
        <w:t xml:space="preserve"> categorized</w:t>
      </w:r>
      <w:r w:rsidR="00C75BD4">
        <w:t xml:space="preserve"> (</w:t>
      </w:r>
      <w:r w:rsidR="00AB260A">
        <w:t xml:space="preserve">so all </w:t>
      </w:r>
      <w:r w:rsidR="00C75BD4">
        <w:t>the top ranked candidates</w:t>
      </w:r>
      <w:r w:rsidR="00AB260A">
        <w:t xml:space="preserve"> were tested</w:t>
      </w:r>
      <w:r w:rsidR="00C75BD4">
        <w:t>).</w:t>
      </w:r>
      <w:r w:rsidR="00AB260A">
        <w:t xml:space="preserve"> </w:t>
      </w:r>
      <w:r w:rsidR="00C75BD4">
        <w:t>The lower part of the table included molecules that were too slow for step-1 but too fast for step-2. There are also molecules that were tested in step-2 (some of them predicted through LGR and rf models) that</w:t>
      </w:r>
      <w:proofErr w:type="gramStart"/>
      <w:r w:rsidR="00C75BD4">
        <w:t>, actually, reacted</w:t>
      </w:r>
      <w:proofErr w:type="gramEnd"/>
      <w:r w:rsidR="00C75BD4">
        <w:t xml:space="preserve"> rapidly, contrary to the model predictions.   </w:t>
      </w:r>
    </w:p>
    <w:p w14:paraId="48C483BC" w14:textId="24574897" w:rsidR="00C75BD4" w:rsidRDefault="00C75BD4" w:rsidP="00C75BD4">
      <w:pPr>
        <w:spacing w:line="240" w:lineRule="auto"/>
        <w:jc w:val="both"/>
        <w:rPr>
          <w:rFonts w:eastAsiaTheme="minorEastAsia"/>
          <w:b/>
          <w:bCs/>
        </w:rPr>
      </w:pPr>
      <w:r w:rsidRPr="00127A04">
        <w:rPr>
          <w:rFonts w:eastAsiaTheme="minorEastAsia"/>
          <w:b/>
          <w:bCs/>
        </w:rPr>
        <w:t>Table S</w:t>
      </w:r>
      <w:r w:rsidR="002D55B5">
        <w:rPr>
          <w:rFonts w:eastAsiaTheme="minorEastAsia"/>
          <w:b/>
          <w:bCs/>
        </w:rPr>
        <w:t>4</w:t>
      </w:r>
      <w:r w:rsidRPr="00127A04">
        <w:rPr>
          <w:rFonts w:eastAsiaTheme="minorEastAsia"/>
          <w:b/>
          <w:bCs/>
        </w:rPr>
        <w:t>. Summary of step-</w:t>
      </w:r>
      <w:r>
        <w:rPr>
          <w:rFonts w:eastAsiaTheme="minorEastAsia"/>
          <w:b/>
          <w:bCs/>
        </w:rPr>
        <w:t>3</w:t>
      </w:r>
      <w:r w:rsidRPr="00127A04">
        <w:rPr>
          <w:rFonts w:eastAsiaTheme="minorEastAsia"/>
          <w:b/>
          <w:bCs/>
        </w:rPr>
        <w:t xml:space="preserve"> kinetic data. </w:t>
      </w:r>
    </w:p>
    <w:p w14:paraId="38059226" w14:textId="685A33C7" w:rsidR="00C75BD4" w:rsidRDefault="00C75BD4" w:rsidP="00AF7B34">
      <w:pPr>
        <w:spacing w:line="240" w:lineRule="auto"/>
        <w:jc w:val="both"/>
        <w:rPr>
          <w:rFonts w:eastAsiaTheme="minorEastAsia"/>
        </w:rPr>
      </w:pPr>
      <w:r>
        <w:t xml:space="preserve">The table </w:t>
      </w:r>
      <w:r w:rsidR="002B2585">
        <w:t>summarizes data from the mixtures of solvent molecules and ionic liquid PYR</w:t>
      </w:r>
      <w:r w:rsidR="002B2585" w:rsidRPr="002B2585">
        <w:rPr>
          <w:vertAlign w:val="subscript"/>
        </w:rPr>
        <w:t>14</w:t>
      </w:r>
      <w:r w:rsidR="002B2585">
        <w:t xml:space="preserve"> TFSI that served as a co-solvent and electrolyte, typically at 50 </w:t>
      </w:r>
      <w:proofErr w:type="gramStart"/>
      <w:r w:rsidR="002B2585">
        <w:t>vol%.</w:t>
      </w:r>
      <w:proofErr w:type="gramEnd"/>
      <w:r w:rsidR="002B2585">
        <w:t xml:space="preserve"> All solutions initially contained 1 mM MPT-BF</w:t>
      </w:r>
      <w:r w:rsidR="002B2585" w:rsidRPr="002B2585">
        <w:rPr>
          <w:vertAlign w:val="subscript"/>
        </w:rPr>
        <w:t>4</w:t>
      </w:r>
      <w:r w:rsidR="002B2585">
        <w:t xml:space="preserve">. Columns A-D give the name, SMILES structural formulas, full </w:t>
      </w:r>
      <w:r w:rsidR="00AB260A">
        <w:t xml:space="preserve">chemical </w:t>
      </w:r>
      <w:r w:rsidR="002B2585">
        <w:t>names, and chemical classes of the solvent</w:t>
      </w:r>
      <w:r w:rsidR="00AB260A">
        <w:t xml:space="preserve"> molecules</w:t>
      </w:r>
      <w:r w:rsidR="002B2585">
        <w:t xml:space="preserve">. Column E gives the composition of the </w:t>
      </w:r>
      <w:r w:rsidR="009C38FD">
        <w:t>solutions</w:t>
      </w:r>
      <w:r w:rsidR="00AB260A">
        <w:t>,</w:t>
      </w:r>
      <w:r w:rsidR="009C38FD">
        <w:t xml:space="preserve"> and column F gives the </w:t>
      </w:r>
      <w:r w:rsidR="00AB260A">
        <w:t xml:space="preserve">linearly </w:t>
      </w:r>
      <w:r w:rsidR="009C38FD">
        <w:t xml:space="preserve">projected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1/2</m:t>
            </m:r>
          </m:sub>
        </m:sSub>
      </m:oMath>
      <w:r w:rsidR="009C38FD">
        <w:rPr>
          <w:rFonts w:eastAsiaTheme="minorEastAsia"/>
        </w:rPr>
        <w:t xml:space="preserve"> times in hours. Column G specifies the plate code, column H indicates the fit order (single vs double exponential)</w:t>
      </w:r>
      <w:r w:rsidR="00EA636A">
        <w:rPr>
          <w:rFonts w:eastAsiaTheme="minorEastAsia"/>
        </w:rPr>
        <w:t xml:space="preserve">, </w:t>
      </w:r>
      <w:r w:rsidR="009C38FD">
        <w:rPr>
          <w:rFonts w:eastAsiaTheme="minorEastAsia"/>
        </w:rPr>
        <w:t xml:space="preserve">column I indicates </w:t>
      </w:r>
      <w:r w:rsidR="00EA636A">
        <w:rPr>
          <w:rFonts w:eastAsiaTheme="minorEastAsia"/>
        </w:rPr>
        <w:t xml:space="preserve">the time frame of the observation, and column J shows the survival rate at the end of the </w:t>
      </w:r>
      <w:r w:rsidR="00AB260A">
        <w:rPr>
          <w:rFonts w:eastAsiaTheme="minorEastAsia"/>
        </w:rPr>
        <w:t>observation period</w:t>
      </w:r>
      <w:r w:rsidR="00EA636A">
        <w:rPr>
          <w:rFonts w:eastAsiaTheme="minorEastAsia"/>
        </w:rPr>
        <w:t xml:space="preserve">. Columns K to V give </w:t>
      </w:r>
      <w:r w:rsidR="003F438A">
        <w:rPr>
          <w:rFonts w:eastAsiaTheme="minorEastAsia"/>
        </w:rPr>
        <w:t xml:space="preserve">the data reduction tuples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ν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ν</m:t>
                </m:r>
              </m:sub>
              <m:sup/>
            </m:sSubSup>
            <m:r>
              <w:rPr>
                <w:rFonts w:ascii="Cambria Math" w:eastAsiaTheme="minorEastAsia" w:hAnsi="Cambria Math"/>
              </w:rPr>
              <m:t>,δ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ν</m:t>
                </m:r>
              </m:sub>
              <m:sup/>
            </m:sSubSup>
          </m:e>
        </m:d>
      </m:oMath>
      <w:r w:rsidR="003F438A">
        <w:rPr>
          <w:rFonts w:eastAsiaTheme="minorEastAsia"/>
        </w:rPr>
        <w:t xml:space="preserve"> defined in </w:t>
      </w:r>
      <w:r w:rsidR="003F438A" w:rsidRPr="003F438A">
        <w:rPr>
          <w:rFonts w:eastAsiaTheme="minorEastAsia"/>
          <w:highlight w:val="yellow"/>
        </w:rPr>
        <w:t>Section S3.3.</w:t>
      </w:r>
      <w:r w:rsidR="003F438A">
        <w:rPr>
          <w:rFonts w:eastAsiaTheme="minorEastAsia"/>
        </w:rPr>
        <w:t xml:space="preserve"> The column names correspond to the survival rates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ν</m:t>
            </m:r>
          </m:sub>
        </m:sSub>
      </m:oMath>
      <w:r w:rsidR="003F438A">
        <w:rPr>
          <w:rFonts w:eastAsiaTheme="minorEastAsia"/>
        </w:rPr>
        <w:t xml:space="preserve">, and the rows give the interpolated or extrapolated times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ν</m:t>
            </m:r>
          </m:sub>
          <m:sup/>
        </m:sSubSup>
      </m:oMath>
      <w:r w:rsidR="003F438A">
        <w:rPr>
          <w:rFonts w:eastAsiaTheme="minorEastAsia"/>
        </w:rPr>
        <w:t xml:space="preserve"> and uncertainties </w:t>
      </w:r>
      <m:oMath>
        <m:r>
          <w:rPr>
            <w:rFonts w:ascii="Cambria Math" w:eastAsiaTheme="minorEastAsia" w:hAnsi="Cambria Math"/>
          </w:rPr>
          <m:t>δ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ν</m:t>
            </m:r>
          </m:sub>
          <m:sup/>
        </m:sSubSup>
      </m:oMath>
      <w:r w:rsidR="003F438A">
        <w:rPr>
          <w:rFonts w:eastAsiaTheme="minorEastAsia"/>
        </w:rPr>
        <w:t xml:space="preserve"> </w:t>
      </w:r>
      <w:r w:rsidR="00AB260A">
        <w:rPr>
          <w:rFonts w:eastAsiaTheme="minorEastAsia"/>
        </w:rPr>
        <w:t xml:space="preserve">in the extrapolated times (where appropriate) </w:t>
      </w:r>
      <w:r w:rsidR="003F438A">
        <w:rPr>
          <w:rFonts w:eastAsiaTheme="minorEastAsia"/>
        </w:rPr>
        <w:t xml:space="preserve">corresponding to the attainment of the fraction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ν</m:t>
            </m:r>
          </m:sub>
        </m:sSub>
      </m:oMath>
      <w:r w:rsidR="003F438A">
        <w:rPr>
          <w:rFonts w:eastAsiaTheme="minorEastAsia"/>
        </w:rPr>
        <w:t xml:space="preserve"> of the surviving radical cation. The extrapolated values are indicated with the asterisks.</w:t>
      </w:r>
    </w:p>
    <w:sectPr w:rsidR="00C75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1C1425"/>
    <w:multiLevelType w:val="hybridMultilevel"/>
    <w:tmpl w:val="1EF2A3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938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A61"/>
    <w:rsid w:val="00127A04"/>
    <w:rsid w:val="001F02B6"/>
    <w:rsid w:val="002B2585"/>
    <w:rsid w:val="002D55B5"/>
    <w:rsid w:val="00371F91"/>
    <w:rsid w:val="00392C30"/>
    <w:rsid w:val="003F438A"/>
    <w:rsid w:val="004D13B6"/>
    <w:rsid w:val="005A39F3"/>
    <w:rsid w:val="005F7292"/>
    <w:rsid w:val="00625CBD"/>
    <w:rsid w:val="007120B8"/>
    <w:rsid w:val="00744299"/>
    <w:rsid w:val="0077310B"/>
    <w:rsid w:val="00781665"/>
    <w:rsid w:val="00826658"/>
    <w:rsid w:val="008A1A61"/>
    <w:rsid w:val="009C38FD"/>
    <w:rsid w:val="009D2472"/>
    <w:rsid w:val="00A07E0B"/>
    <w:rsid w:val="00AB260A"/>
    <w:rsid w:val="00AB66E9"/>
    <w:rsid w:val="00AF549E"/>
    <w:rsid w:val="00AF5B73"/>
    <w:rsid w:val="00AF7B34"/>
    <w:rsid w:val="00BB606A"/>
    <w:rsid w:val="00C75BD4"/>
    <w:rsid w:val="00C81BCB"/>
    <w:rsid w:val="00E47261"/>
    <w:rsid w:val="00E612EA"/>
    <w:rsid w:val="00EA636A"/>
    <w:rsid w:val="00FB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A7127"/>
  <w15:chartTrackingRefBased/>
  <w15:docId w15:val="{3A1F7361-B0CB-45E9-AA25-888A57CD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A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A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A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A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A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A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A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A6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A6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A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A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A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A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A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A6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A6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A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A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A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A6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B37B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9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Argonne National Laboratory</Company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Shkrob, Ilya A.</dc:creator>
  <cp:keywords/>
  <dc:description/>
  <cp:lastModifiedBy>Shkrob, Ilya A.</cp:lastModifiedBy>
  <cp:revision>10</cp:revision>
  <dcterms:created xsi:type="dcterms:W3CDTF">2025-05-29T17:25:00Z</dcterms:created>
  <dcterms:modified xsi:type="dcterms:W3CDTF">2025-06-04T03:32:00Z</dcterms:modified>
</cp:coreProperties>
</file>