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25429" w:rsidRPr="00E25429" w:rsidRDefault="00E25429" w:rsidP="00E25429">
      <w:pPr>
        <w:pStyle w:val="Title"/>
        <w:jc w:val="center"/>
        <w:rPr>
          <w:rFonts w:asciiTheme="minorHAnsi" w:hAnsiTheme="minorHAnsi" w:cstheme="minorHAnsi"/>
          <w:b/>
          <w:bCs/>
          <w:sz w:val="40"/>
          <w:szCs w:val="40"/>
        </w:rPr>
      </w:pPr>
      <w:r w:rsidRPr="00E25429">
        <w:rPr>
          <w:rFonts w:asciiTheme="minorHAnsi" w:hAnsiTheme="minorHAnsi" w:cstheme="minorHAnsi"/>
          <w:b/>
          <w:bCs/>
          <w:sz w:val="40"/>
          <w:szCs w:val="40"/>
        </w:rPr>
        <w:t>New York State</w:t>
      </w:r>
      <w:r w:rsidRPr="00E25429">
        <w:rPr>
          <w:rFonts w:asciiTheme="minorHAnsi" w:hAnsiTheme="minorHAnsi" w:cstheme="minorHAnsi"/>
          <w:b/>
          <w:bCs/>
          <w:sz w:val="40"/>
          <w:szCs w:val="40"/>
        </w:rPr>
        <w:t xml:space="preserve"> Dashboard</w:t>
      </w:r>
      <w:r w:rsidRPr="00E25429">
        <w:rPr>
          <w:rFonts w:asciiTheme="minorHAnsi" w:hAnsiTheme="minorHAnsi" w:cstheme="minorHAnsi"/>
          <w:b/>
          <w:bCs/>
          <w:sz w:val="40"/>
          <w:szCs w:val="40"/>
        </w:rPr>
        <w:t>: Uncover Insights That Matter</w:t>
      </w:r>
    </w:p>
    <w:p w:rsidR="00E25429" w:rsidRDefault="00E25429"/>
    <w:p w:rsidR="00E25429" w:rsidRDefault="00E25429"/>
    <w:p w:rsidR="00E25429" w:rsidRDefault="00E25429"/>
    <w:p w:rsidR="00E25429" w:rsidRDefault="00E25429"/>
    <w:p w:rsidR="00E25429" w:rsidRDefault="00E25429"/>
    <w:p w:rsidR="00E25429" w:rsidRDefault="00E25429" w:rsidP="00E25429">
      <w:pPr>
        <w:jc w:val="center"/>
      </w:pPr>
      <w:r>
        <w:rPr>
          <w:rFonts w:asciiTheme="majorHAnsi" w:eastAsia="Garamond" w:hAnsiTheme="majorHAnsi" w:cstheme="majorHAnsi"/>
          <w:noProof/>
        </w:rPr>
        <w:drawing>
          <wp:inline distT="0" distB="0" distL="0" distR="0" wp14:anchorId="32755451" wp14:editId="5A306A7D">
            <wp:extent cx="4064000" cy="3124200"/>
            <wp:effectExtent l="0" t="0" r="0" b="0"/>
            <wp:docPr id="853471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471073" name="Picture 853471073"/>
                    <pic:cNvPicPr/>
                  </pic:nvPicPr>
                  <pic:blipFill>
                    <a:blip r:embed="rId5">
                      <a:extLst>
                        <a:ext uri="{28A0092B-C50C-407E-A947-70E740481C1C}">
                          <a14:useLocalDpi xmlns:a14="http://schemas.microsoft.com/office/drawing/2010/main" val="0"/>
                        </a:ext>
                      </a:extLst>
                    </a:blip>
                    <a:stretch>
                      <a:fillRect/>
                    </a:stretch>
                  </pic:blipFill>
                  <pic:spPr>
                    <a:xfrm>
                      <a:off x="0" y="0"/>
                      <a:ext cx="4064000" cy="3124200"/>
                    </a:xfrm>
                    <a:prstGeom prst="rect">
                      <a:avLst/>
                    </a:prstGeom>
                  </pic:spPr>
                </pic:pic>
              </a:graphicData>
            </a:graphic>
          </wp:inline>
        </w:drawing>
      </w:r>
    </w:p>
    <w:p w:rsidR="00E25429" w:rsidRDefault="00E25429" w:rsidP="00E25429">
      <w:pPr>
        <w:jc w:val="center"/>
      </w:pPr>
    </w:p>
    <w:p w:rsidR="00E25429" w:rsidRPr="00950FDD" w:rsidRDefault="00E25429" w:rsidP="00E25429">
      <w:pPr>
        <w:jc w:val="center"/>
        <w:rPr>
          <w:rFonts w:eastAsia="Garamond" w:cstheme="minorHAnsi"/>
          <w:sz w:val="28"/>
          <w:szCs w:val="28"/>
        </w:rPr>
      </w:pPr>
      <w:r w:rsidRPr="00950FDD">
        <w:rPr>
          <w:rFonts w:eastAsia="Garamond" w:cstheme="minorHAnsi"/>
          <w:b/>
          <w:bCs/>
          <w:sz w:val="28"/>
          <w:szCs w:val="28"/>
        </w:rPr>
        <w:t>IST 7</w:t>
      </w:r>
      <w:r>
        <w:rPr>
          <w:rFonts w:eastAsia="Garamond" w:cstheme="minorHAnsi"/>
          <w:b/>
          <w:bCs/>
          <w:sz w:val="28"/>
          <w:szCs w:val="28"/>
        </w:rPr>
        <w:t>37</w:t>
      </w:r>
      <w:r w:rsidRPr="00950FDD">
        <w:rPr>
          <w:rFonts w:eastAsia="Garamond" w:cstheme="minorHAnsi"/>
          <w:sz w:val="28"/>
          <w:szCs w:val="28"/>
        </w:rPr>
        <w:t xml:space="preserve">: </w:t>
      </w:r>
      <w:r w:rsidRPr="00E25429">
        <w:rPr>
          <w:rFonts w:eastAsia="Garamond" w:cstheme="minorHAnsi"/>
          <w:sz w:val="28"/>
          <w:szCs w:val="28"/>
        </w:rPr>
        <w:t>Visual Analytic Dashboards</w:t>
      </w:r>
    </w:p>
    <w:p w:rsidR="00E25429" w:rsidRPr="00E25429" w:rsidRDefault="00E25429" w:rsidP="00E25429">
      <w:pPr>
        <w:jc w:val="center"/>
        <w:rPr>
          <w:rFonts w:eastAsia="Garamond" w:cstheme="minorHAnsi"/>
          <w:b/>
          <w:bCs/>
          <w:sz w:val="28"/>
          <w:szCs w:val="28"/>
        </w:rPr>
      </w:pPr>
      <w:proofErr w:type="spellStart"/>
      <w:r w:rsidRPr="00E25429">
        <w:rPr>
          <w:rFonts w:eastAsia="Garamond" w:cstheme="minorHAnsi"/>
          <w:b/>
          <w:bCs/>
          <w:sz w:val="28"/>
          <w:szCs w:val="28"/>
        </w:rPr>
        <w:t>Arunava</w:t>
      </w:r>
      <w:proofErr w:type="spellEnd"/>
      <w:r w:rsidRPr="00E25429">
        <w:rPr>
          <w:rFonts w:eastAsia="Garamond" w:cstheme="minorHAnsi"/>
          <w:b/>
          <w:bCs/>
          <w:sz w:val="28"/>
          <w:szCs w:val="28"/>
        </w:rPr>
        <w:t xml:space="preserve"> Das, </w:t>
      </w:r>
      <w:r w:rsidRPr="00E25429">
        <w:rPr>
          <w:rFonts w:eastAsia="Garamond" w:cstheme="minorHAnsi"/>
          <w:b/>
          <w:bCs/>
          <w:sz w:val="28"/>
          <w:szCs w:val="28"/>
        </w:rPr>
        <w:t xml:space="preserve">Atharva </w:t>
      </w:r>
      <w:proofErr w:type="spellStart"/>
      <w:r w:rsidRPr="00E25429">
        <w:rPr>
          <w:rFonts w:eastAsia="Garamond" w:cstheme="minorHAnsi"/>
          <w:b/>
          <w:bCs/>
          <w:sz w:val="28"/>
          <w:szCs w:val="28"/>
        </w:rPr>
        <w:t>Gadiwan</w:t>
      </w:r>
      <w:proofErr w:type="spellEnd"/>
      <w:r w:rsidRPr="00E25429">
        <w:rPr>
          <w:rFonts w:eastAsia="Garamond" w:cstheme="minorHAnsi"/>
          <w:b/>
          <w:bCs/>
          <w:sz w:val="28"/>
          <w:szCs w:val="28"/>
        </w:rPr>
        <w:t xml:space="preserve">, </w:t>
      </w:r>
      <w:r w:rsidRPr="00E25429">
        <w:rPr>
          <w:rFonts w:eastAsia="Garamond" w:cstheme="minorHAnsi"/>
          <w:b/>
          <w:bCs/>
          <w:sz w:val="28"/>
          <w:szCs w:val="28"/>
        </w:rPr>
        <w:t xml:space="preserve">Mansi Santosh </w:t>
      </w:r>
      <w:proofErr w:type="spellStart"/>
      <w:r w:rsidRPr="00E25429">
        <w:rPr>
          <w:rFonts w:eastAsia="Garamond" w:cstheme="minorHAnsi"/>
          <w:b/>
          <w:bCs/>
          <w:sz w:val="28"/>
          <w:szCs w:val="28"/>
        </w:rPr>
        <w:t>Jagdale</w:t>
      </w:r>
      <w:proofErr w:type="spellEnd"/>
      <w:r w:rsidRPr="00E25429">
        <w:rPr>
          <w:rFonts w:eastAsia="Garamond" w:cstheme="minorHAnsi"/>
          <w:b/>
          <w:bCs/>
          <w:sz w:val="28"/>
          <w:szCs w:val="28"/>
        </w:rPr>
        <w:t xml:space="preserve">, </w:t>
      </w:r>
    </w:p>
    <w:p w:rsidR="00E25429" w:rsidRDefault="00E25429" w:rsidP="00E25429">
      <w:pPr>
        <w:jc w:val="center"/>
        <w:rPr>
          <w:rFonts w:eastAsia="Garamond" w:cstheme="minorHAnsi"/>
          <w:b/>
          <w:bCs/>
          <w:sz w:val="28"/>
          <w:szCs w:val="28"/>
        </w:rPr>
      </w:pPr>
      <w:proofErr w:type="spellStart"/>
      <w:r w:rsidRPr="00E25429">
        <w:rPr>
          <w:rFonts w:eastAsia="Garamond" w:cstheme="minorHAnsi"/>
          <w:b/>
          <w:bCs/>
          <w:sz w:val="28"/>
          <w:szCs w:val="28"/>
        </w:rPr>
        <w:t>Mrunmai</w:t>
      </w:r>
      <w:proofErr w:type="spellEnd"/>
      <w:r w:rsidRPr="00E25429">
        <w:rPr>
          <w:rFonts w:eastAsia="Garamond" w:cstheme="minorHAnsi"/>
          <w:b/>
          <w:bCs/>
          <w:sz w:val="28"/>
          <w:szCs w:val="28"/>
        </w:rPr>
        <w:t xml:space="preserve"> Prakash </w:t>
      </w:r>
      <w:proofErr w:type="spellStart"/>
      <w:r w:rsidRPr="00E25429">
        <w:rPr>
          <w:rFonts w:eastAsia="Garamond" w:cstheme="minorHAnsi"/>
          <w:b/>
          <w:bCs/>
          <w:sz w:val="28"/>
          <w:szCs w:val="28"/>
        </w:rPr>
        <w:t>Musale</w:t>
      </w:r>
      <w:proofErr w:type="spellEnd"/>
      <w:r w:rsidRPr="00E25429">
        <w:rPr>
          <w:rFonts w:eastAsia="Garamond" w:cstheme="minorHAnsi"/>
          <w:b/>
          <w:bCs/>
          <w:sz w:val="28"/>
          <w:szCs w:val="28"/>
        </w:rPr>
        <w:t xml:space="preserve">, </w:t>
      </w:r>
      <w:r w:rsidRPr="00E25429">
        <w:rPr>
          <w:rFonts w:eastAsia="Garamond" w:cstheme="minorHAnsi"/>
          <w:b/>
          <w:bCs/>
          <w:sz w:val="28"/>
          <w:szCs w:val="28"/>
        </w:rPr>
        <w:t xml:space="preserve">Md Jami Bin </w:t>
      </w:r>
      <w:proofErr w:type="spellStart"/>
      <w:r w:rsidRPr="00E25429">
        <w:rPr>
          <w:rFonts w:eastAsia="Garamond" w:cstheme="minorHAnsi"/>
          <w:b/>
          <w:bCs/>
          <w:sz w:val="28"/>
          <w:szCs w:val="28"/>
        </w:rPr>
        <w:t>Mosharf</w:t>
      </w:r>
      <w:proofErr w:type="spellEnd"/>
      <w:r w:rsidRPr="00E25429">
        <w:rPr>
          <w:rFonts w:eastAsia="Garamond" w:cstheme="minorHAnsi"/>
          <w:b/>
          <w:bCs/>
          <w:sz w:val="28"/>
          <w:szCs w:val="28"/>
        </w:rPr>
        <w:t xml:space="preserve"> Navid</w:t>
      </w:r>
    </w:p>
    <w:p w:rsidR="00B42FDA" w:rsidRDefault="00B42FDA" w:rsidP="00E25429">
      <w:pPr>
        <w:jc w:val="center"/>
        <w:rPr>
          <w:rFonts w:eastAsia="Garamond" w:cstheme="minorHAnsi"/>
          <w:b/>
          <w:bCs/>
          <w:sz w:val="28"/>
          <w:szCs w:val="28"/>
        </w:rPr>
      </w:pPr>
    </w:p>
    <w:p w:rsidR="00B42FDA" w:rsidRDefault="00B42FDA" w:rsidP="00E25429">
      <w:pPr>
        <w:jc w:val="center"/>
        <w:rPr>
          <w:rFonts w:eastAsia="Garamond" w:cstheme="minorHAnsi"/>
          <w:b/>
          <w:bCs/>
          <w:sz w:val="28"/>
          <w:szCs w:val="28"/>
        </w:rPr>
      </w:pPr>
    </w:p>
    <w:p w:rsidR="00B42FDA" w:rsidRDefault="00B42FDA" w:rsidP="00E25429">
      <w:pPr>
        <w:jc w:val="center"/>
        <w:rPr>
          <w:rFonts w:eastAsia="Garamond" w:cstheme="minorHAnsi"/>
          <w:b/>
          <w:bCs/>
          <w:sz w:val="28"/>
          <w:szCs w:val="28"/>
        </w:rPr>
      </w:pPr>
    </w:p>
    <w:p w:rsidR="00B42FDA" w:rsidRDefault="00B42FDA" w:rsidP="00E25429">
      <w:pPr>
        <w:jc w:val="center"/>
        <w:rPr>
          <w:rFonts w:eastAsia="Garamond" w:cstheme="minorHAnsi"/>
          <w:b/>
          <w:bCs/>
          <w:sz w:val="28"/>
          <w:szCs w:val="28"/>
        </w:rPr>
      </w:pPr>
    </w:p>
    <w:p w:rsidR="00B42FDA" w:rsidRDefault="00B42FDA" w:rsidP="00E25429">
      <w:pPr>
        <w:jc w:val="center"/>
        <w:rPr>
          <w:rFonts w:eastAsia="Garamond" w:cstheme="minorHAnsi"/>
          <w:b/>
          <w:bCs/>
          <w:sz w:val="28"/>
          <w:szCs w:val="28"/>
        </w:rPr>
      </w:pPr>
    </w:p>
    <w:p w:rsidR="00B42FDA" w:rsidRDefault="00B42FDA" w:rsidP="00E25429">
      <w:pPr>
        <w:jc w:val="center"/>
        <w:rPr>
          <w:rFonts w:eastAsia="Garamond" w:cstheme="minorHAnsi"/>
          <w:b/>
          <w:bCs/>
          <w:sz w:val="28"/>
          <w:szCs w:val="28"/>
        </w:rPr>
      </w:pPr>
    </w:p>
    <w:p w:rsidR="00B42FDA" w:rsidRDefault="00B42FDA" w:rsidP="00E25429">
      <w:pPr>
        <w:jc w:val="center"/>
        <w:rPr>
          <w:rFonts w:eastAsia="Garamond" w:cstheme="minorHAnsi"/>
          <w:b/>
          <w:bCs/>
          <w:sz w:val="28"/>
          <w:szCs w:val="28"/>
        </w:rPr>
      </w:pPr>
    </w:p>
    <w:p w:rsidR="00B42FDA" w:rsidRDefault="00B42FDA" w:rsidP="00E25429">
      <w:pPr>
        <w:jc w:val="center"/>
        <w:rPr>
          <w:rFonts w:eastAsia="Garamond" w:cstheme="minorHAnsi"/>
          <w:b/>
          <w:bCs/>
          <w:sz w:val="28"/>
          <w:szCs w:val="28"/>
        </w:rPr>
      </w:pPr>
    </w:p>
    <w:p w:rsidR="00B42FDA" w:rsidRDefault="00B42FDA" w:rsidP="00E25429">
      <w:pPr>
        <w:jc w:val="center"/>
        <w:rPr>
          <w:rFonts w:eastAsia="Garamond" w:cstheme="minorHAnsi"/>
          <w:b/>
          <w:bCs/>
          <w:sz w:val="28"/>
          <w:szCs w:val="28"/>
        </w:rPr>
      </w:pPr>
    </w:p>
    <w:p w:rsidR="00B42FDA" w:rsidRDefault="00B42FDA" w:rsidP="00E25429">
      <w:pPr>
        <w:jc w:val="center"/>
        <w:rPr>
          <w:rFonts w:eastAsia="Garamond" w:cstheme="minorHAnsi"/>
          <w:b/>
          <w:bCs/>
          <w:sz w:val="28"/>
          <w:szCs w:val="28"/>
        </w:rPr>
      </w:pPr>
    </w:p>
    <w:p w:rsidR="00B42FDA" w:rsidRDefault="00B42FDA" w:rsidP="00E25429">
      <w:pPr>
        <w:jc w:val="center"/>
        <w:rPr>
          <w:rFonts w:eastAsia="Garamond" w:cstheme="minorHAnsi"/>
          <w:b/>
          <w:bCs/>
          <w:sz w:val="28"/>
          <w:szCs w:val="28"/>
        </w:rPr>
      </w:pPr>
    </w:p>
    <w:p w:rsidR="00B42FDA" w:rsidRDefault="00B42FDA" w:rsidP="00E25429">
      <w:pPr>
        <w:jc w:val="center"/>
        <w:rPr>
          <w:rFonts w:eastAsia="Garamond" w:cstheme="minorHAnsi"/>
          <w:b/>
          <w:bCs/>
          <w:sz w:val="28"/>
          <w:szCs w:val="28"/>
        </w:rPr>
      </w:pPr>
    </w:p>
    <w:p w:rsidR="00B42FDA" w:rsidRDefault="00B42FDA" w:rsidP="00B42FDA">
      <w:pPr>
        <w:jc w:val="both"/>
        <w:rPr>
          <w:rFonts w:eastAsia="Garamond" w:cstheme="minorHAnsi"/>
          <w:b/>
          <w:bCs/>
          <w:sz w:val="28"/>
          <w:szCs w:val="28"/>
        </w:rPr>
      </w:pPr>
    </w:p>
    <w:p w:rsidR="00B42FDA" w:rsidRPr="00B42FDA" w:rsidRDefault="00B42FDA" w:rsidP="00B42FDA">
      <w:pPr>
        <w:pStyle w:val="Heading1"/>
        <w:rPr>
          <w:rFonts w:eastAsia="Garamond"/>
        </w:rPr>
      </w:pPr>
      <w:r w:rsidRPr="00B42FDA">
        <w:rPr>
          <w:rFonts w:eastAsia="Garamond"/>
        </w:rPr>
        <w:lastRenderedPageBreak/>
        <w:t>Project Description</w:t>
      </w:r>
    </w:p>
    <w:p w:rsidR="00B42FDA" w:rsidRDefault="00093252" w:rsidP="00B42FDA">
      <w:pPr>
        <w:jc w:val="both"/>
        <w:rPr>
          <w:rFonts w:ascii="Times New Roman" w:eastAsia="Garamond" w:hAnsi="Times New Roman" w:cs="Times New Roman"/>
        </w:rPr>
      </w:pPr>
      <w:r w:rsidRPr="00093252">
        <w:rPr>
          <w:rFonts w:ascii="Times New Roman" w:eastAsia="Garamond" w:hAnsi="Times New Roman" w:cs="Times New Roman"/>
          <w:b/>
          <w:bCs/>
        </w:rPr>
        <w:t>"New York State: A land of promise or compromise? Let’s uncover the story..."</w:t>
      </w:r>
      <w:r w:rsidRPr="00093252">
        <w:rPr>
          <w:rFonts w:ascii="Times New Roman" w:eastAsia="Garamond" w:hAnsi="Times New Roman" w:cs="Times New Roman"/>
        </w:rPr>
        <w:br/>
        <w:t xml:space="preserve">Through this </w:t>
      </w:r>
      <w:r>
        <w:rPr>
          <w:rFonts w:ascii="Times New Roman" w:eastAsia="Garamond" w:hAnsi="Times New Roman" w:cs="Times New Roman"/>
        </w:rPr>
        <w:t xml:space="preserve">tableau </w:t>
      </w:r>
      <w:r w:rsidRPr="00093252">
        <w:rPr>
          <w:rFonts w:ascii="Times New Roman" w:eastAsia="Garamond" w:hAnsi="Times New Roman" w:cs="Times New Roman"/>
        </w:rPr>
        <w:t xml:space="preserve">project, we explore whether New York State lives up to its reputation as a land of opportunity or if compromises must be made. From energy and sustainability to public safety and economic opportunities, each dashboard tells a part of this story. The </w:t>
      </w:r>
      <w:r w:rsidRPr="00093252">
        <w:rPr>
          <w:rFonts w:ascii="Times New Roman" w:eastAsia="Garamond" w:hAnsi="Times New Roman" w:cs="Times New Roman"/>
          <w:b/>
          <w:bCs/>
        </w:rPr>
        <w:t>Solar Energy Incentives</w:t>
      </w:r>
      <w:r w:rsidRPr="00093252">
        <w:rPr>
          <w:rFonts w:ascii="Times New Roman" w:eastAsia="Garamond" w:hAnsi="Times New Roman" w:cs="Times New Roman"/>
        </w:rPr>
        <w:t xml:space="preserve"> and </w:t>
      </w:r>
      <w:r w:rsidRPr="00093252">
        <w:rPr>
          <w:rFonts w:ascii="Times New Roman" w:eastAsia="Garamond" w:hAnsi="Times New Roman" w:cs="Times New Roman"/>
          <w:b/>
          <w:bCs/>
        </w:rPr>
        <w:t>Energy Price Dashboards</w:t>
      </w:r>
      <w:r w:rsidRPr="00093252">
        <w:rPr>
          <w:rFonts w:ascii="Times New Roman" w:eastAsia="Garamond" w:hAnsi="Times New Roman" w:cs="Times New Roman"/>
        </w:rPr>
        <w:t xml:space="preserve"> shed light on the state’s commitment to renewable energy and the affordability of energy costs. The </w:t>
      </w:r>
      <w:r w:rsidRPr="00093252">
        <w:rPr>
          <w:rFonts w:ascii="Times New Roman" w:eastAsia="Garamond" w:hAnsi="Times New Roman" w:cs="Times New Roman"/>
          <w:b/>
          <w:bCs/>
        </w:rPr>
        <w:t>Hospital Dashboard</w:t>
      </w:r>
      <w:r w:rsidRPr="00093252">
        <w:rPr>
          <w:rFonts w:ascii="Times New Roman" w:eastAsia="Garamond" w:hAnsi="Times New Roman" w:cs="Times New Roman"/>
        </w:rPr>
        <w:t xml:space="preserve"> examines healthcare accessibility and affordability, while the </w:t>
      </w:r>
      <w:r w:rsidRPr="00093252">
        <w:rPr>
          <w:rFonts w:ascii="Times New Roman" w:eastAsia="Garamond" w:hAnsi="Times New Roman" w:cs="Times New Roman"/>
          <w:b/>
          <w:bCs/>
        </w:rPr>
        <w:t>Crime</w:t>
      </w:r>
      <w:r w:rsidRPr="00093252">
        <w:rPr>
          <w:rFonts w:ascii="Times New Roman" w:eastAsia="Garamond" w:hAnsi="Times New Roman" w:cs="Times New Roman"/>
        </w:rPr>
        <w:t xml:space="preserve"> and </w:t>
      </w:r>
      <w:r w:rsidRPr="00093252">
        <w:rPr>
          <w:rFonts w:ascii="Times New Roman" w:eastAsia="Garamond" w:hAnsi="Times New Roman" w:cs="Times New Roman"/>
          <w:b/>
          <w:bCs/>
        </w:rPr>
        <w:t>Hate Crime Dashboards</w:t>
      </w:r>
      <w:r w:rsidRPr="00093252">
        <w:rPr>
          <w:rFonts w:ascii="Times New Roman" w:eastAsia="Garamond" w:hAnsi="Times New Roman" w:cs="Times New Roman"/>
        </w:rPr>
        <w:t xml:space="preserve"> highlight safety concerns and regional crime patterns. Finally, the </w:t>
      </w:r>
      <w:r w:rsidRPr="00093252">
        <w:rPr>
          <w:rFonts w:ascii="Times New Roman" w:eastAsia="Garamond" w:hAnsi="Times New Roman" w:cs="Times New Roman"/>
          <w:b/>
          <w:bCs/>
        </w:rPr>
        <w:t>Employment Insights Dashboard</w:t>
      </w:r>
      <w:r w:rsidRPr="00093252">
        <w:rPr>
          <w:rFonts w:ascii="Times New Roman" w:eastAsia="Garamond" w:hAnsi="Times New Roman" w:cs="Times New Roman"/>
        </w:rPr>
        <w:t xml:space="preserve"> reveals trends in job growth, regional opportunities, and educational requirements. Together, these dashboards provide a data-driven narrative to assess whether New York offers a life of promise or compromise.</w:t>
      </w:r>
    </w:p>
    <w:p w:rsidR="00093252" w:rsidRDefault="00093252" w:rsidP="00B42FDA">
      <w:pPr>
        <w:jc w:val="both"/>
        <w:rPr>
          <w:rFonts w:ascii="Times New Roman" w:eastAsia="Garamond" w:hAnsi="Times New Roman" w:cs="Times New Roman"/>
        </w:rPr>
      </w:pPr>
    </w:p>
    <w:p w:rsidR="00B42FDA" w:rsidRDefault="00B42FDA" w:rsidP="00B42FDA">
      <w:pPr>
        <w:pStyle w:val="Heading1"/>
        <w:rPr>
          <w:rFonts w:eastAsia="Garamond"/>
        </w:rPr>
      </w:pPr>
      <w:r w:rsidRPr="00B42FDA">
        <w:rPr>
          <w:rFonts w:eastAsia="Garamond"/>
        </w:rPr>
        <w:t>Dataset</w:t>
      </w:r>
      <w:r>
        <w:rPr>
          <w:rFonts w:eastAsia="Garamond"/>
        </w:rPr>
        <w:t xml:space="preserve"> Links</w:t>
      </w:r>
    </w:p>
    <w:p w:rsidR="00B42FDA" w:rsidRPr="00B42FDA" w:rsidRDefault="00B42FDA" w:rsidP="00B42FDA">
      <w:pPr>
        <w:rPr>
          <w:rFonts w:ascii="Times New Roman" w:hAnsi="Times New Roman" w:cs="Times New Roman"/>
        </w:rPr>
      </w:pPr>
      <w:r w:rsidRPr="00B42FDA">
        <w:rPr>
          <w:rFonts w:ascii="Times New Roman" w:hAnsi="Times New Roman" w:cs="Times New Roman"/>
        </w:rPr>
        <w:t>Solar Dataset:</w:t>
      </w:r>
    </w:p>
    <w:p w:rsidR="00B42FDA" w:rsidRDefault="00B42FDA" w:rsidP="00B42FDA">
      <w:pPr>
        <w:rPr>
          <w:rFonts w:ascii="Times New Roman" w:hAnsi="Times New Roman" w:cs="Times New Roman"/>
        </w:rPr>
      </w:pPr>
      <w:hyperlink r:id="rId6" w:history="1">
        <w:r w:rsidRPr="00B42FDA">
          <w:rPr>
            <w:rStyle w:val="Hyperlink"/>
            <w:rFonts w:ascii="Times New Roman" w:hAnsi="Times New Roman" w:cs="Times New Roman"/>
          </w:rPr>
          <w:t>https://data.ny.gov/Energy-Environment/Solar-Electric-Programs-Reported-by-NYSERDA-Beginn/3x8r-34rs/data</w:t>
        </w:r>
      </w:hyperlink>
    </w:p>
    <w:p w:rsidR="00B42FDA" w:rsidRPr="00B42FDA" w:rsidRDefault="00B42FDA" w:rsidP="00B42FDA">
      <w:pPr>
        <w:pStyle w:val="ListParagraph"/>
        <w:numPr>
          <w:ilvl w:val="0"/>
          <w:numId w:val="3"/>
        </w:numPr>
        <w:rPr>
          <w:rFonts w:ascii="Times New Roman" w:hAnsi="Times New Roman" w:cs="Times New Roman"/>
        </w:rPr>
      </w:pPr>
      <w:r w:rsidRPr="00B42FDA">
        <w:rPr>
          <w:rFonts w:ascii="Times New Roman" w:hAnsi="Times New Roman" w:cs="Times New Roman"/>
        </w:rPr>
        <w:t>Data Cleaning Notebook attached in the zip file</w:t>
      </w:r>
    </w:p>
    <w:p w:rsidR="00B42FDA" w:rsidRPr="00B42FDA" w:rsidRDefault="00B42FDA" w:rsidP="00B42FDA">
      <w:pPr>
        <w:rPr>
          <w:rFonts w:ascii="Times New Roman" w:hAnsi="Times New Roman" w:cs="Times New Roman"/>
        </w:rPr>
      </w:pPr>
    </w:p>
    <w:p w:rsidR="00B42FDA" w:rsidRPr="00B42FDA" w:rsidRDefault="00B42FDA" w:rsidP="00B42FDA">
      <w:pPr>
        <w:rPr>
          <w:rFonts w:ascii="Times New Roman" w:hAnsi="Times New Roman" w:cs="Times New Roman"/>
        </w:rPr>
      </w:pPr>
      <w:r w:rsidRPr="00B42FDA">
        <w:rPr>
          <w:rFonts w:ascii="Times New Roman" w:hAnsi="Times New Roman" w:cs="Times New Roman"/>
        </w:rPr>
        <w:t>Energy Dataset:</w:t>
      </w:r>
    </w:p>
    <w:p w:rsidR="00B42FDA" w:rsidRDefault="00B42FDA" w:rsidP="00B42FDA">
      <w:pPr>
        <w:rPr>
          <w:rFonts w:ascii="Times New Roman" w:hAnsi="Times New Roman" w:cs="Times New Roman"/>
        </w:rPr>
      </w:pPr>
      <w:hyperlink r:id="rId7" w:history="1">
        <w:r w:rsidRPr="00B42FDA">
          <w:rPr>
            <w:rStyle w:val="Hyperlink"/>
            <w:rFonts w:ascii="Times New Roman" w:hAnsi="Times New Roman" w:cs="Times New Roman"/>
          </w:rPr>
          <w:t>https://data.ny.gov/Energy-Environment/Energy-Prices-Dollars-per-Million-Btu-Beginning-19/pzgr-wqm5/about_data</w:t>
        </w:r>
      </w:hyperlink>
    </w:p>
    <w:p w:rsidR="007E389A" w:rsidRPr="007E389A" w:rsidRDefault="007E389A" w:rsidP="00B42FDA">
      <w:pPr>
        <w:pStyle w:val="ListParagraph"/>
        <w:numPr>
          <w:ilvl w:val="0"/>
          <w:numId w:val="3"/>
        </w:numPr>
        <w:rPr>
          <w:rFonts w:ascii="Times New Roman" w:hAnsi="Times New Roman" w:cs="Times New Roman"/>
        </w:rPr>
      </w:pPr>
      <w:r w:rsidRPr="00B42FDA">
        <w:rPr>
          <w:rFonts w:ascii="Times New Roman" w:hAnsi="Times New Roman" w:cs="Times New Roman"/>
        </w:rPr>
        <w:t xml:space="preserve">Data Cleaning Notebook </w:t>
      </w:r>
      <w:r>
        <w:rPr>
          <w:rFonts w:ascii="Times New Roman" w:hAnsi="Times New Roman" w:cs="Times New Roman"/>
        </w:rPr>
        <w:t>was not required</w:t>
      </w:r>
    </w:p>
    <w:p w:rsidR="00B42FDA" w:rsidRPr="00B42FDA" w:rsidRDefault="00B42FDA" w:rsidP="00B42FDA">
      <w:pPr>
        <w:rPr>
          <w:rFonts w:ascii="Times New Roman" w:hAnsi="Times New Roman" w:cs="Times New Roman"/>
        </w:rPr>
      </w:pPr>
    </w:p>
    <w:p w:rsidR="00B42FDA" w:rsidRPr="00B42FDA" w:rsidRDefault="00B42FDA" w:rsidP="00B42FDA">
      <w:pPr>
        <w:rPr>
          <w:rFonts w:ascii="Times New Roman" w:hAnsi="Times New Roman" w:cs="Times New Roman"/>
        </w:rPr>
      </w:pPr>
      <w:r w:rsidRPr="00B42FDA">
        <w:rPr>
          <w:rFonts w:ascii="Times New Roman" w:hAnsi="Times New Roman" w:cs="Times New Roman"/>
        </w:rPr>
        <w:t>Hospital Dataset:</w:t>
      </w:r>
    </w:p>
    <w:p w:rsidR="00B42FDA" w:rsidRPr="00B42FDA" w:rsidRDefault="00B42FDA" w:rsidP="00B42FDA">
      <w:pPr>
        <w:rPr>
          <w:rFonts w:ascii="Times New Roman" w:hAnsi="Times New Roman" w:cs="Times New Roman"/>
        </w:rPr>
      </w:pPr>
      <w:hyperlink r:id="rId8" w:history="1">
        <w:r w:rsidRPr="00B42FDA">
          <w:rPr>
            <w:rStyle w:val="Hyperlink"/>
            <w:rFonts w:ascii="Times New Roman" w:hAnsi="Times New Roman" w:cs="Times New Roman"/>
          </w:rPr>
          <w:t>https://health.data.ny.gov/Health/Hospital-Inpatient-Discharges-SPARCS-De-Identified/5dtw-tffi/about_data</w:t>
        </w:r>
      </w:hyperlink>
    </w:p>
    <w:p w:rsidR="00B42FDA" w:rsidRDefault="00B42FDA" w:rsidP="00B42FDA">
      <w:pPr>
        <w:pStyle w:val="ListParagraph"/>
        <w:numPr>
          <w:ilvl w:val="0"/>
          <w:numId w:val="2"/>
        </w:numPr>
        <w:rPr>
          <w:rFonts w:ascii="Times New Roman" w:hAnsi="Times New Roman" w:cs="Times New Roman"/>
        </w:rPr>
      </w:pPr>
      <w:r w:rsidRPr="00B42FDA">
        <w:rPr>
          <w:rFonts w:ascii="Times New Roman" w:hAnsi="Times New Roman" w:cs="Times New Roman"/>
        </w:rPr>
        <w:t>Created on a subset of data</w:t>
      </w:r>
      <w:r w:rsidRPr="00B42FDA">
        <w:rPr>
          <w:rFonts w:ascii="Times New Roman" w:hAnsi="Times New Roman" w:cs="Times New Roman"/>
        </w:rPr>
        <w:t xml:space="preserve"> of 40k rows</w:t>
      </w:r>
      <w:r w:rsidRPr="00B42FDA">
        <w:rPr>
          <w:rFonts w:ascii="Times New Roman" w:hAnsi="Times New Roman" w:cs="Times New Roman"/>
        </w:rPr>
        <w:t xml:space="preserve"> as there were 21 million records</w:t>
      </w:r>
    </w:p>
    <w:p w:rsidR="00B42FDA" w:rsidRPr="00B42FDA" w:rsidRDefault="00B42FDA" w:rsidP="00B42FDA">
      <w:pPr>
        <w:pStyle w:val="ListParagraph"/>
        <w:numPr>
          <w:ilvl w:val="0"/>
          <w:numId w:val="2"/>
        </w:numPr>
        <w:rPr>
          <w:rFonts w:ascii="Times New Roman" w:hAnsi="Times New Roman" w:cs="Times New Roman"/>
        </w:rPr>
      </w:pPr>
      <w:r w:rsidRPr="00B42FDA">
        <w:rPr>
          <w:rFonts w:ascii="Times New Roman" w:hAnsi="Times New Roman" w:cs="Times New Roman"/>
        </w:rPr>
        <w:t>Data Cleaning Notebook attached in the zip file</w:t>
      </w:r>
    </w:p>
    <w:p w:rsidR="00B42FDA" w:rsidRPr="00B42FDA" w:rsidRDefault="00B42FDA" w:rsidP="00B42FDA">
      <w:pPr>
        <w:rPr>
          <w:rFonts w:ascii="Times New Roman" w:hAnsi="Times New Roman" w:cs="Times New Roman"/>
        </w:rPr>
      </w:pPr>
    </w:p>
    <w:p w:rsidR="00B42FDA" w:rsidRPr="00B42FDA" w:rsidRDefault="00B42FDA" w:rsidP="00B42FDA">
      <w:pPr>
        <w:rPr>
          <w:rFonts w:ascii="Times New Roman" w:hAnsi="Times New Roman" w:cs="Times New Roman"/>
        </w:rPr>
      </w:pPr>
      <w:r w:rsidRPr="00B42FDA">
        <w:rPr>
          <w:rFonts w:ascii="Times New Roman" w:hAnsi="Times New Roman" w:cs="Times New Roman"/>
        </w:rPr>
        <w:t>Crime Dataset:</w:t>
      </w:r>
    </w:p>
    <w:p w:rsidR="00B42FDA" w:rsidRDefault="00B42FDA" w:rsidP="00B42FDA">
      <w:pPr>
        <w:rPr>
          <w:rFonts w:ascii="Times New Roman" w:hAnsi="Times New Roman" w:cs="Times New Roman"/>
        </w:rPr>
      </w:pPr>
      <w:hyperlink r:id="rId9" w:history="1">
        <w:r w:rsidRPr="00B42FDA">
          <w:rPr>
            <w:rStyle w:val="Hyperlink"/>
            <w:rFonts w:ascii="Times New Roman" w:hAnsi="Times New Roman" w:cs="Times New Roman"/>
          </w:rPr>
          <w:t>https://data.ny.gov/Public-Safety/Index-Crimes-by-County-and-Agency-Beginning-1990/ca8h-8gjq/about_data</w:t>
        </w:r>
      </w:hyperlink>
    </w:p>
    <w:p w:rsidR="00B42FDA" w:rsidRPr="00B42FDA" w:rsidRDefault="00B42FDA" w:rsidP="00B42FDA">
      <w:pPr>
        <w:pStyle w:val="ListParagraph"/>
        <w:numPr>
          <w:ilvl w:val="0"/>
          <w:numId w:val="3"/>
        </w:numPr>
        <w:rPr>
          <w:rFonts w:ascii="Times New Roman" w:hAnsi="Times New Roman" w:cs="Times New Roman"/>
        </w:rPr>
      </w:pPr>
      <w:r w:rsidRPr="00B42FDA">
        <w:rPr>
          <w:rFonts w:ascii="Times New Roman" w:hAnsi="Times New Roman" w:cs="Times New Roman"/>
        </w:rPr>
        <w:t>Data Cleaning Notebook attached in the zip file</w:t>
      </w:r>
    </w:p>
    <w:p w:rsidR="00B42FDA" w:rsidRDefault="00B42FDA" w:rsidP="00B42FDA">
      <w:pPr>
        <w:rPr>
          <w:rFonts w:ascii="Times New Roman" w:hAnsi="Times New Roman" w:cs="Times New Roman"/>
        </w:rPr>
      </w:pPr>
    </w:p>
    <w:p w:rsidR="00B42FDA" w:rsidRPr="00B42FDA" w:rsidRDefault="00B42FDA" w:rsidP="00B42FDA">
      <w:pPr>
        <w:rPr>
          <w:rFonts w:ascii="Times New Roman" w:hAnsi="Times New Roman" w:cs="Times New Roman"/>
        </w:rPr>
      </w:pPr>
      <w:r>
        <w:rPr>
          <w:rFonts w:ascii="Times New Roman" w:hAnsi="Times New Roman" w:cs="Times New Roman"/>
        </w:rPr>
        <w:t xml:space="preserve">Hate </w:t>
      </w:r>
      <w:r w:rsidRPr="00B42FDA">
        <w:rPr>
          <w:rFonts w:ascii="Times New Roman" w:hAnsi="Times New Roman" w:cs="Times New Roman"/>
        </w:rPr>
        <w:t>Crime Dataset:</w:t>
      </w:r>
    </w:p>
    <w:p w:rsidR="00B42FDA" w:rsidRDefault="00B42FDA" w:rsidP="00B42FDA">
      <w:pPr>
        <w:rPr>
          <w:rFonts w:ascii="Times New Roman" w:hAnsi="Times New Roman" w:cs="Times New Roman"/>
        </w:rPr>
      </w:pPr>
      <w:hyperlink r:id="rId10" w:history="1">
        <w:r w:rsidRPr="00B42FDA">
          <w:rPr>
            <w:rStyle w:val="Hyperlink"/>
            <w:rFonts w:ascii="Times New Roman" w:hAnsi="Times New Roman" w:cs="Times New Roman"/>
          </w:rPr>
          <w:t>https://data.ny.gov/Public-Safety/Hate-Crimes-by-County-and-Bias-Type-Beginning-2010/6xda-q7ev/about_data</w:t>
        </w:r>
      </w:hyperlink>
    </w:p>
    <w:p w:rsidR="007E389A" w:rsidRPr="007E389A" w:rsidRDefault="007E389A" w:rsidP="00B42FDA">
      <w:pPr>
        <w:pStyle w:val="ListParagraph"/>
        <w:numPr>
          <w:ilvl w:val="0"/>
          <w:numId w:val="3"/>
        </w:numPr>
        <w:rPr>
          <w:rFonts w:ascii="Times New Roman" w:hAnsi="Times New Roman" w:cs="Times New Roman"/>
        </w:rPr>
      </w:pPr>
      <w:r w:rsidRPr="00B42FDA">
        <w:rPr>
          <w:rFonts w:ascii="Times New Roman" w:hAnsi="Times New Roman" w:cs="Times New Roman"/>
        </w:rPr>
        <w:t xml:space="preserve">Data Cleaning </w:t>
      </w:r>
      <w:r>
        <w:rPr>
          <w:rFonts w:ascii="Times New Roman" w:hAnsi="Times New Roman" w:cs="Times New Roman"/>
        </w:rPr>
        <w:t>was not required</w:t>
      </w:r>
    </w:p>
    <w:p w:rsidR="00B42FDA" w:rsidRDefault="00B42FDA" w:rsidP="00B42FDA">
      <w:pPr>
        <w:rPr>
          <w:rFonts w:ascii="Times New Roman" w:hAnsi="Times New Roman" w:cs="Times New Roman"/>
        </w:rPr>
      </w:pPr>
    </w:p>
    <w:p w:rsidR="00B42FDA" w:rsidRDefault="00B42FDA" w:rsidP="00B42FDA">
      <w:pPr>
        <w:rPr>
          <w:rFonts w:ascii="Times New Roman" w:hAnsi="Times New Roman" w:cs="Times New Roman"/>
        </w:rPr>
      </w:pPr>
      <w:r>
        <w:rPr>
          <w:rFonts w:ascii="Times New Roman" w:hAnsi="Times New Roman" w:cs="Times New Roman"/>
        </w:rPr>
        <w:t>Employment Dataset:</w:t>
      </w:r>
    </w:p>
    <w:p w:rsidR="00B42FDA" w:rsidRDefault="007E389A" w:rsidP="00B42FDA">
      <w:pPr>
        <w:rPr>
          <w:rFonts w:ascii="Times New Roman" w:hAnsi="Times New Roman" w:cs="Times New Roman"/>
        </w:rPr>
      </w:pPr>
      <w:hyperlink r:id="rId11" w:history="1">
        <w:r w:rsidRPr="004A4C03">
          <w:rPr>
            <w:rStyle w:val="Hyperlink"/>
            <w:rFonts w:ascii="Times New Roman" w:hAnsi="Times New Roman" w:cs="Times New Roman"/>
          </w:rPr>
          <w:t>https://dol.ny.gov/employment-projections</w:t>
        </w:r>
      </w:hyperlink>
      <w:r>
        <w:rPr>
          <w:rFonts w:ascii="Times New Roman" w:hAnsi="Times New Roman" w:cs="Times New Roman"/>
        </w:rPr>
        <w:t xml:space="preserve"> (On this page there is </w:t>
      </w:r>
      <w:hyperlink r:id="rId12" w:tgtFrame="_blank" w:tooltip="Regional Long-Term Occupational Projections" w:history="1">
        <w:r w:rsidRPr="007E389A">
          <w:rPr>
            <w:rStyle w:val="Hyperlink"/>
            <w:rFonts w:ascii="Times New Roman" w:hAnsi="Times New Roman" w:cs="Times New Roman"/>
          </w:rPr>
          <w:t>Regional projections</w:t>
        </w:r>
      </w:hyperlink>
      <w:r w:rsidRPr="007E389A">
        <w:rPr>
          <w:rFonts w:ascii="Times New Roman" w:hAnsi="Times New Roman" w:cs="Times New Roman"/>
        </w:rPr>
        <w:t> cover the 2020-2030 time period</w:t>
      </w:r>
      <w:r>
        <w:rPr>
          <w:rFonts w:ascii="Times New Roman" w:hAnsi="Times New Roman" w:cs="Times New Roman"/>
        </w:rPr>
        <w:t>) This Regional Projection is the dataset used.</w:t>
      </w:r>
    </w:p>
    <w:p w:rsidR="00B42FDA" w:rsidRDefault="00B42FDA" w:rsidP="00B42FDA">
      <w:pPr>
        <w:pStyle w:val="Heading1"/>
      </w:pPr>
      <w:r>
        <w:lastRenderedPageBreak/>
        <w:t>Dashboard Visualization Insights:</w:t>
      </w:r>
    </w:p>
    <w:p w:rsidR="00B42FDA" w:rsidRPr="00093252" w:rsidRDefault="00B42FDA" w:rsidP="00B42FDA">
      <w:pPr>
        <w:jc w:val="both"/>
        <w:rPr>
          <w:rFonts w:ascii="Times New Roman" w:hAnsi="Times New Roman" w:cs="Times New Roman"/>
          <w:b/>
          <w:bCs/>
        </w:rPr>
      </w:pPr>
      <w:r w:rsidRPr="00093252">
        <w:rPr>
          <w:rFonts w:ascii="Times New Roman" w:hAnsi="Times New Roman" w:cs="Times New Roman"/>
          <w:b/>
          <w:bCs/>
        </w:rPr>
        <w:t>Solar Energy Incentives Dashboard:</w:t>
      </w:r>
    </w:p>
    <w:p w:rsidR="00B42FDA" w:rsidRPr="00093252" w:rsidRDefault="00B42FDA" w:rsidP="00B42FDA">
      <w:pPr>
        <w:jc w:val="both"/>
        <w:rPr>
          <w:rFonts w:ascii="Times New Roman" w:hAnsi="Times New Roman" w:cs="Times New Roman"/>
        </w:rPr>
      </w:pPr>
      <w:r w:rsidRPr="00093252">
        <w:rPr>
          <w:rFonts w:ascii="Times New Roman" w:hAnsi="Times New Roman" w:cs="Times New Roman"/>
        </w:rPr>
        <w:t xml:space="preserve">This dashboard showcases New York State's commitment to renewable energy through its solar energy incentive programs. It provides a detailed view of completed and pipeline solar electric projects, expected energy production, and the financial impact of these initiatives, including total project costs and incentives paid. </w:t>
      </w:r>
    </w:p>
    <w:p w:rsidR="00B42FDA" w:rsidRPr="00093252" w:rsidRDefault="00B42FDA" w:rsidP="00B42FDA">
      <w:pPr>
        <w:jc w:val="both"/>
        <w:rPr>
          <w:rFonts w:ascii="Times New Roman" w:hAnsi="Times New Roman" w:cs="Times New Roman"/>
        </w:rPr>
      </w:pPr>
    </w:p>
    <w:p w:rsidR="00093252" w:rsidRPr="00093252" w:rsidRDefault="00093252" w:rsidP="00093252">
      <w:pPr>
        <w:jc w:val="both"/>
        <w:rPr>
          <w:rFonts w:ascii="Times New Roman" w:hAnsi="Times New Roman" w:cs="Times New Roman"/>
          <w:b/>
          <w:bCs/>
        </w:rPr>
      </w:pPr>
      <w:r w:rsidRPr="00093252">
        <w:rPr>
          <w:rFonts w:ascii="Times New Roman" w:hAnsi="Times New Roman" w:cs="Times New Roman"/>
          <w:b/>
          <w:bCs/>
        </w:rPr>
        <w:t>Energy Prices Dashboard:</w:t>
      </w:r>
    </w:p>
    <w:p w:rsidR="00093252" w:rsidRPr="00093252" w:rsidRDefault="00093252" w:rsidP="00093252">
      <w:pPr>
        <w:jc w:val="both"/>
        <w:rPr>
          <w:rFonts w:ascii="Times New Roman" w:hAnsi="Times New Roman" w:cs="Times New Roman"/>
        </w:rPr>
      </w:pPr>
      <w:r w:rsidRPr="00093252">
        <w:rPr>
          <w:rFonts w:ascii="Times New Roman" w:hAnsi="Times New Roman" w:cs="Times New Roman"/>
        </w:rPr>
        <w:t xml:space="preserve">Focused on the economic aspect of energy consumption, this dashboard analyzes historical and inflation-adjusted energy prices for different fuel types (electricity, propane, coal, and natural gas) across residential, commercial, industrial, and transportation sectors. Viewers can explore how energy prices have fluctuated over time and their correlation with economic factors like inflation. </w:t>
      </w:r>
    </w:p>
    <w:p w:rsidR="00093252" w:rsidRPr="00093252" w:rsidRDefault="00093252" w:rsidP="00093252">
      <w:pPr>
        <w:jc w:val="both"/>
        <w:rPr>
          <w:rFonts w:ascii="Times New Roman" w:hAnsi="Times New Roman" w:cs="Times New Roman"/>
        </w:rPr>
      </w:pPr>
    </w:p>
    <w:p w:rsidR="00093252" w:rsidRPr="00093252" w:rsidRDefault="00093252" w:rsidP="00093252">
      <w:pPr>
        <w:jc w:val="both"/>
        <w:rPr>
          <w:rFonts w:ascii="Times New Roman" w:hAnsi="Times New Roman" w:cs="Times New Roman"/>
          <w:b/>
          <w:bCs/>
        </w:rPr>
      </w:pPr>
      <w:r w:rsidRPr="00093252">
        <w:rPr>
          <w:rFonts w:ascii="Times New Roman" w:hAnsi="Times New Roman" w:cs="Times New Roman"/>
          <w:b/>
          <w:bCs/>
        </w:rPr>
        <w:t>Hospital Dashboard:</w:t>
      </w:r>
    </w:p>
    <w:p w:rsidR="00093252" w:rsidRPr="00093252" w:rsidRDefault="00093252" w:rsidP="00093252">
      <w:pPr>
        <w:jc w:val="both"/>
        <w:rPr>
          <w:rFonts w:ascii="Times New Roman" w:hAnsi="Times New Roman" w:cs="Times New Roman"/>
        </w:rPr>
      </w:pPr>
      <w:r w:rsidRPr="00093252">
        <w:rPr>
          <w:rFonts w:ascii="Times New Roman" w:hAnsi="Times New Roman" w:cs="Times New Roman"/>
        </w:rPr>
        <w:t xml:space="preserve">The hospital dashboard delves into healthcare costs and accessibility in New York State. It provides insights into mean hospital charges, average length of stays, and variations by age, gender, and ethnicity. Visualizations of hospital distributions by county and admission types offer a regional perspective on healthcare facilities and services. </w:t>
      </w:r>
    </w:p>
    <w:p w:rsidR="00093252" w:rsidRPr="00093252" w:rsidRDefault="00093252" w:rsidP="00093252">
      <w:pPr>
        <w:jc w:val="both"/>
        <w:rPr>
          <w:rFonts w:ascii="Times New Roman" w:hAnsi="Times New Roman" w:cs="Times New Roman"/>
        </w:rPr>
      </w:pPr>
    </w:p>
    <w:p w:rsidR="00093252" w:rsidRPr="00093252" w:rsidRDefault="00093252" w:rsidP="00093252">
      <w:pPr>
        <w:jc w:val="both"/>
        <w:rPr>
          <w:rFonts w:ascii="Times New Roman" w:hAnsi="Times New Roman" w:cs="Times New Roman"/>
          <w:b/>
          <w:bCs/>
        </w:rPr>
      </w:pPr>
      <w:r w:rsidRPr="00093252">
        <w:rPr>
          <w:rFonts w:ascii="Times New Roman" w:hAnsi="Times New Roman" w:cs="Times New Roman"/>
          <w:b/>
          <w:bCs/>
        </w:rPr>
        <w:t>Crime Dashboard:</w:t>
      </w:r>
    </w:p>
    <w:p w:rsidR="00B42FDA" w:rsidRPr="00093252" w:rsidRDefault="00093252" w:rsidP="00093252">
      <w:pPr>
        <w:jc w:val="both"/>
        <w:rPr>
          <w:rFonts w:ascii="Times New Roman" w:hAnsi="Times New Roman" w:cs="Times New Roman"/>
        </w:rPr>
      </w:pPr>
      <w:r w:rsidRPr="00093252">
        <w:rPr>
          <w:rFonts w:ascii="Times New Roman" w:hAnsi="Times New Roman" w:cs="Times New Roman"/>
        </w:rPr>
        <w:t xml:space="preserve">This dashboard provides a comprehensive overview of crime statistics in New York State, covering both violent and property crimes. It visualizes crime trends, geographic distribution, and county-level statistics, such as burglary, robbery, and aggravated assault incidents. </w:t>
      </w:r>
    </w:p>
    <w:p w:rsidR="00093252" w:rsidRPr="00093252" w:rsidRDefault="00093252" w:rsidP="00093252">
      <w:pPr>
        <w:jc w:val="both"/>
        <w:rPr>
          <w:rFonts w:ascii="Times New Roman" w:hAnsi="Times New Roman" w:cs="Times New Roman"/>
        </w:rPr>
      </w:pPr>
    </w:p>
    <w:p w:rsidR="00093252" w:rsidRPr="00093252" w:rsidRDefault="00093252" w:rsidP="00093252">
      <w:pPr>
        <w:jc w:val="both"/>
        <w:rPr>
          <w:rFonts w:ascii="Times New Roman" w:hAnsi="Times New Roman" w:cs="Times New Roman"/>
          <w:b/>
          <w:bCs/>
        </w:rPr>
      </w:pPr>
      <w:r w:rsidRPr="00093252">
        <w:rPr>
          <w:rFonts w:ascii="Times New Roman" w:hAnsi="Times New Roman" w:cs="Times New Roman"/>
          <w:b/>
          <w:bCs/>
        </w:rPr>
        <w:t>Hate Crime Dashboard:</w:t>
      </w:r>
    </w:p>
    <w:p w:rsidR="00093252" w:rsidRPr="00093252" w:rsidRDefault="00093252" w:rsidP="00093252">
      <w:pPr>
        <w:jc w:val="both"/>
        <w:rPr>
          <w:rFonts w:ascii="Times New Roman" w:hAnsi="Times New Roman" w:cs="Times New Roman"/>
        </w:rPr>
      </w:pPr>
      <w:r w:rsidRPr="00093252">
        <w:rPr>
          <w:rFonts w:ascii="Times New Roman" w:hAnsi="Times New Roman" w:cs="Times New Roman"/>
        </w:rPr>
        <w:t>This</w:t>
      </w:r>
      <w:r w:rsidRPr="00093252">
        <w:rPr>
          <w:rFonts w:ascii="Times New Roman" w:hAnsi="Times New Roman" w:cs="Times New Roman"/>
        </w:rPr>
        <w:t xml:space="preserve"> dashboard highlights offenses committed based on biases related to race, religion, gender, sexual orientation, and other factors. It provides a year-by-year analysis of hate crimes against individuals and property, showing trends by type and bias motivation.</w:t>
      </w:r>
    </w:p>
    <w:p w:rsidR="00093252" w:rsidRPr="00093252" w:rsidRDefault="00093252" w:rsidP="00093252">
      <w:pPr>
        <w:jc w:val="both"/>
        <w:rPr>
          <w:rFonts w:ascii="Times New Roman" w:hAnsi="Times New Roman" w:cs="Times New Roman"/>
        </w:rPr>
      </w:pPr>
    </w:p>
    <w:p w:rsidR="00093252" w:rsidRPr="00093252" w:rsidRDefault="00093252" w:rsidP="00093252">
      <w:pPr>
        <w:jc w:val="both"/>
        <w:rPr>
          <w:rFonts w:ascii="Times New Roman" w:hAnsi="Times New Roman" w:cs="Times New Roman"/>
          <w:b/>
          <w:bCs/>
        </w:rPr>
      </w:pPr>
      <w:r w:rsidRPr="00093252">
        <w:rPr>
          <w:rFonts w:ascii="Times New Roman" w:hAnsi="Times New Roman" w:cs="Times New Roman"/>
          <w:b/>
          <w:bCs/>
        </w:rPr>
        <w:t>Employment Insights Dashboard:</w:t>
      </w:r>
    </w:p>
    <w:p w:rsidR="00093252" w:rsidRDefault="00093252" w:rsidP="00093252">
      <w:pPr>
        <w:jc w:val="both"/>
        <w:rPr>
          <w:rFonts w:ascii="Times New Roman" w:hAnsi="Times New Roman" w:cs="Times New Roman"/>
        </w:rPr>
      </w:pPr>
      <w:r w:rsidRPr="00093252">
        <w:rPr>
          <w:rFonts w:ascii="Times New Roman" w:hAnsi="Times New Roman" w:cs="Times New Roman"/>
        </w:rPr>
        <w:t xml:space="preserve">This dashboard examines the state’s labor market, offering insights into future job openings, net changes in employment, and educational requirements for various occupations. It provides regional comparisons, showing which areas and sectors have the highest job growth. Additionally, viewers can explore trends in employment by sector and analyze the educational qualifications needed for different roles. </w:t>
      </w:r>
    </w:p>
    <w:p w:rsidR="00093252" w:rsidRDefault="00093252" w:rsidP="00093252">
      <w:pPr>
        <w:jc w:val="both"/>
        <w:rPr>
          <w:rFonts w:ascii="Times New Roman" w:hAnsi="Times New Roman" w:cs="Times New Roman"/>
        </w:rPr>
      </w:pPr>
    </w:p>
    <w:p w:rsidR="00093252" w:rsidRDefault="00093252" w:rsidP="00093252">
      <w:pPr>
        <w:pStyle w:val="Heading1"/>
      </w:pPr>
      <w:r>
        <w:t>Key Stakeholders:</w:t>
      </w:r>
    </w:p>
    <w:p w:rsidR="00093252" w:rsidRDefault="00093252" w:rsidP="00093252">
      <w:r w:rsidRPr="00093252">
        <w:rPr>
          <w:b/>
          <w:bCs/>
        </w:rPr>
        <w:t>1.</w:t>
      </w:r>
      <w:r w:rsidRPr="00093252">
        <w:rPr>
          <w:b/>
          <w:bCs/>
        </w:rPr>
        <w:t>Policy Makers and Government Agencies:</w:t>
      </w:r>
      <w:r>
        <w:t xml:space="preserve"> To assess the effectiveness of policies, improve energy and crime control strategies, and forecast job market trends.</w:t>
      </w:r>
    </w:p>
    <w:p w:rsidR="00093252" w:rsidRDefault="00093252" w:rsidP="00093252"/>
    <w:p w:rsidR="00093252" w:rsidRDefault="00093252" w:rsidP="00093252">
      <w:r w:rsidRPr="00093252">
        <w:rPr>
          <w:b/>
          <w:bCs/>
        </w:rPr>
        <w:t>2.</w:t>
      </w:r>
      <w:r w:rsidRPr="00093252">
        <w:rPr>
          <w:b/>
          <w:bCs/>
        </w:rPr>
        <w:t>Businesses and Investors:</w:t>
      </w:r>
      <w:r>
        <w:t xml:space="preserve"> To evaluate economic opportunities, understand energy costs, and identify areas for investment.</w:t>
      </w:r>
    </w:p>
    <w:p w:rsidR="00093252" w:rsidRDefault="00093252" w:rsidP="00093252"/>
    <w:p w:rsidR="00093252" w:rsidRDefault="00093252" w:rsidP="00093252">
      <w:r w:rsidRPr="00093252">
        <w:rPr>
          <w:b/>
          <w:bCs/>
        </w:rPr>
        <w:lastRenderedPageBreak/>
        <w:t>3.</w:t>
      </w:r>
      <w:r w:rsidRPr="00093252">
        <w:rPr>
          <w:b/>
          <w:bCs/>
        </w:rPr>
        <w:t>Residents and Potential Movers:</w:t>
      </w:r>
      <w:r>
        <w:t xml:space="preserve"> To decide on living in New York State based on safety, healthcare costs, and employment prospects.</w:t>
      </w:r>
    </w:p>
    <w:p w:rsidR="00093252" w:rsidRDefault="00093252" w:rsidP="00093252"/>
    <w:p w:rsidR="00093252" w:rsidRDefault="00093252" w:rsidP="00093252">
      <w:r w:rsidRPr="00093252">
        <w:rPr>
          <w:b/>
          <w:bCs/>
        </w:rPr>
        <w:t>4.</w:t>
      </w:r>
      <w:r w:rsidRPr="00093252">
        <w:rPr>
          <w:b/>
          <w:bCs/>
        </w:rPr>
        <w:t>Researchers and Analysts:</w:t>
      </w:r>
      <w:r>
        <w:t xml:space="preserve"> To study trends in energy, healthcare, crime, and employment for academic and professional research.</w:t>
      </w:r>
    </w:p>
    <w:p w:rsidR="00093252" w:rsidRDefault="00093252" w:rsidP="00093252"/>
    <w:p w:rsidR="00093252" w:rsidRDefault="00093252" w:rsidP="00093252">
      <w:r w:rsidRPr="00093252">
        <w:rPr>
          <w:b/>
          <w:bCs/>
        </w:rPr>
        <w:t>5.</w:t>
      </w:r>
      <w:r w:rsidRPr="00093252">
        <w:rPr>
          <w:b/>
          <w:bCs/>
        </w:rPr>
        <w:t>Non-Governmental Organizations (NGOs):</w:t>
      </w:r>
      <w:r>
        <w:t xml:space="preserve"> To advocate for initiatives related to renewable energy, public safety, and equitable job opportunities.</w:t>
      </w:r>
    </w:p>
    <w:p w:rsidR="00093252" w:rsidRDefault="00093252" w:rsidP="00093252"/>
    <w:p w:rsidR="00093252" w:rsidRPr="00093252" w:rsidRDefault="00093252" w:rsidP="00093252">
      <w:r w:rsidRPr="00093252">
        <w:rPr>
          <w:b/>
          <w:bCs/>
        </w:rPr>
        <w:t>6.</w:t>
      </w:r>
      <w:r w:rsidRPr="00093252">
        <w:rPr>
          <w:b/>
          <w:bCs/>
        </w:rPr>
        <w:t>Educational Institutions:</w:t>
      </w:r>
      <w:r>
        <w:t xml:space="preserve"> To use the data for academic purposes, such as teaching and policy simulations.</w:t>
      </w:r>
    </w:p>
    <w:p w:rsidR="00093252" w:rsidRDefault="00093252" w:rsidP="00093252">
      <w:pPr>
        <w:jc w:val="both"/>
        <w:rPr>
          <w:rFonts w:ascii="Times New Roman" w:hAnsi="Times New Roman" w:cs="Times New Roman"/>
        </w:rPr>
      </w:pPr>
    </w:p>
    <w:p w:rsidR="00B97615" w:rsidRDefault="00B97615" w:rsidP="00B97615">
      <w:pPr>
        <w:pStyle w:val="Heading1"/>
      </w:pPr>
      <w:r>
        <w:t>Tableau Public Link:</w:t>
      </w:r>
    </w:p>
    <w:p w:rsidR="00B97615" w:rsidRDefault="00B97615" w:rsidP="00B97615">
      <w:hyperlink r:id="rId13" w:history="1">
        <w:r w:rsidRPr="004A4C03">
          <w:rPr>
            <w:rStyle w:val="Hyperlink"/>
          </w:rPr>
          <w:t>https://public.tableau.com</w:t>
        </w:r>
        <w:r w:rsidRPr="004A4C03">
          <w:rPr>
            <w:rStyle w:val="Hyperlink"/>
          </w:rPr>
          <w:t>/</w:t>
        </w:r>
        <w:r w:rsidRPr="004A4C03">
          <w:rPr>
            <w:rStyle w:val="Hyperlink"/>
          </w:rPr>
          <w:t>app/profile/arunavadas005/viz/NewYorkStateInsightsDashboard/HomePage</w:t>
        </w:r>
      </w:hyperlink>
    </w:p>
    <w:p w:rsidR="00B97615" w:rsidRDefault="00B97615" w:rsidP="00B97615"/>
    <w:p w:rsidR="00B97615" w:rsidRPr="00B97615" w:rsidRDefault="00B97615" w:rsidP="00B97615"/>
    <w:p w:rsidR="00B42FDA" w:rsidRPr="00093252" w:rsidRDefault="00B42FDA" w:rsidP="00B42FDA">
      <w:pPr>
        <w:jc w:val="both"/>
        <w:rPr>
          <w:rFonts w:ascii="Times New Roman" w:hAnsi="Times New Roman" w:cs="Times New Roman"/>
          <w:sz w:val="22"/>
          <w:szCs w:val="22"/>
        </w:rPr>
      </w:pPr>
    </w:p>
    <w:sectPr w:rsidR="00B42FDA" w:rsidRPr="00093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C5D36F8"/>
    <w:multiLevelType w:val="hybridMultilevel"/>
    <w:tmpl w:val="2C94A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C85642"/>
    <w:multiLevelType w:val="hybridMultilevel"/>
    <w:tmpl w:val="F2E4B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2968430">
    <w:abstractNumId w:val="0"/>
  </w:num>
  <w:num w:numId="2" w16cid:durableId="1813982376">
    <w:abstractNumId w:val="2"/>
  </w:num>
  <w:num w:numId="3" w16cid:durableId="543950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429"/>
    <w:rsid w:val="00093252"/>
    <w:rsid w:val="007E389A"/>
    <w:rsid w:val="009E07B2"/>
    <w:rsid w:val="00B42FDA"/>
    <w:rsid w:val="00B97615"/>
    <w:rsid w:val="00BD015E"/>
    <w:rsid w:val="00D11FAC"/>
    <w:rsid w:val="00E25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721DB2"/>
  <w15:chartTrackingRefBased/>
  <w15:docId w15:val="{4D4E4E35-69BD-6A4B-937E-7BBEADD4A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F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2FD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542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42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25429"/>
    <w:rPr>
      <w:color w:val="0563C1" w:themeColor="hyperlink"/>
      <w:u w:val="single"/>
    </w:rPr>
  </w:style>
  <w:style w:type="character" w:styleId="UnresolvedMention">
    <w:name w:val="Unresolved Mention"/>
    <w:basedOn w:val="DefaultParagraphFont"/>
    <w:uiPriority w:val="99"/>
    <w:semiHidden/>
    <w:unhideWhenUsed/>
    <w:rsid w:val="00E25429"/>
    <w:rPr>
      <w:color w:val="605E5C"/>
      <w:shd w:val="clear" w:color="auto" w:fill="E1DFDD"/>
    </w:rPr>
  </w:style>
  <w:style w:type="character" w:customStyle="1" w:styleId="Heading2Char">
    <w:name w:val="Heading 2 Char"/>
    <w:basedOn w:val="DefaultParagraphFont"/>
    <w:link w:val="Heading2"/>
    <w:uiPriority w:val="9"/>
    <w:rsid w:val="00B42FD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42FD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42FDA"/>
    <w:pPr>
      <w:ind w:left="720"/>
      <w:contextualSpacing/>
    </w:pPr>
  </w:style>
  <w:style w:type="character" w:styleId="FollowedHyperlink">
    <w:name w:val="FollowedHyperlink"/>
    <w:basedOn w:val="DefaultParagraphFont"/>
    <w:uiPriority w:val="99"/>
    <w:semiHidden/>
    <w:unhideWhenUsed/>
    <w:rsid w:val="007E38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69167">
      <w:bodyDiv w:val="1"/>
      <w:marLeft w:val="0"/>
      <w:marRight w:val="0"/>
      <w:marTop w:val="0"/>
      <w:marBottom w:val="0"/>
      <w:divBdr>
        <w:top w:val="none" w:sz="0" w:space="0" w:color="auto"/>
        <w:left w:val="none" w:sz="0" w:space="0" w:color="auto"/>
        <w:bottom w:val="none" w:sz="0" w:space="0" w:color="auto"/>
        <w:right w:val="none" w:sz="0" w:space="0" w:color="auto"/>
      </w:divBdr>
      <w:divsChild>
        <w:div w:id="2027369592">
          <w:marLeft w:val="0"/>
          <w:marRight w:val="0"/>
          <w:marTop w:val="0"/>
          <w:marBottom w:val="0"/>
          <w:divBdr>
            <w:top w:val="none" w:sz="0" w:space="0" w:color="auto"/>
            <w:left w:val="none" w:sz="0" w:space="0" w:color="auto"/>
            <w:bottom w:val="none" w:sz="0" w:space="0" w:color="auto"/>
            <w:right w:val="none" w:sz="0" w:space="0" w:color="auto"/>
          </w:divBdr>
          <w:divsChild>
            <w:div w:id="623927629">
              <w:marLeft w:val="0"/>
              <w:marRight w:val="0"/>
              <w:marTop w:val="0"/>
              <w:marBottom w:val="0"/>
              <w:divBdr>
                <w:top w:val="none" w:sz="0" w:space="0" w:color="auto"/>
                <w:left w:val="none" w:sz="0" w:space="0" w:color="auto"/>
                <w:bottom w:val="none" w:sz="0" w:space="0" w:color="auto"/>
                <w:right w:val="none" w:sz="0" w:space="0" w:color="auto"/>
              </w:divBdr>
              <w:divsChild>
                <w:div w:id="364212643">
                  <w:marLeft w:val="0"/>
                  <w:marRight w:val="0"/>
                  <w:marTop w:val="0"/>
                  <w:marBottom w:val="0"/>
                  <w:divBdr>
                    <w:top w:val="none" w:sz="0" w:space="0" w:color="auto"/>
                    <w:left w:val="none" w:sz="0" w:space="0" w:color="auto"/>
                    <w:bottom w:val="none" w:sz="0" w:space="0" w:color="auto"/>
                    <w:right w:val="none" w:sz="0" w:space="0" w:color="auto"/>
                  </w:divBdr>
                  <w:divsChild>
                    <w:div w:id="116883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00178">
          <w:marLeft w:val="0"/>
          <w:marRight w:val="0"/>
          <w:marTop w:val="0"/>
          <w:marBottom w:val="0"/>
          <w:divBdr>
            <w:top w:val="none" w:sz="0" w:space="0" w:color="auto"/>
            <w:left w:val="none" w:sz="0" w:space="0" w:color="auto"/>
            <w:bottom w:val="none" w:sz="0" w:space="0" w:color="auto"/>
            <w:right w:val="none" w:sz="0" w:space="0" w:color="auto"/>
          </w:divBdr>
          <w:divsChild>
            <w:div w:id="1476296305">
              <w:marLeft w:val="0"/>
              <w:marRight w:val="0"/>
              <w:marTop w:val="0"/>
              <w:marBottom w:val="0"/>
              <w:divBdr>
                <w:top w:val="none" w:sz="0" w:space="0" w:color="auto"/>
                <w:left w:val="none" w:sz="0" w:space="0" w:color="auto"/>
                <w:bottom w:val="none" w:sz="0" w:space="0" w:color="auto"/>
                <w:right w:val="none" w:sz="0" w:space="0" w:color="auto"/>
              </w:divBdr>
              <w:divsChild>
                <w:div w:id="2133208993">
                  <w:marLeft w:val="0"/>
                  <w:marRight w:val="0"/>
                  <w:marTop w:val="0"/>
                  <w:marBottom w:val="0"/>
                  <w:divBdr>
                    <w:top w:val="none" w:sz="0" w:space="0" w:color="auto"/>
                    <w:left w:val="none" w:sz="0" w:space="0" w:color="auto"/>
                    <w:bottom w:val="none" w:sz="0" w:space="0" w:color="auto"/>
                    <w:right w:val="none" w:sz="0" w:space="0" w:color="auto"/>
                  </w:divBdr>
                  <w:divsChild>
                    <w:div w:id="183287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183828">
      <w:bodyDiv w:val="1"/>
      <w:marLeft w:val="0"/>
      <w:marRight w:val="0"/>
      <w:marTop w:val="0"/>
      <w:marBottom w:val="0"/>
      <w:divBdr>
        <w:top w:val="none" w:sz="0" w:space="0" w:color="auto"/>
        <w:left w:val="none" w:sz="0" w:space="0" w:color="auto"/>
        <w:bottom w:val="none" w:sz="0" w:space="0" w:color="auto"/>
        <w:right w:val="none" w:sz="0" w:space="0" w:color="auto"/>
      </w:divBdr>
      <w:divsChild>
        <w:div w:id="1571386724">
          <w:marLeft w:val="0"/>
          <w:marRight w:val="0"/>
          <w:marTop w:val="0"/>
          <w:marBottom w:val="0"/>
          <w:divBdr>
            <w:top w:val="none" w:sz="0" w:space="0" w:color="auto"/>
            <w:left w:val="none" w:sz="0" w:space="0" w:color="auto"/>
            <w:bottom w:val="none" w:sz="0" w:space="0" w:color="auto"/>
            <w:right w:val="none" w:sz="0" w:space="0" w:color="auto"/>
          </w:divBdr>
          <w:divsChild>
            <w:div w:id="91639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5414">
      <w:bodyDiv w:val="1"/>
      <w:marLeft w:val="0"/>
      <w:marRight w:val="0"/>
      <w:marTop w:val="0"/>
      <w:marBottom w:val="0"/>
      <w:divBdr>
        <w:top w:val="none" w:sz="0" w:space="0" w:color="auto"/>
        <w:left w:val="none" w:sz="0" w:space="0" w:color="auto"/>
        <w:bottom w:val="none" w:sz="0" w:space="0" w:color="auto"/>
        <w:right w:val="none" w:sz="0" w:space="0" w:color="auto"/>
      </w:divBdr>
      <w:divsChild>
        <w:div w:id="116995506">
          <w:marLeft w:val="0"/>
          <w:marRight w:val="0"/>
          <w:marTop w:val="0"/>
          <w:marBottom w:val="0"/>
          <w:divBdr>
            <w:top w:val="none" w:sz="0" w:space="0" w:color="auto"/>
            <w:left w:val="none" w:sz="0" w:space="0" w:color="auto"/>
            <w:bottom w:val="none" w:sz="0" w:space="0" w:color="auto"/>
            <w:right w:val="none" w:sz="0" w:space="0" w:color="auto"/>
          </w:divBdr>
          <w:divsChild>
            <w:div w:id="793445583">
              <w:marLeft w:val="0"/>
              <w:marRight w:val="0"/>
              <w:marTop w:val="0"/>
              <w:marBottom w:val="0"/>
              <w:divBdr>
                <w:top w:val="none" w:sz="0" w:space="0" w:color="auto"/>
                <w:left w:val="none" w:sz="0" w:space="0" w:color="auto"/>
                <w:bottom w:val="none" w:sz="0" w:space="0" w:color="auto"/>
                <w:right w:val="none" w:sz="0" w:space="0" w:color="auto"/>
              </w:divBdr>
              <w:divsChild>
                <w:div w:id="1669939402">
                  <w:marLeft w:val="0"/>
                  <w:marRight w:val="0"/>
                  <w:marTop w:val="0"/>
                  <w:marBottom w:val="0"/>
                  <w:divBdr>
                    <w:top w:val="none" w:sz="0" w:space="0" w:color="auto"/>
                    <w:left w:val="none" w:sz="0" w:space="0" w:color="auto"/>
                    <w:bottom w:val="none" w:sz="0" w:space="0" w:color="auto"/>
                    <w:right w:val="none" w:sz="0" w:space="0" w:color="auto"/>
                  </w:divBdr>
                  <w:divsChild>
                    <w:div w:id="57281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36492">
          <w:marLeft w:val="0"/>
          <w:marRight w:val="0"/>
          <w:marTop w:val="0"/>
          <w:marBottom w:val="0"/>
          <w:divBdr>
            <w:top w:val="none" w:sz="0" w:space="0" w:color="auto"/>
            <w:left w:val="none" w:sz="0" w:space="0" w:color="auto"/>
            <w:bottom w:val="none" w:sz="0" w:space="0" w:color="auto"/>
            <w:right w:val="none" w:sz="0" w:space="0" w:color="auto"/>
          </w:divBdr>
          <w:divsChild>
            <w:div w:id="1314288215">
              <w:marLeft w:val="0"/>
              <w:marRight w:val="0"/>
              <w:marTop w:val="0"/>
              <w:marBottom w:val="0"/>
              <w:divBdr>
                <w:top w:val="none" w:sz="0" w:space="0" w:color="auto"/>
                <w:left w:val="none" w:sz="0" w:space="0" w:color="auto"/>
                <w:bottom w:val="none" w:sz="0" w:space="0" w:color="auto"/>
                <w:right w:val="none" w:sz="0" w:space="0" w:color="auto"/>
              </w:divBdr>
              <w:divsChild>
                <w:div w:id="1656565105">
                  <w:marLeft w:val="0"/>
                  <w:marRight w:val="0"/>
                  <w:marTop w:val="0"/>
                  <w:marBottom w:val="0"/>
                  <w:divBdr>
                    <w:top w:val="none" w:sz="0" w:space="0" w:color="auto"/>
                    <w:left w:val="none" w:sz="0" w:space="0" w:color="auto"/>
                    <w:bottom w:val="none" w:sz="0" w:space="0" w:color="auto"/>
                    <w:right w:val="none" w:sz="0" w:space="0" w:color="auto"/>
                  </w:divBdr>
                  <w:divsChild>
                    <w:div w:id="205411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517288">
      <w:bodyDiv w:val="1"/>
      <w:marLeft w:val="0"/>
      <w:marRight w:val="0"/>
      <w:marTop w:val="0"/>
      <w:marBottom w:val="0"/>
      <w:divBdr>
        <w:top w:val="none" w:sz="0" w:space="0" w:color="auto"/>
        <w:left w:val="none" w:sz="0" w:space="0" w:color="auto"/>
        <w:bottom w:val="none" w:sz="0" w:space="0" w:color="auto"/>
        <w:right w:val="none" w:sz="0" w:space="0" w:color="auto"/>
      </w:divBdr>
      <w:divsChild>
        <w:div w:id="699204265">
          <w:marLeft w:val="0"/>
          <w:marRight w:val="0"/>
          <w:marTop w:val="0"/>
          <w:marBottom w:val="0"/>
          <w:divBdr>
            <w:top w:val="none" w:sz="0" w:space="0" w:color="auto"/>
            <w:left w:val="none" w:sz="0" w:space="0" w:color="auto"/>
            <w:bottom w:val="none" w:sz="0" w:space="0" w:color="auto"/>
            <w:right w:val="none" w:sz="0" w:space="0" w:color="auto"/>
          </w:divBdr>
          <w:divsChild>
            <w:div w:id="20815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5557">
      <w:bodyDiv w:val="1"/>
      <w:marLeft w:val="0"/>
      <w:marRight w:val="0"/>
      <w:marTop w:val="0"/>
      <w:marBottom w:val="0"/>
      <w:divBdr>
        <w:top w:val="none" w:sz="0" w:space="0" w:color="auto"/>
        <w:left w:val="none" w:sz="0" w:space="0" w:color="auto"/>
        <w:bottom w:val="none" w:sz="0" w:space="0" w:color="auto"/>
        <w:right w:val="none" w:sz="0" w:space="0" w:color="auto"/>
      </w:divBdr>
    </w:div>
    <w:div w:id="606625205">
      <w:bodyDiv w:val="1"/>
      <w:marLeft w:val="0"/>
      <w:marRight w:val="0"/>
      <w:marTop w:val="0"/>
      <w:marBottom w:val="0"/>
      <w:divBdr>
        <w:top w:val="none" w:sz="0" w:space="0" w:color="auto"/>
        <w:left w:val="none" w:sz="0" w:space="0" w:color="auto"/>
        <w:bottom w:val="none" w:sz="0" w:space="0" w:color="auto"/>
        <w:right w:val="none" w:sz="0" w:space="0" w:color="auto"/>
      </w:divBdr>
      <w:divsChild>
        <w:div w:id="862211755">
          <w:marLeft w:val="0"/>
          <w:marRight w:val="0"/>
          <w:marTop w:val="0"/>
          <w:marBottom w:val="0"/>
          <w:divBdr>
            <w:top w:val="none" w:sz="0" w:space="0" w:color="auto"/>
            <w:left w:val="none" w:sz="0" w:space="0" w:color="auto"/>
            <w:bottom w:val="none" w:sz="0" w:space="0" w:color="auto"/>
            <w:right w:val="none" w:sz="0" w:space="0" w:color="auto"/>
          </w:divBdr>
          <w:divsChild>
            <w:div w:id="17198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63641">
      <w:bodyDiv w:val="1"/>
      <w:marLeft w:val="0"/>
      <w:marRight w:val="0"/>
      <w:marTop w:val="0"/>
      <w:marBottom w:val="0"/>
      <w:divBdr>
        <w:top w:val="none" w:sz="0" w:space="0" w:color="auto"/>
        <w:left w:val="none" w:sz="0" w:space="0" w:color="auto"/>
        <w:bottom w:val="none" w:sz="0" w:space="0" w:color="auto"/>
        <w:right w:val="none" w:sz="0" w:space="0" w:color="auto"/>
      </w:divBdr>
    </w:div>
    <w:div w:id="858472341">
      <w:bodyDiv w:val="1"/>
      <w:marLeft w:val="0"/>
      <w:marRight w:val="0"/>
      <w:marTop w:val="0"/>
      <w:marBottom w:val="0"/>
      <w:divBdr>
        <w:top w:val="none" w:sz="0" w:space="0" w:color="auto"/>
        <w:left w:val="none" w:sz="0" w:space="0" w:color="auto"/>
        <w:bottom w:val="none" w:sz="0" w:space="0" w:color="auto"/>
        <w:right w:val="none" w:sz="0" w:space="0" w:color="auto"/>
      </w:divBdr>
    </w:div>
    <w:div w:id="1199970688">
      <w:bodyDiv w:val="1"/>
      <w:marLeft w:val="0"/>
      <w:marRight w:val="0"/>
      <w:marTop w:val="0"/>
      <w:marBottom w:val="0"/>
      <w:divBdr>
        <w:top w:val="none" w:sz="0" w:space="0" w:color="auto"/>
        <w:left w:val="none" w:sz="0" w:space="0" w:color="auto"/>
        <w:bottom w:val="none" w:sz="0" w:space="0" w:color="auto"/>
        <w:right w:val="none" w:sz="0" w:space="0" w:color="auto"/>
      </w:divBdr>
      <w:divsChild>
        <w:div w:id="884946416">
          <w:marLeft w:val="0"/>
          <w:marRight w:val="0"/>
          <w:marTop w:val="0"/>
          <w:marBottom w:val="0"/>
          <w:divBdr>
            <w:top w:val="none" w:sz="0" w:space="0" w:color="auto"/>
            <w:left w:val="none" w:sz="0" w:space="0" w:color="auto"/>
            <w:bottom w:val="none" w:sz="0" w:space="0" w:color="auto"/>
            <w:right w:val="none" w:sz="0" w:space="0" w:color="auto"/>
          </w:divBdr>
          <w:divsChild>
            <w:div w:id="34860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92180">
      <w:bodyDiv w:val="1"/>
      <w:marLeft w:val="0"/>
      <w:marRight w:val="0"/>
      <w:marTop w:val="0"/>
      <w:marBottom w:val="0"/>
      <w:divBdr>
        <w:top w:val="none" w:sz="0" w:space="0" w:color="auto"/>
        <w:left w:val="none" w:sz="0" w:space="0" w:color="auto"/>
        <w:bottom w:val="none" w:sz="0" w:space="0" w:color="auto"/>
        <w:right w:val="none" w:sz="0" w:space="0" w:color="auto"/>
      </w:divBdr>
      <w:divsChild>
        <w:div w:id="782457671">
          <w:marLeft w:val="0"/>
          <w:marRight w:val="0"/>
          <w:marTop w:val="0"/>
          <w:marBottom w:val="0"/>
          <w:divBdr>
            <w:top w:val="none" w:sz="0" w:space="0" w:color="auto"/>
            <w:left w:val="none" w:sz="0" w:space="0" w:color="auto"/>
            <w:bottom w:val="none" w:sz="0" w:space="0" w:color="auto"/>
            <w:right w:val="none" w:sz="0" w:space="0" w:color="auto"/>
          </w:divBdr>
          <w:divsChild>
            <w:div w:id="37180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5344">
      <w:bodyDiv w:val="1"/>
      <w:marLeft w:val="0"/>
      <w:marRight w:val="0"/>
      <w:marTop w:val="0"/>
      <w:marBottom w:val="0"/>
      <w:divBdr>
        <w:top w:val="none" w:sz="0" w:space="0" w:color="auto"/>
        <w:left w:val="none" w:sz="0" w:space="0" w:color="auto"/>
        <w:bottom w:val="none" w:sz="0" w:space="0" w:color="auto"/>
        <w:right w:val="none" w:sz="0" w:space="0" w:color="auto"/>
      </w:divBdr>
      <w:divsChild>
        <w:div w:id="2024741184">
          <w:marLeft w:val="0"/>
          <w:marRight w:val="0"/>
          <w:marTop w:val="0"/>
          <w:marBottom w:val="0"/>
          <w:divBdr>
            <w:top w:val="none" w:sz="0" w:space="0" w:color="auto"/>
            <w:left w:val="none" w:sz="0" w:space="0" w:color="auto"/>
            <w:bottom w:val="none" w:sz="0" w:space="0" w:color="auto"/>
            <w:right w:val="none" w:sz="0" w:space="0" w:color="auto"/>
          </w:divBdr>
          <w:divsChild>
            <w:div w:id="15107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25932">
      <w:bodyDiv w:val="1"/>
      <w:marLeft w:val="0"/>
      <w:marRight w:val="0"/>
      <w:marTop w:val="0"/>
      <w:marBottom w:val="0"/>
      <w:divBdr>
        <w:top w:val="none" w:sz="0" w:space="0" w:color="auto"/>
        <w:left w:val="none" w:sz="0" w:space="0" w:color="auto"/>
        <w:bottom w:val="none" w:sz="0" w:space="0" w:color="auto"/>
        <w:right w:val="none" w:sz="0" w:space="0" w:color="auto"/>
      </w:divBdr>
    </w:div>
    <w:div w:id="1541473473">
      <w:bodyDiv w:val="1"/>
      <w:marLeft w:val="0"/>
      <w:marRight w:val="0"/>
      <w:marTop w:val="0"/>
      <w:marBottom w:val="0"/>
      <w:divBdr>
        <w:top w:val="none" w:sz="0" w:space="0" w:color="auto"/>
        <w:left w:val="none" w:sz="0" w:space="0" w:color="auto"/>
        <w:bottom w:val="none" w:sz="0" w:space="0" w:color="auto"/>
        <w:right w:val="none" w:sz="0" w:space="0" w:color="auto"/>
      </w:divBdr>
      <w:divsChild>
        <w:div w:id="635180159">
          <w:marLeft w:val="0"/>
          <w:marRight w:val="0"/>
          <w:marTop w:val="0"/>
          <w:marBottom w:val="0"/>
          <w:divBdr>
            <w:top w:val="none" w:sz="0" w:space="0" w:color="auto"/>
            <w:left w:val="none" w:sz="0" w:space="0" w:color="auto"/>
            <w:bottom w:val="none" w:sz="0" w:space="0" w:color="auto"/>
            <w:right w:val="none" w:sz="0" w:space="0" w:color="auto"/>
          </w:divBdr>
          <w:divsChild>
            <w:div w:id="156945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4885">
      <w:bodyDiv w:val="1"/>
      <w:marLeft w:val="0"/>
      <w:marRight w:val="0"/>
      <w:marTop w:val="0"/>
      <w:marBottom w:val="0"/>
      <w:divBdr>
        <w:top w:val="none" w:sz="0" w:space="0" w:color="auto"/>
        <w:left w:val="none" w:sz="0" w:space="0" w:color="auto"/>
        <w:bottom w:val="none" w:sz="0" w:space="0" w:color="auto"/>
        <w:right w:val="none" w:sz="0" w:space="0" w:color="auto"/>
      </w:divBdr>
      <w:divsChild>
        <w:div w:id="236984124">
          <w:marLeft w:val="0"/>
          <w:marRight w:val="0"/>
          <w:marTop w:val="0"/>
          <w:marBottom w:val="0"/>
          <w:divBdr>
            <w:top w:val="none" w:sz="0" w:space="0" w:color="auto"/>
            <w:left w:val="none" w:sz="0" w:space="0" w:color="auto"/>
            <w:bottom w:val="none" w:sz="0" w:space="0" w:color="auto"/>
            <w:right w:val="none" w:sz="0" w:space="0" w:color="auto"/>
          </w:divBdr>
          <w:divsChild>
            <w:div w:id="5579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lth.data.ny.gov/Health/Hospital-Inpatient-Discharges-SPARCS-De-Identified/5dtw-tffi/about_data" TargetMode="External"/><Relationship Id="rId13" Type="http://schemas.openxmlformats.org/officeDocument/2006/relationships/hyperlink" Target="https://public.tableau.com/app/profile/arunavadas005/viz/NewYorkStateInsightsDashboard/HomePage" TargetMode="External"/><Relationship Id="rId3" Type="http://schemas.openxmlformats.org/officeDocument/2006/relationships/settings" Target="settings.xml"/><Relationship Id="rId7" Type="http://schemas.openxmlformats.org/officeDocument/2006/relationships/hyperlink" Target="https://data.ny.gov/Energy-Environment/Energy-Prices-Dollars-per-Million-Btu-Beginning-19/pzgr-wqm5/about_data" TargetMode="External"/><Relationship Id="rId12" Type="http://schemas.openxmlformats.org/officeDocument/2006/relationships/hyperlink" Target="https://dol.ny.gov/statistics-regional-long-term-occupational-proje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ny.gov/Energy-Environment/Solar-Electric-Programs-Reported-by-NYSERDA-Beginn/3x8r-34rs/data" TargetMode="External"/><Relationship Id="rId11" Type="http://schemas.openxmlformats.org/officeDocument/2006/relationships/hyperlink" Target="https://dol.ny.gov/employment-projection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ata.ny.gov/Public-Safety/Hate-Crimes-by-County-and-Bias-Type-Beginning-2010/6xda-q7ev/about_data" TargetMode="External"/><Relationship Id="rId4" Type="http://schemas.openxmlformats.org/officeDocument/2006/relationships/webSettings" Target="webSettings.xml"/><Relationship Id="rId9" Type="http://schemas.openxmlformats.org/officeDocument/2006/relationships/hyperlink" Target="https://data.ny.gov/Public-Safety/Index-Crimes-by-County-and-Agency-Beginning-1990/ca8h-8gjq/about_data%5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2024-12-09T20:00:00Z</dcterms:created>
  <dcterms:modified xsi:type="dcterms:W3CDTF">2024-12-11T04:23:00Z</dcterms:modified>
</cp:coreProperties>
</file>