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1a8f8226aa9d2540aadce18e2a00d3bd04468b"/>
      <w:r>
        <w:t xml:space="preserve">Alexandro Disla</w:t>
      </w:r>
      <w:bookmarkEnd w:id="9"/>
    </w:p>
    <w:p>
      <w:pPr>
        <w:pStyle w:val="FirstParagraph"/>
      </w:pPr>
      <w:r>
        <w:rPr>
          <w:b/>
          <w:bCs/>
        </w:rPr>
        <w:t xml:space="preserve">Suivi, Évaluation, Redevabilité et Apprentissage (MEAL)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Tél : (+509) 4148-3700 | alexandrodisla@hotmail.com | GitHub : https://github.com/AD0791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345794a93652e46197d679d181999e60d42e15d"/>
      <w:r>
        <w:t xml:space="preserve">Profil Professionnel</w:t>
      </w:r>
      <w:bookmarkEnd w:id="10"/>
    </w:p>
    <w:p>
      <w:pPr>
        <w:pStyle w:val="FirstParagraph"/>
      </w:pPr>
      <w:r>
        <w:t xml:space="preserve">Praticien MEAL avec</w:t>
      </w:r>
      <w:r>
        <w:t xml:space="preserve"> </w:t>
      </w:r>
      <w:r>
        <w:rPr>
          <w:b/>
          <w:bCs/>
        </w:rPr>
        <w:t xml:space="preserve">cinq ans d’expérience</w:t>
      </w:r>
      <w:r>
        <w:t xml:space="preserve"> </w:t>
      </w:r>
      <w:r>
        <w:t xml:space="preserve">sur des projets multi-sites en Haïti, répartis sur trois secteurs — santé et VIH à la Caris Foundation International, eau et assainissement chez HANWASH, éducation chez Anseye Pou Ayiti — précédés de huit ans de suivi d’indicateurs de projets publics au Ministère de la Planification. Je conçois les outils de collecte sur</w:t>
      </w:r>
      <w:r>
        <w:t xml:space="preserve"> </w:t>
      </w:r>
      <w:r>
        <w:rPr>
          <w:b/>
          <w:bCs/>
        </w:rPr>
        <w:t xml:space="preserve">KoboToolbox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ODK</w:t>
      </w:r>
      <w:r>
        <w:t xml:space="preserve">, forme les agents qui les utilisent, vérifie les données remontées, en tire les indicateurs et les restitue aux équipes.</w:t>
      </w:r>
      <w:r>
        <w:t xml:space="preserve"> </w:t>
      </w:r>
      <w:r>
        <w:rPr>
          <w:b/>
          <w:bCs/>
        </w:rPr>
        <w:t xml:space="preserve">Ingénieur de données</w:t>
      </w:r>
      <w:r>
        <w:t xml:space="preserve"> </w:t>
      </w:r>
      <w:r>
        <w:t xml:space="preserve">en parallèle, j’administre les bases et construis les tableaux de bord dont dépend un système MEAL. Résident de Port-au-Prince ;</w:t>
      </w:r>
      <w:r>
        <w:t xml:space="preserve"> </w:t>
      </w:r>
      <w:r>
        <w:rPr>
          <w:b/>
          <w:bCs/>
        </w:rPr>
        <w:t xml:space="preserve">français et créole haïtien maternels</w:t>
      </w:r>
      <w:r>
        <w:t xml:space="preserve">, anglais courant.</w:t>
      </w:r>
    </w:p>
    <w:p>
      <w:pPr>
        <w:pStyle w:val="Heading2"/>
      </w:pPr>
      <w:bookmarkStart w:id="11" w:name="_224b5be182155dbd1da452d43845dbf2be3749e"/>
      <w:r>
        <w:t xml:space="preserve">Compétences Clés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Collecte de données :</w:t>
      </w:r>
      <w:r>
        <w:t xml:space="preserve"> </w:t>
      </w:r>
      <w:r>
        <w:t xml:space="preserve">Conception d’instruments XLSForm avec logiques de saut et contraintes de validation sur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</w:t>
      </w:r>
      <w:r>
        <w:t xml:space="preserve"> </w:t>
      </w:r>
      <w:r>
        <w:rPr>
          <w:b/>
          <w:bCs/>
        </w:rPr>
        <w:t xml:space="preserve">ODK</w:t>
      </w:r>
      <w:r>
        <w:t xml:space="preserve">, CommCare et mWater ; déploiement d’enquêtes multi-sites et géospatiales ; administration des systèmes de collecte.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Bases de données et systèmes d’information :</w:t>
      </w:r>
      <w:r>
        <w:t xml:space="preserve"> </w:t>
      </w:r>
      <w:r>
        <w:t xml:space="preserve">Administration de bases relationnelles (MySQL, PostgreSQL) recevant les données de collecte ; bases propres à chaque projet ; nettoyage, contrôles de cohérence et dédoublonnage des listes de bénéficiaires.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:</w:t>
      </w:r>
      <w:r>
        <w:t xml:space="preserve"> </w:t>
      </w:r>
      <w:r>
        <w:t xml:space="preserve">Protocoles</w:t>
      </w:r>
      <w:r>
        <w:t xml:space="preserve"> </w:t>
      </w:r>
      <w:r>
        <w:rPr>
          <w:b/>
          <w:bCs/>
        </w:rPr>
        <w:t xml:space="preserve">DQA</w:t>
      </w:r>
      <w:r>
        <w:t xml:space="preserve"> </w:t>
      </w:r>
      <w:r>
        <w:t xml:space="preserve">établis et supervisés ; vérification par remontée des chiffres rapportés jusqu’aux registres sources ; suivi des actions correctives jusqu’à clôture.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et restitution :</w:t>
      </w:r>
      <w:r>
        <w:t xml:space="preserve"> </w:t>
      </w:r>
      <w:r>
        <w:t xml:space="preserve">Analyse statistique et échantillonnage (économiste appliqué de formation) ;</w:t>
      </w:r>
      <w:r>
        <w:t xml:space="preserve"> </w:t>
      </w:r>
      <w:r>
        <w:rPr>
          <w:b/>
          <w:bCs/>
        </w:rPr>
        <w:t xml:space="preserve">Excel (avancé)</w:t>
      </w:r>
      <w:r>
        <w:t xml:space="preserve">,</w:t>
      </w:r>
      <w:r>
        <w:t xml:space="preserve"> </w:t>
      </w:r>
      <w:r>
        <w:rPr>
          <w:b/>
          <w:bCs/>
        </w:rPr>
        <w:t xml:space="preserve">R</w:t>
      </w:r>
      <w:r>
        <w:t xml:space="preserve">, SQL et Python ; tableaux, graphiques et tableaux de bord</w:t>
      </w:r>
      <w:r>
        <w:t xml:space="preserve"> </w:t>
      </w:r>
      <w:r>
        <w:rPr>
          <w:b/>
          <w:bCs/>
        </w:rPr>
        <w:t xml:space="preserve">Power BI</w:t>
      </w:r>
      <w:r>
        <w:t xml:space="preserve">, Looker Studio et Quarto pour le suivi périodique des indicateurs et le rapportage bailleur.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Cadres MEAL :</w:t>
      </w:r>
      <w:r>
        <w:t xml:space="preserve"> </w:t>
      </w:r>
      <w:r>
        <w:t xml:space="preserve">Cadres logiques, chaînes de résultats, plans MEAL et tableaux de suivi des indicateurs, avec valeurs de référence, cibles, désagrégations et sources de vérification.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Formation et appui aux équipes :</w:t>
      </w:r>
      <w:r>
        <w:t xml:space="preserve"> </w:t>
      </w:r>
      <w:r>
        <w:t xml:space="preserve">Formation d’agents de collecte et d’équipes partenaires aux outils numériques et aux protocoles de qualité ; guides techniques qui les rendent autonomes.</w:t>
      </w:r>
    </w:p>
    <w:p>
      <w:pPr>
        <w:pStyle w:val="Heading2"/>
      </w:pPr>
      <w:bookmarkStart w:id="12" w:name="_5ca75f7258c1f552fc0a0e66aa8dcd00e01bd17"/>
      <w:r>
        <w:t xml:space="preserve">Expériences MEAL</w:t>
      </w:r>
      <w:bookmarkEnd w:id="12"/>
    </w:p>
    <w:p>
      <w:pPr>
        <w:pStyle w:val="Heading3"/>
      </w:pPr>
      <w:bookmarkStart w:id="13" w:name="_1a50165929a81955d0de17b5aa8072d2b36b17b"/>
      <w:r>
        <w:t xml:space="preserve">Officier de Suivi &amp; Évaluation — Impact Youth Project, Caris Foundation International</w:t>
      </w:r>
      <w:bookmarkEnd w:id="13"/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Collecte et suivi multi-sites :</w:t>
      </w:r>
      <w:r>
        <w:t xml:space="preserve"> </w:t>
      </w:r>
      <w:r>
        <w:t xml:space="preserve">Conduite du cycle de suivi d’un projet de santé et de VIH auprès de jeunes, sur des cliniques multi-sites : standardisation des formulaires et des flux de données entre sites, consolidation des remontées dans les délais.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Encadrement des agents de collecte :</w:t>
      </w:r>
      <w:r>
        <w:t xml:space="preserve"> </w:t>
      </w:r>
      <w:r>
        <w:t xml:space="preserve">Direction technique des agents de collecte sur l’ensemble des sites — répartition du travail, contrôle qualité, formation aux procédures — et référent technique du personnel de suivi-évaluation sur les contrôles de cohérence.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Vérification et assurance qualité (DQA) :</w:t>
      </w:r>
      <w:r>
        <w:t xml:space="preserve"> </w:t>
      </w:r>
      <w:r>
        <w:t xml:space="preserve">Établissement et supervision des protocoles de Data Quality Assessment sur les données intégrées MySQL, avec remontée des chiffres rapportés jusqu’aux registres sources et suivi des actions correctives jusqu’à clôture.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Systèmes d’information :</w:t>
      </w:r>
      <w:r>
        <w:t xml:space="preserve"> </w:t>
      </w:r>
      <w:r>
        <w:t xml:space="preserve">Mise en place et administration des systèmes de collecte numérique et de la base alimentant le rapportage (CommCare, HIVHaiti, MySQL).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Rapportage bailleur :</w:t>
      </w:r>
      <w:r>
        <w:t xml:space="preserve"> </w:t>
      </w:r>
      <w:r>
        <w:t xml:space="preserve">Production et soumission des indicateurs MER destinés à l’USAID via DATIM, la plateforme du PEPFAR bâtie sur DHIS2.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Analyse &amp; restitution :</w:t>
      </w:r>
      <w:r>
        <w:t xml:space="preserve"> </w:t>
      </w:r>
      <w:r>
        <w:t xml:space="preserve">Rapports d’activité automatisés en Python et SQL, réduisant le temps de traitement manuel de 40 % ; tableaux de bord programme sur AWS (Quarto) et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pour le suivi périodique des indicateurs.</w:t>
      </w:r>
    </w:p>
    <w:p>
      <w:pPr>
        <w:pStyle w:val="Heading3"/>
      </w:pPr>
      <w:bookmarkStart w:id="14" w:name="_e413a61472dbc659cefe7de2fb3a68833b6d719"/>
      <w:r>
        <w:t xml:space="preserve">Consultant MEAL &amp; Analyste de Données — HANWASH</w:t>
      </w:r>
      <w:bookmarkEnd w:id="14"/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t xml:space="preserve">Raffinement des plans MEAL et des tableaux de suivi des indicateurs alignés sur les normes JMP (OMS/UNICEF) pour des programmes d’eau, d’hygiène et d’assainissement.</w:t>
      </w:r>
    </w:p>
    <w:p>
      <w:pPr>
        <w:pStyle w:val="Compact"/>
        <w:numPr>
          <w:ilvl w:val="0"/>
          <w:numId w:val="1003"/>
        </w:numPr>
      </w:pPr>
      <w:r>
        <w:t xml:space="preserve">Déploiement d’enquêtes géospatiales complexes sur mWater et administration de la base ; tableaux de bord automatisés (mWater,</w:t>
      </w:r>
      <w:r>
        <w:t xml:space="preserve"> </w:t>
      </w:r>
      <w:r>
        <w:rPr>
          <w:b/>
          <w:bCs/>
        </w:rPr>
        <w:t xml:space="preserve">Power BI</w:t>
      </w:r>
      <w:r>
        <w:t xml:space="preserve">) connectés aux API de collecte, guides techniques et formation des équipes à leur usage autonome.</w:t>
      </w:r>
    </w:p>
    <w:p>
      <w:pPr>
        <w:pStyle w:val="Heading3"/>
      </w:pPr>
      <w:bookmarkStart w:id="15" w:name="_2df2c8a21142dcf3867de463732279ce4004af9"/>
      <w:r>
        <w:t xml:space="preserve">Analyste de Données &amp; Consultant MEAL — Anseye Pou Ayiti</w:t>
      </w:r>
      <w:bookmarkEnd w:id="15"/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4"/>
        </w:numPr>
      </w:pPr>
      <w:r>
        <w:t xml:space="preserve">Définition de la stratégie de collecte et élaboration des indicateurs de performance de trois programmes ; codage des instruments XLSForm pour</w:t>
      </w:r>
      <w:r>
        <w:t xml:space="preserve"> </w:t>
      </w:r>
      <w:r>
        <w:rPr>
          <w:b/>
          <w:bCs/>
        </w:rPr>
        <w:t xml:space="preserve">ODK</w:t>
      </w:r>
      <w:r>
        <w:t xml:space="preserve"> </w:t>
      </w:r>
      <w:r>
        <w:t xml:space="preserve">avec logiques de saut et contraintes de validation, administration du système ODK, et</w:t>
      </w:r>
      <w:r>
        <w:t xml:space="preserve"> </w:t>
      </w:r>
      <w:r>
        <w:rPr>
          <w:b/>
          <w:bCs/>
        </w:rPr>
        <w:t xml:space="preserve">formation des agents de collecte</w:t>
      </w:r>
      <w:r>
        <w:t xml:space="preserve"> </w:t>
      </w:r>
      <w:r>
        <w:t xml:space="preserve">à leur utilisation.</w:t>
      </w:r>
    </w:p>
    <w:p>
      <w:pPr>
        <w:pStyle w:val="Heading3"/>
      </w:pPr>
      <w:bookmarkStart w:id="16" w:name="_95c32231c12054db65ff807b338342c0e46dd57"/>
      <w:r>
        <w:t xml:space="preserve">Économiste — Direction de Planification Économique et Sociale (DPES), Ministère de la Planification et de la Coopération Externe (MPCE)</w:t>
      </w:r>
      <w:bookmarkEnd w:id="16"/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Suivi de l’exécution du Plan Triennal d’Investissement 2014–2016 : indicateurs de projets publics sur l’ensemble des secteurs et des départements géographiques ; unité statistique et modélisation, avec participation à la construction du « Modèle de Planification du Développement ».</w:t>
      </w:r>
    </w:p>
    <w:p>
      <w:pPr>
        <w:pStyle w:val="Heading2"/>
      </w:pPr>
      <w:bookmarkStart w:id="17" w:name="_73c86289b0edc8f391d0ae7a00bad40468ee1b6"/>
      <w:r>
        <w:t xml:space="preserve">Expériences en Ingénierie de Données et Systèmes</w:t>
      </w:r>
      <w:bookmarkEnd w:id="17"/>
    </w:p>
    <w:p>
      <w:pPr>
        <w:pStyle w:val="Heading3"/>
      </w:pPr>
      <w:bookmarkStart w:id="18" w:name="_927862e62f9c2466f65284b4f0216f5d40b36b2"/>
      <w:r>
        <w:t xml:space="preserve">Ingénieur Logiciel (Fullstack) — Tekkod LLC</w:t>
      </w:r>
      <w:bookmarkEnd w:id="18"/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Modernisation d’infrastructure mobile avec fiabilité hors ligne et sécurité des données ; tableaux de bord Looker Studio.</w:t>
      </w:r>
    </w:p>
    <w:p>
      <w:pPr>
        <w:pStyle w:val="Heading3"/>
      </w:pPr>
      <w:bookmarkStart w:id="19" w:name="_ee43da1ccee9389eb75a41af050acb5b3741142"/>
      <w:r>
        <w:t xml:space="preserve">Développeur Backend &amp; Ingénieur de Données — Tekkod LLC</w:t>
      </w:r>
      <w:bookmarkEnd w:id="19"/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; pipelines ETL (Apache Beam) migrant les données MongoDB vers BigQuery ; services REST sécurisés (FastAPI, JWT) avec contrôle d’accès par rôle.</w:t>
      </w:r>
    </w:p>
    <w:p>
      <w:pPr>
        <w:pStyle w:val="Heading3"/>
      </w:pPr>
      <w:bookmarkStart w:id="20" w:name="_799b7435753c1a631bb7630b26cf7f2bc1bd16c"/>
      <w:r>
        <w:t xml:space="preserve">Consultant Logiciel &amp; Spécialiste Intégration de Données — CassionSoft (Projet UNOPS)</w:t>
      </w:r>
      <w:bookmarkEnd w:id="20"/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aux procédures et standards documentaires onusiens.</w:t>
      </w:r>
    </w:p>
    <w:p>
      <w:pPr>
        <w:pStyle w:val="Heading2"/>
      </w:pPr>
      <w:bookmarkStart w:id="21" w:name="_formation"/>
      <w:r>
        <w:t xml:space="preserve">Formation</w:t>
      </w:r>
      <w:bookmarkEnd w:id="21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 — Études Supérieures en Économie Appliquée</w:t>
      </w:r>
      <w:r>
        <w:t xml:space="preserve"> </w:t>
      </w:r>
      <w:r>
        <w:t xml:space="preserve">— C.T.P.E.A (Centre de Techniques de Planification et d’Économie Appliquée), Port-au-Prince : cycle de quatre ans en économie et statistique appliquées, au-delà du niveau Bac+2 requis.</w:t>
      </w:r>
      <w:r>
        <w:t xml:space="preserve"> </w:t>
      </w:r>
      <w:r>
        <w:rPr>
          <w:i/>
          <w:iCs/>
        </w:rPr>
        <w:t xml:space="preserve">Scolarité complétée ; Diplôme d’Études Supérieures en attente de la soutenance du mémoire de sortie — attestation officielle jointe au dossier.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 — Baccalauréat (Mention)</w:t>
      </w:r>
      <w:r>
        <w:t xml:space="preserve"> </w:t>
      </w:r>
      <w:r>
        <w:t xml:space="preserve">— Institution Saint-Louis de Gonzague,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p>
      <w:pPr>
        <w:pStyle w:val="Heading2"/>
      </w:pPr>
      <w:bookmarkStart w:id="22" w:name="_172090e8e5ac8c63a6b2b445ed2613371452977"/>
      <w:r>
        <w:t xml:space="preserve">Compétences Techniques</w:t>
      </w:r>
      <w:bookmarkEnd w:id="22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Collecte :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</w:t>
      </w:r>
      <w:r>
        <w:t xml:space="preserve"> </w:t>
      </w:r>
      <w:r>
        <w:rPr>
          <w:b/>
          <w:bCs/>
        </w:rPr>
        <w:t xml:space="preserve">ODK (Open Data Kit)</w:t>
      </w:r>
      <w:r>
        <w:t xml:space="preserve">,</w:t>
      </w:r>
      <w:r>
        <w:t xml:space="preserve"> </w:t>
      </w:r>
      <w:r>
        <w:rPr>
          <w:b/>
          <w:bCs/>
        </w:rPr>
        <w:t xml:space="preserve">XLSForm</w:t>
      </w:r>
      <w:r>
        <w:t xml:space="preserve">, CommCare, mWater, HIVHaiti, DHIS2/DATIM</w:t>
      </w:r>
      <w:r>
        <w:t xml:space="preserve"> </w:t>
      </w:r>
      <w:r>
        <w:rPr>
          <w:i/>
          <w:iCs/>
        </w:rPr>
        <w:t xml:space="preserve">(soumission de données)</w:t>
      </w:r>
      <w:r>
        <w:t xml:space="preserve">, protocoles DQA, ITT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Bureautique &amp; viz :</w:t>
      </w:r>
      <w:r>
        <w:t xml:space="preserve"> </w:t>
      </w:r>
      <w:r>
        <w:rPr>
          <w:b/>
          <w:bCs/>
        </w:rPr>
        <w:t xml:space="preserve">MS Excel (avancé)</w:t>
      </w:r>
      <w:r>
        <w:t xml:space="preserve">, Word, PowerPoint, GSuite,</w:t>
      </w:r>
      <w:r>
        <w:t xml:space="preserve"> </w:t>
      </w:r>
      <w:r>
        <w:rPr>
          <w:b/>
          <w:bCs/>
        </w:rPr>
        <w:t xml:space="preserve">Power BI (expert)</w:t>
      </w:r>
      <w:r>
        <w:t xml:space="preserve">, Looker Studio, Teams et Zoom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statistique 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(RMarkdown/Quarto), SQL, Python (Pandas), modélisation statistique, échantillonnage, analyse qualitative et quantitative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Bases de données :</w:t>
      </w:r>
      <w:r>
        <w:t xml:space="preserve"> </w:t>
      </w:r>
      <w:r>
        <w:t xml:space="preserve">MySQL, PostgreSQL, MongoDB, SQLite, Azure, AWS, Google Cloud (BigQuery), Docker, Git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Créole haïtien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(courant, rédaction de rapports)</w:t>
      </w:r>
    </w:p>
    <w:p>
      <w:pPr>
        <w:pStyle w:val="Heading2"/>
      </w:pPr>
      <w:bookmarkStart w:id="23" w:name="_références"/>
      <w:r>
        <w:t xml:space="preserve">Références</w:t>
      </w:r>
      <w:bookmarkEnd w:id="23"/>
    </w:p>
    <w:p>
      <w:pPr>
        <w:pStyle w:val="FirstParagraph"/>
      </w:pPr>
      <w:r>
        <w:t xml:space="preserve">Trois références professionnelles, avec leurs coordonnées, figurent sur la page jointe au dossier.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2026-10-11T09:42:12Z</dcterms:created>
  <dcterms:modified xsi:type="dcterms:W3CDTF">2026-10-11T09:42:12Z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