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3"/>
      </w:pPr>
      <w:bookmarkStart w:id="28" w:name="les-questions-dinfrastructures"/>
      <w:r>
        <w:t xml:space="preserve">Les Questions D’infrastructures</w:t>
      </w:r>
      <w:bookmarkEnd w:id="28"/>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CaptionedFigure"/>
      </w:pPr>
      <w:r>
        <w:drawing>
          <wp:inline>
            <wp:extent cx="5334000" cy="3836565"/>
            <wp:effectExtent b="0" l="0" r="0" t="0"/>
            <wp:docPr descr="client-server" title="" id="1" name="Picture"/>
            <a:graphic>
              <a:graphicData uri="http://schemas.openxmlformats.org/drawingml/2006/picture">
                <pic:pic>
                  <pic:nvPicPr>
                    <pic:cNvPr descr="./assets/client-server.png" id="0" name="Picture"/>
                    <pic:cNvPicPr>
                      <a:picLocks noChangeArrowheads="1" noChangeAspect="1"/>
                    </pic:cNvPicPr>
                  </pic:nvPicPr>
                  <pic:blipFill>
                    <a:blip r:embed="rId29"/>
                    <a:stretch>
                      <a:fillRect/>
                    </a:stretch>
                  </pic:blipFill>
                  <pic:spPr bwMode="auto">
                    <a:xfrm>
                      <a:off x="0" y="0"/>
                      <a:ext cx="5334000" cy="3836565"/>
                    </a:xfrm>
                    <a:prstGeom prst="rect">
                      <a:avLst/>
                    </a:prstGeom>
                    <a:noFill/>
                    <a:ln w="9525">
                      <a:noFill/>
                      <a:headEnd/>
                      <a:tailEnd/>
                    </a:ln>
                  </pic:spPr>
                </pic:pic>
              </a:graphicData>
            </a:graphic>
          </wp:inline>
        </w:drawing>
      </w:r>
    </w:p>
    <w:p>
      <w:pPr>
        <w:pStyle w:val="ImageCaption"/>
      </w:pPr>
      <w:r>
        <w:t xml:space="preserve">client-server</w:t>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w:t>
      </w:r>
    </w:p>
    <w:p>
      <w:pPr>
        <w:numPr>
          <w:ilvl w:val="0"/>
          <w:numId w:val="1003"/>
        </w:numPr>
      </w:pPr>
      <w:r>
        <w:t xml:space="preserve">monolithic or microservices</w:t>
      </w:r>
    </w:p>
    <w:p>
      <w:pPr>
        <w:numPr>
          <w:ilvl w:val="0"/>
          <w:numId w:val="1003"/>
        </w:numPr>
      </w:pPr>
      <w:r>
        <w:t xml:space="preserve">Restapi or graphql</w:t>
      </w:r>
    </w:p>
    <w:p>
      <w:pPr>
        <w:pStyle w:val="BlockText"/>
      </w:pPr>
      <w:r>
        <w:t xml:space="preserve">Decision:</w:t>
      </w:r>
    </w:p>
    <w:p>
      <w:pPr>
        <w:pStyle w:val="FirstParagraph"/>
      </w:pPr>
      <w:r>
        <w:t xml:space="preserve">Software Architecture</w:t>
      </w:r>
      <w:r>
        <w:t xml:space="preserve"> </w:t>
      </w:r>
      <w:r>
        <w:rPr>
          <w:rStyle w:val="VerbatimChar"/>
        </w:rPr>
        <w:t xml:space="preserve">$course :product.manger/scrumMaster/product.owner</w:t>
      </w:r>
    </w:p>
    <w:p>
      <w:pPr>
        <w:pStyle w:val="Heading2"/>
      </w:pPr>
      <w:bookmarkStart w:id="30" w:name="delai-de-realisation-de-lapplication"/>
      <w:r>
        <w:t xml:space="preserve">Delai de realisation de l’application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2020-08-28T18:01:21Z</dcterms:created>
  <dcterms:modified xsi:type="dcterms:W3CDTF">2020-08-28T18:01:21Z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