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доцент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Помыкин Михаил Антонович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3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Библиотека должна быть актуальна (включать ресурсы, не старше 5 лет).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4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конференция кафедры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расписания преподавателей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тематической справочной информации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7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выбрать самостоятельно другое направление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A3D0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E44229"/>
  </w:style>
  <w:style w:type="character" w:styleId="imlogmatch" w:customStyle="1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" w:customStyle="1">
    <w:name w:val="Обычный1"/>
    <w:rsid w:val="00F94BE6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A25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.herzen.spb.ru/p/newebs" TargetMode="External"/><Relationship Id="rId10" Type="http://schemas.openxmlformats.org/officeDocument/2006/relationships/hyperlink" Target="https://lib.herzen.spb.ru/" TargetMode="External"/><Relationship Id="rId13" Type="http://schemas.openxmlformats.org/officeDocument/2006/relationships/hyperlink" Target="https://lib.herzen.spb.ru/p/newebs" TargetMode="External"/><Relationship Id="rId12" Type="http://schemas.openxmlformats.org/officeDocument/2006/relationships/hyperlink" Target="https://lib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i/bHPfXyufLTK0og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vsq20nInF2MgON+zT4elGQLnw==">CgMxLjA4AHIhMWNzYVBDY1pPOFdIRWpzZzkyeWZvOHhwY3NQYmJBUXVD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2025-01-29T07:09:00Z</dcterms:created>
  <dc:creator>Тусик</dc:creator>
</cp:coreProperties>
</file>