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0"/>
        <w:rPr>
          <w:rFonts w:ascii="Times New Roman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82688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Times New Roman"/>
        </w:rPr>
        <w:drawing>
          <wp:inline distT="0" distB="0" distL="0" distR="0">
            <wp:extent cx="5050968" cy="4927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68" cy="4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98"/>
        <w:ind w:left="0" w:right="146" w:firstLine="0"/>
        <w:jc w:val="right"/>
        <w:rPr>
          <w:rFonts w:ascii="Arial"/>
          <w:b/>
          <w:sz w:val="21"/>
        </w:rPr>
      </w:pPr>
      <w:r>
        <w:rPr>
          <w:rFonts w:ascii="Arial"/>
          <w:b/>
          <w:spacing w:val="10"/>
          <w:sz w:val="21"/>
        </w:rPr>
        <w:t>9-</w:t>
      </w:r>
      <w:r>
        <w:rPr>
          <w:rFonts w:ascii="Arial"/>
          <w:b/>
          <w:spacing w:val="-36"/>
          <w:sz w:val="21"/>
        </w:rPr>
        <w:t> </w:t>
      </w:r>
      <w:r>
        <w:rPr>
          <w:rFonts w:ascii="Arial"/>
          <w:b/>
          <w:spacing w:val="14"/>
          <w:sz w:val="21"/>
        </w:rPr>
        <w:t>205</w:t>
      </w:r>
      <w:r>
        <w:rPr>
          <w:rFonts w:ascii="Arial"/>
          <w:b/>
          <w:spacing w:val="-34"/>
          <w:sz w:val="21"/>
        </w:rPr>
        <w:t> </w:t>
      </w:r>
      <w:r>
        <w:rPr>
          <w:rFonts w:ascii="Arial"/>
          <w:b/>
          <w:sz w:val="21"/>
        </w:rPr>
        <w:t>-</w:t>
      </w:r>
      <w:r>
        <w:rPr>
          <w:rFonts w:ascii="Arial"/>
          <w:b/>
          <w:spacing w:val="-36"/>
          <w:sz w:val="21"/>
        </w:rPr>
        <w:t> </w:t>
      </w:r>
      <w:r>
        <w:rPr>
          <w:rFonts w:ascii="Arial"/>
          <w:b/>
          <w:spacing w:val="14"/>
          <w:sz w:val="21"/>
        </w:rPr>
        <w:t>058</w:t>
      </w:r>
      <w:r>
        <w:rPr>
          <w:rFonts w:ascii="Arial"/>
          <w:b/>
          <w:spacing w:val="-36"/>
          <w:sz w:val="21"/>
        </w:rPr>
        <w:t> </w:t>
      </w:r>
    </w:p>
    <w:p>
      <w:pPr>
        <w:spacing w:before="63"/>
        <w:ind w:left="0" w:right="147" w:firstLine="0"/>
        <w:jc w:val="right"/>
        <w:rPr>
          <w:sz w:val="12"/>
        </w:rPr>
      </w:pPr>
      <w:r>
        <w:rPr>
          <w:w w:val="105"/>
          <w:sz w:val="12"/>
        </w:rPr>
        <w:t>R</w:t>
      </w:r>
      <w:r>
        <w:rPr>
          <w:spacing w:val="-5"/>
          <w:w w:val="105"/>
          <w:sz w:val="12"/>
        </w:rPr>
        <w:t> </w:t>
      </w:r>
      <w:r>
        <w:rPr>
          <w:spacing w:val="14"/>
          <w:w w:val="105"/>
          <w:sz w:val="12"/>
        </w:rPr>
        <w:t>EV:</w:t>
      </w:r>
      <w:r>
        <w:rPr>
          <w:spacing w:val="48"/>
          <w:w w:val="105"/>
          <w:sz w:val="12"/>
        </w:rPr>
        <w:t> </w:t>
      </w:r>
      <w:r>
        <w:rPr>
          <w:spacing w:val="10"/>
          <w:w w:val="105"/>
          <w:sz w:val="12"/>
        </w:rPr>
        <w:t>AU</w:t>
      </w:r>
      <w:r>
        <w:rPr>
          <w:spacing w:val="-5"/>
          <w:w w:val="105"/>
          <w:sz w:val="12"/>
        </w:rPr>
        <w:t> </w:t>
      </w:r>
      <w:r>
        <w:rPr>
          <w:spacing w:val="10"/>
          <w:w w:val="105"/>
          <w:sz w:val="12"/>
        </w:rPr>
        <w:t>GU</w:t>
      </w:r>
      <w:r>
        <w:rPr>
          <w:spacing w:val="-4"/>
          <w:w w:val="105"/>
          <w:sz w:val="12"/>
        </w:rPr>
        <w:t> </w:t>
      </w:r>
      <w:r>
        <w:rPr>
          <w:spacing w:val="10"/>
          <w:w w:val="105"/>
          <w:sz w:val="12"/>
        </w:rPr>
        <w:t>ST</w:t>
      </w:r>
      <w:r>
        <w:rPr>
          <w:spacing w:val="47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9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, 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> </w:t>
      </w:r>
      <w:r>
        <w:rPr>
          <w:spacing w:val="14"/>
          <w:w w:val="105"/>
          <w:sz w:val="12"/>
        </w:rPr>
        <w:t>011</w:t>
      </w:r>
      <w:r>
        <w:rPr>
          <w:spacing w:val="-5"/>
          <w:sz w:val="12"/>
        </w:rPr>
        <w:t> 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line="441" w:lineRule="auto" w:before="97"/>
        <w:ind w:left="502" w:right="7813" w:firstLine="0"/>
        <w:jc w:val="left"/>
        <w:rPr>
          <w:sz w:val="12"/>
        </w:rPr>
      </w:pPr>
      <w:r>
        <w:rPr>
          <w:spacing w:val="10"/>
          <w:w w:val="115"/>
          <w:sz w:val="12"/>
        </w:rPr>
        <w:t>MA</w:t>
      </w:r>
      <w:r>
        <w:rPr>
          <w:spacing w:val="-10"/>
          <w:w w:val="115"/>
          <w:sz w:val="12"/>
        </w:rPr>
        <w:t> </w:t>
      </w:r>
      <w:r>
        <w:rPr>
          <w:w w:val="115"/>
          <w:sz w:val="12"/>
        </w:rPr>
        <w:t>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</w:t>
      </w:r>
      <w:r>
        <w:rPr>
          <w:spacing w:val="-9"/>
          <w:w w:val="115"/>
          <w:sz w:val="12"/>
        </w:rPr>
        <w:t> </w:t>
      </w:r>
      <w:r>
        <w:rPr>
          <w:spacing w:val="9"/>
          <w:w w:val="115"/>
          <w:sz w:val="12"/>
        </w:rPr>
        <w:t>LM</w:t>
      </w:r>
      <w:r>
        <w:rPr>
          <w:spacing w:val="44"/>
          <w:w w:val="115"/>
          <w:sz w:val="12"/>
        </w:rPr>
        <w:t> </w:t>
      </w:r>
      <w:r>
        <w:rPr>
          <w:spacing w:val="14"/>
          <w:w w:val="115"/>
          <w:sz w:val="12"/>
        </w:rPr>
        <w:t>BAKE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11"/>
          <w:w w:val="115"/>
          <w:sz w:val="12"/>
        </w:rPr>
        <w:t> </w:t>
      </w:r>
      <w:r>
        <w:rPr>
          <w:spacing w:val="10"/>
          <w:w w:val="115"/>
          <w:sz w:val="12"/>
        </w:rPr>
        <w:t>AM</w:t>
      </w:r>
      <w:r>
        <w:rPr>
          <w:spacing w:val="-11"/>
          <w:w w:val="115"/>
          <w:sz w:val="12"/>
        </w:rPr>
        <w:t> </w:t>
      </w:r>
      <w:r>
        <w:rPr>
          <w:spacing w:val="10"/>
          <w:w w:val="115"/>
          <w:sz w:val="12"/>
        </w:rPr>
        <w:t>ES</w:t>
      </w:r>
      <w:r>
        <w:rPr>
          <w:spacing w:val="38"/>
          <w:w w:val="115"/>
          <w:sz w:val="12"/>
        </w:rPr>
        <w:t> </w:t>
      </w:r>
      <w:r>
        <w:rPr>
          <w:spacing w:val="10"/>
          <w:w w:val="115"/>
          <w:sz w:val="12"/>
        </w:rPr>
        <w:t>QU</w:t>
      </w:r>
      <w:r>
        <w:rPr>
          <w:spacing w:val="-11"/>
          <w:w w:val="115"/>
          <w:sz w:val="12"/>
        </w:rPr>
        <w:t> </w:t>
      </w:r>
      <w:r>
        <w:rPr>
          <w:spacing w:val="13"/>
          <w:w w:val="115"/>
          <w:sz w:val="12"/>
        </w:rPr>
        <w:t>INN</w:t>
      </w:r>
      <w:r>
        <w:rPr>
          <w:spacing w:val="-6"/>
          <w:sz w:val="12"/>
        </w:rPr>
        <w:t> </w:t>
      </w:r>
    </w:p>
    <w:p>
      <w:pPr>
        <w:spacing w:before="94"/>
        <w:ind w:left="502" w:right="0" w:firstLine="0"/>
        <w:jc w:val="left"/>
        <w:rPr>
          <w:rFonts w:ascii="Palatino Linotype" w:hAnsi="Palatino Linotype"/>
          <w:b/>
          <w:sz w:val="38"/>
        </w:rPr>
      </w:pPr>
      <w:r>
        <w:rPr>
          <w:rFonts w:ascii="Palatino Linotype" w:hAnsi="Palatino Linotype"/>
          <w:b/>
          <w:sz w:val="38"/>
        </w:rPr>
        <w:t>Berkshire</w:t>
      </w:r>
      <w:r>
        <w:rPr>
          <w:rFonts w:ascii="Palatino Linotype" w:hAnsi="Palatino Linotype"/>
          <w:b/>
          <w:spacing w:val="-3"/>
          <w:sz w:val="38"/>
        </w:rPr>
        <w:t> </w:t>
      </w:r>
      <w:r>
        <w:rPr>
          <w:rFonts w:ascii="Palatino Linotype" w:hAnsi="Palatino Linotype"/>
          <w:b/>
          <w:sz w:val="38"/>
        </w:rPr>
        <w:t>Partners:</w:t>
      </w:r>
      <w:r>
        <w:rPr>
          <w:rFonts w:ascii="Palatino Linotype" w:hAnsi="Palatino Linotype"/>
          <w:b/>
          <w:spacing w:val="-2"/>
          <w:sz w:val="38"/>
        </w:rPr>
        <w:t> </w:t>
      </w:r>
      <w:r>
        <w:rPr>
          <w:rFonts w:ascii="Palatino Linotype" w:hAnsi="Palatino Linotype"/>
          <w:b/>
          <w:sz w:val="38"/>
        </w:rPr>
        <w:t>Bidding</w:t>
      </w:r>
      <w:r>
        <w:rPr>
          <w:rFonts w:ascii="Palatino Linotype" w:hAnsi="Palatino Linotype"/>
          <w:b/>
          <w:spacing w:val="-1"/>
          <w:sz w:val="38"/>
        </w:rPr>
        <w:t> </w:t>
      </w:r>
      <w:r>
        <w:rPr>
          <w:rFonts w:ascii="Palatino Linotype" w:hAnsi="Palatino Linotype"/>
          <w:b/>
          <w:sz w:val="38"/>
        </w:rPr>
        <w:t>for Carter’s</w:t>
      </w:r>
    </w:p>
    <w:p>
      <w:pPr>
        <w:pStyle w:val="BodyText"/>
        <w:rPr>
          <w:rFonts w:ascii="Palatino Linotype"/>
          <w:b/>
          <w:sz w:val="24"/>
        </w:rPr>
      </w:pPr>
    </w:p>
    <w:p>
      <w:pPr>
        <w:pStyle w:val="BodyText"/>
        <w:spacing w:before="95"/>
        <w:ind w:left="790"/>
      </w:pP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57"/>
        </w:rPr>
        <w:t> </w:t>
      </w:r>
      <w:r>
        <w:rPr/>
        <w:t>spring</w:t>
      </w:r>
      <w:r>
        <w:rPr>
          <w:spacing w:val="54"/>
        </w:rPr>
        <w:t> </w:t>
      </w:r>
      <w:r>
        <w:rPr/>
        <w:t>of</w:t>
      </w:r>
      <w:r>
        <w:rPr>
          <w:spacing w:val="58"/>
        </w:rPr>
        <w:t> </w:t>
      </w:r>
      <w:r>
        <w:rPr/>
        <w:t>2001,</w:t>
      </w:r>
      <w:r>
        <w:rPr>
          <w:spacing w:val="58"/>
        </w:rPr>
        <w:t> </w:t>
      </w:r>
      <w:r>
        <w:rPr/>
        <w:t>Boston-based</w:t>
      </w:r>
      <w:r>
        <w:rPr>
          <w:spacing w:val="57"/>
        </w:rPr>
        <w:t> </w:t>
      </w:r>
      <w:r>
        <w:rPr/>
        <w:t>pr</w:t>
      </w:r>
      <w:r>
        <w:rPr>
          <w:spacing w:val="16"/>
        </w:rPr>
        <w:t> </w:t>
      </w:r>
      <w:r>
        <w:rPr/>
        <w:t>vate</w:t>
      </w:r>
      <w:r>
        <w:rPr>
          <w:spacing w:val="57"/>
        </w:rPr>
        <w:t> </w:t>
      </w:r>
      <w:r>
        <w:rPr/>
        <w:t>equity</w:t>
      </w:r>
      <w:r>
        <w:rPr>
          <w:spacing w:val="66"/>
        </w:rPr>
        <w:t> </w:t>
      </w:r>
      <w:r>
        <w:rPr/>
        <w:t>firm</w:t>
      </w:r>
      <w:r>
        <w:rPr>
          <w:spacing w:val="57"/>
        </w:rPr>
        <w:t> </w:t>
      </w:r>
      <w:r>
        <w:rPr/>
        <w:t>Berkshire</w:t>
      </w:r>
      <w:r>
        <w:rPr>
          <w:spacing w:val="58"/>
        </w:rPr>
        <w:t> </w:t>
      </w:r>
      <w:r>
        <w:rPr/>
        <w:t>Partners</w:t>
      </w:r>
      <w:r>
        <w:rPr>
          <w:spacing w:val="59"/>
        </w:rPr>
        <w:t> </w:t>
      </w:r>
      <w:r>
        <w:rPr/>
        <w:t>was</w:t>
      </w:r>
      <w:r>
        <w:rPr>
          <w:spacing w:val="58"/>
        </w:rPr>
        <w:t> </w:t>
      </w:r>
      <w:r>
        <w:rPr/>
        <w:t>considering</w:t>
      </w:r>
      <w:r>
        <w:rPr>
          <w:spacing w:val="57"/>
        </w:rPr>
        <w:t> </w:t>
      </w:r>
      <w:r>
        <w:rPr/>
        <w:t>a</w:t>
      </w:r>
    </w:p>
    <w:p>
      <w:pPr>
        <w:pStyle w:val="BodyText"/>
        <w:spacing w:line="249" w:lineRule="auto" w:before="14"/>
        <w:ind w:left="502" w:right="127"/>
        <w:jc w:val="both"/>
      </w:pPr>
      <w:r>
        <w:rPr>
          <w:w w:val="105"/>
        </w:rPr>
        <w:t>leveraged buyout (LBO) of the William Carter Co., a leading producer of infant, baby, and children’s</w:t>
      </w:r>
      <w:r>
        <w:rPr>
          <w:spacing w:val="1"/>
          <w:w w:val="105"/>
        </w:rPr>
        <w:t> </w:t>
      </w:r>
      <w:r>
        <w:rPr>
          <w:w w:val="105"/>
        </w:rPr>
        <w:t>apparel in the United States. Berkshire Partners, which had extensive experience investing in the</w:t>
      </w:r>
      <w:r>
        <w:rPr>
          <w:spacing w:val="1"/>
          <w:w w:val="105"/>
        </w:rPr>
        <w:t> </w:t>
      </w:r>
      <w:r>
        <w:rPr>
          <w:w w:val="105"/>
        </w:rPr>
        <w:t>retail and manufacturing sectors, was initially drawn to Carter’s because of the strong brand name</w:t>
      </w:r>
      <w:r>
        <w:rPr>
          <w:spacing w:val="1"/>
          <w:w w:val="105"/>
        </w:rPr>
        <w:t> </w:t>
      </w:r>
      <w:r>
        <w:rPr>
          <w:w w:val="105"/>
        </w:rPr>
        <w:t>the company had developed during its 136-year history, as well as for the strength of the senior</w:t>
      </w:r>
      <w:r>
        <w:rPr>
          <w:spacing w:val="1"/>
          <w:w w:val="105"/>
        </w:rPr>
        <w:t> </w:t>
      </w:r>
      <w:r>
        <w:rPr>
          <w:w w:val="105"/>
        </w:rPr>
        <w:t>management team.</w:t>
      </w:r>
      <w:r>
        <w:rPr>
          <w:spacing w:val="1"/>
          <w:w w:val="105"/>
        </w:rPr>
        <w:t> </w:t>
      </w:r>
      <w:r>
        <w:rPr>
          <w:w w:val="105"/>
        </w:rPr>
        <w:t>(See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b/>
          <w:w w:val="105"/>
        </w:rPr>
        <w:t>Exhibit</w:t>
      </w:r>
      <w:r>
        <w:rPr>
          <w:rFonts w:ascii="Palatino Linotype" w:hAnsi="Palatino Linotype"/>
          <w:b/>
          <w:spacing w:val="-5"/>
          <w:w w:val="105"/>
        </w:rPr>
        <w:t> </w:t>
      </w:r>
      <w:r>
        <w:rPr>
          <w:rFonts w:ascii="Palatino Linotype" w:hAnsi="Palatino Linotype"/>
          <w:b/>
          <w:w w:val="105"/>
        </w:rPr>
        <w:t>1</w:t>
      </w:r>
      <w:r>
        <w:rPr>
          <w:rFonts w:ascii="Palatino Linotype" w:hAnsi="Palatino Linotype"/>
          <w:b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profile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Berkshire.)</w:t>
      </w:r>
    </w:p>
    <w:p>
      <w:pPr>
        <w:pStyle w:val="BodyText"/>
        <w:spacing w:line="244" w:lineRule="auto" w:before="167"/>
        <w:ind w:left="502" w:right="127" w:firstLine="288"/>
        <w:jc w:val="both"/>
      </w:pPr>
      <w:r>
        <w:rPr>
          <w:w w:val="105"/>
        </w:rPr>
        <w:t>To investigate the option of a potential LBO, Berkshire assembled a five-member team, to be led</w:t>
      </w:r>
      <w:r>
        <w:rPr>
          <w:spacing w:val="1"/>
          <w:w w:val="105"/>
        </w:rPr>
        <w:t> </w:t>
      </w:r>
      <w:r>
        <w:rPr>
          <w:w w:val="105"/>
        </w:rPr>
        <w:t>by managing directors Ross Jones and Bradley Bloom and senior associate Michael Ascione. (See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b/>
          <w:w w:val="105"/>
        </w:rPr>
        <w:t>Exhibit 2 </w:t>
      </w:r>
      <w:r>
        <w:rPr>
          <w:w w:val="105"/>
        </w:rPr>
        <w:t>for biographical sketches.) The team would have less than eight weeks to move through all</w:t>
      </w:r>
      <w:r>
        <w:rPr>
          <w:spacing w:val="-44"/>
          <w:w w:val="105"/>
        </w:rPr>
        <w:t> </w:t>
      </w:r>
      <w:r>
        <w:rPr>
          <w:w w:val="105"/>
        </w:rPr>
        <w:t>the stages of a Goldman Sachs-led auction—from initial research and due diligence to valuation and</w:t>
      </w:r>
      <w:r>
        <w:rPr>
          <w:spacing w:val="1"/>
          <w:w w:val="105"/>
        </w:rPr>
        <w:t> </w:t>
      </w:r>
      <w:r>
        <w:rPr>
          <w:w w:val="105"/>
        </w:rPr>
        <w:t>bid</w:t>
      </w:r>
      <w:r>
        <w:rPr>
          <w:spacing w:val="3"/>
          <w:w w:val="105"/>
        </w:rPr>
        <w:t> </w:t>
      </w:r>
      <w:r>
        <w:rPr>
          <w:w w:val="105"/>
        </w:rPr>
        <w:t>strategy.</w:t>
      </w:r>
    </w:p>
    <w:p>
      <w:pPr>
        <w:pStyle w:val="BodyText"/>
        <w:spacing w:line="254" w:lineRule="auto" w:before="190"/>
        <w:ind w:left="502" w:right="128" w:firstLine="288"/>
        <w:jc w:val="both"/>
        <w:rPr>
          <w:sz w:val="14"/>
        </w:rPr>
      </w:pPr>
      <w:r>
        <w:rPr>
          <w:w w:val="105"/>
        </w:rPr>
        <w:t>In addition to running the auction and thereby serving as Carter’s agent, Goldman Sachs (GS)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offering</w:t>
      </w:r>
      <w:r>
        <w:rPr>
          <w:spacing w:val="25"/>
          <w:w w:val="105"/>
        </w:rPr>
        <w:t> </w:t>
      </w:r>
      <w:r>
        <w:rPr>
          <w:w w:val="105"/>
        </w:rPr>
        <w:t>“staple-on”</w:t>
      </w:r>
      <w:r>
        <w:rPr>
          <w:spacing w:val="26"/>
          <w:w w:val="105"/>
        </w:rPr>
        <w:t> </w:t>
      </w:r>
      <w:r>
        <w:rPr>
          <w:w w:val="105"/>
        </w:rPr>
        <w:t>financing.</w:t>
      </w:r>
      <w:r>
        <w:rPr>
          <w:spacing w:val="29"/>
          <w:w w:val="105"/>
        </w:rPr>
        <w:t> </w:t>
      </w:r>
      <w:r>
        <w:rPr>
          <w:w w:val="105"/>
        </w:rPr>
        <w:t>Under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arrangement,</w:t>
      </w:r>
      <w:r>
        <w:rPr>
          <w:spacing w:val="29"/>
          <w:w w:val="105"/>
        </w:rPr>
        <w:t> </w:t>
      </w:r>
      <w:r>
        <w:rPr>
          <w:w w:val="105"/>
        </w:rPr>
        <w:t>t</w:t>
      </w:r>
      <w:r>
        <w:rPr>
          <w:b/>
          <w:w w:val="105"/>
        </w:rPr>
        <w:t>h</w:t>
      </w:r>
      <w:r>
        <w:rPr>
          <w:w w:val="105"/>
        </w:rPr>
        <w:t>e</w:t>
      </w:r>
      <w:r>
        <w:rPr>
          <w:spacing w:val="27"/>
          <w:w w:val="105"/>
        </w:rPr>
        <w:t> </w:t>
      </w:r>
      <w:r>
        <w:rPr>
          <w:w w:val="105"/>
        </w:rPr>
        <w:t>winning</w:t>
      </w:r>
      <w:r>
        <w:rPr>
          <w:spacing w:val="27"/>
          <w:w w:val="105"/>
        </w:rPr>
        <w:t> </w:t>
      </w:r>
      <w:r>
        <w:rPr>
          <w:w w:val="105"/>
        </w:rPr>
        <w:t>bidder</w:t>
      </w:r>
      <w:r>
        <w:rPr>
          <w:spacing w:val="28"/>
          <w:w w:val="105"/>
        </w:rPr>
        <w:t> </w:t>
      </w:r>
      <w:r>
        <w:rPr>
          <w:w w:val="105"/>
        </w:rPr>
        <w:t>would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finance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prepackaged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Goldman</w:t>
      </w:r>
      <w:r>
        <w:rPr>
          <w:spacing w:val="-6"/>
          <w:w w:val="105"/>
        </w:rPr>
        <w:t> </w:t>
      </w:r>
      <w:r>
        <w:rPr>
          <w:w w:val="105"/>
        </w:rPr>
        <w:t>Sachs.</w:t>
      </w:r>
      <w:r>
        <w:rPr>
          <w:w w:val="105"/>
          <w:position w:val="6"/>
          <w:sz w:val="14"/>
        </w:rPr>
        <w:t>1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68"/>
        <w:ind w:left="502"/>
      </w:pPr>
      <w:r>
        <w:rPr/>
        <w:t>Carter’s</w:t>
      </w:r>
    </w:p>
    <w:p>
      <w:pPr>
        <w:pStyle w:val="BodyText"/>
        <w:spacing w:before="174"/>
        <w:ind w:left="790"/>
      </w:pPr>
      <w:r>
        <w:rPr>
          <w:w w:val="105"/>
        </w:rPr>
        <w:t>Carter’s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founded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1865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Needham,</w:t>
      </w:r>
      <w:r>
        <w:rPr>
          <w:spacing w:val="22"/>
          <w:w w:val="105"/>
        </w:rPr>
        <w:t> </w:t>
      </w:r>
      <w:r>
        <w:rPr>
          <w:w w:val="105"/>
        </w:rPr>
        <w:t>Massachusetts.</w:t>
      </w:r>
      <w:r>
        <w:rPr>
          <w:spacing w:val="22"/>
          <w:w w:val="105"/>
        </w:rPr>
        <w:t> </w:t>
      </w:r>
      <w:r>
        <w:rPr>
          <w:w w:val="105"/>
        </w:rPr>
        <w:t>Over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course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136</w:t>
      </w:r>
      <w:r>
        <w:rPr>
          <w:spacing w:val="22"/>
          <w:w w:val="105"/>
        </w:rPr>
        <w:t> </w:t>
      </w:r>
      <w:r>
        <w:rPr>
          <w:w w:val="105"/>
        </w:rPr>
        <w:t>years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4"/>
        <w:ind w:left="502"/>
      </w:pPr>
      <w:r>
        <w:rPr>
          <w:w w:val="105"/>
        </w:rPr>
        <w:t>highly</w:t>
      </w:r>
      <w:r>
        <w:rPr>
          <w:spacing w:val="44"/>
          <w:w w:val="105"/>
        </w:rPr>
        <w:t> </w:t>
      </w:r>
      <w:r>
        <w:rPr>
          <w:w w:val="105"/>
        </w:rPr>
        <w:t>competitive</w:t>
      </w:r>
      <w:r>
        <w:rPr>
          <w:spacing w:val="44"/>
          <w:w w:val="105"/>
        </w:rPr>
        <w:t> </w:t>
      </w:r>
      <w:r>
        <w:rPr>
          <w:w w:val="105"/>
        </w:rPr>
        <w:t>apparel</w:t>
      </w:r>
      <w:r>
        <w:rPr>
          <w:spacing w:val="44"/>
          <w:w w:val="105"/>
        </w:rPr>
        <w:t> </w:t>
      </w:r>
      <w:r>
        <w:rPr>
          <w:w w:val="105"/>
        </w:rPr>
        <w:t>industry,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company</w:t>
      </w:r>
      <w:r>
        <w:rPr>
          <w:spacing w:val="44"/>
          <w:w w:val="105"/>
        </w:rPr>
        <w:t> </w:t>
      </w:r>
      <w:r>
        <w:rPr>
          <w:w w:val="105"/>
        </w:rPr>
        <w:t>became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largest</w:t>
      </w:r>
      <w:r>
        <w:rPr>
          <w:spacing w:val="44"/>
          <w:w w:val="105"/>
        </w:rPr>
        <w:t> </w:t>
      </w:r>
      <w:r>
        <w:rPr>
          <w:w w:val="105"/>
        </w:rPr>
        <w:t>branded</w:t>
      </w:r>
      <w:r>
        <w:rPr>
          <w:spacing w:val="44"/>
          <w:w w:val="105"/>
        </w:rPr>
        <w:t> </w:t>
      </w:r>
      <w:r>
        <w:rPr>
          <w:w w:val="105"/>
        </w:rPr>
        <w:t>manufacturer</w:t>
      </w:r>
      <w:r>
        <w:rPr>
          <w:spacing w:val="45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54" w:lineRule="auto" w:before="14"/>
        <w:ind w:left="502" w:right="127"/>
        <w:jc w:val="both"/>
      </w:pPr>
      <w:r>
        <w:rPr>
          <w:w w:val="105"/>
        </w:rPr>
        <w:t>toddler and baby apparel in the United States and also a leading maker of young children’s clothing.</w:t>
      </w:r>
      <w:r>
        <w:rPr>
          <w:spacing w:val="1"/>
          <w:w w:val="105"/>
        </w:rPr>
        <w:t> </w:t>
      </w:r>
      <w:r>
        <w:rPr>
          <w:w w:val="105"/>
        </w:rPr>
        <w:t>Dividing its market into five segments—layette (i.e., newborn), baby sleepwear, baby playwear,</w:t>
      </w:r>
      <w:r>
        <w:rPr>
          <w:spacing w:val="1"/>
          <w:w w:val="105"/>
        </w:rPr>
        <w:t> </w:t>
      </w:r>
      <w:r>
        <w:rPr>
          <w:w w:val="105"/>
        </w:rPr>
        <w:t>young children’s sleepwear, and young children’s playwear—the company sought to outfit children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2"/>
          <w:w w:val="105"/>
        </w:rPr>
        <w:t> </w:t>
      </w:r>
      <w:r>
        <w:rPr>
          <w:w w:val="105"/>
        </w:rPr>
        <w:t>six</w:t>
      </w:r>
      <w:r>
        <w:rPr>
          <w:spacing w:val="3"/>
          <w:w w:val="105"/>
        </w:rPr>
        <w:t> </w:t>
      </w:r>
      <w:r>
        <w:rPr>
          <w:w w:val="105"/>
        </w:rPr>
        <w:t>years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life,</w:t>
      </w:r>
      <w:r>
        <w:rPr>
          <w:spacing w:val="3"/>
          <w:w w:val="105"/>
        </w:rPr>
        <w:t> </w:t>
      </w:r>
      <w:r>
        <w:rPr>
          <w:w w:val="105"/>
        </w:rPr>
        <w:t>“from</w:t>
      </w:r>
      <w:r>
        <w:rPr>
          <w:spacing w:val="3"/>
          <w:w w:val="105"/>
        </w:rPr>
        <w:t> </w:t>
      </w:r>
      <w:r>
        <w:rPr>
          <w:w w:val="105"/>
        </w:rPr>
        <w:t>birth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bus.”</w:t>
      </w:r>
    </w:p>
    <w:p>
      <w:pPr>
        <w:pStyle w:val="BodyText"/>
        <w:spacing w:line="254" w:lineRule="auto" w:before="179"/>
        <w:ind w:left="502" w:right="128" w:firstLine="288"/>
        <w:jc w:val="both"/>
      </w:pPr>
      <w:r>
        <w:rPr>
          <w:w w:val="105"/>
        </w:rPr>
        <w:t>In the early 1990s, the company found itself struggling. Owned at the time by insurance company</w:t>
      </w:r>
      <w:r>
        <w:rPr>
          <w:spacing w:val="-44"/>
          <w:w w:val="105"/>
        </w:rPr>
        <w:t> </w:t>
      </w:r>
      <w:r>
        <w:rPr>
          <w:w w:val="105"/>
        </w:rPr>
        <w:t>Mutual Benefit Life and Wesray Capital Corp., Carter’s had developed unprofitable product lines in</w:t>
      </w:r>
      <w:r>
        <w:rPr>
          <w:spacing w:val="1"/>
          <w:w w:val="105"/>
        </w:rPr>
        <w:t> </w:t>
      </w:r>
      <w:r>
        <w:rPr>
          <w:w w:val="105"/>
        </w:rPr>
        <w:t>swimwear and underwear, and many of its more decorative features (zippers, cut bows, etc.) were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well received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consumers.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1992,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installed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3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team</w:t>
      </w:r>
      <w:r>
        <w:rPr>
          <w:spacing w:val="-1"/>
          <w:w w:val="105"/>
        </w:rPr>
        <w:t> </w:t>
      </w:r>
      <w:r>
        <w:rPr>
          <w:w w:val="105"/>
        </w:rPr>
        <w:t>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CEO</w:t>
      </w:r>
    </w:p>
    <w:p>
      <w:pPr>
        <w:pStyle w:val="BodyText"/>
        <w:spacing w:before="1"/>
        <w:ind w:left="502"/>
      </w:pPr>
      <w:r>
        <w:rPr/>
        <w:t>Frederick</w:t>
      </w:r>
      <w:r>
        <w:rPr>
          <w:spacing w:val="62"/>
        </w:rPr>
        <w:t> </w:t>
      </w:r>
      <w:r>
        <w:rPr/>
        <w:t>J.</w:t>
      </w:r>
      <w:r>
        <w:rPr>
          <w:spacing w:val="63"/>
        </w:rPr>
        <w:t> </w:t>
      </w:r>
      <w:r>
        <w:rPr/>
        <w:t>Rowan,</w:t>
      </w:r>
      <w:r>
        <w:rPr>
          <w:spacing w:val="62"/>
        </w:rPr>
        <w:t> </w:t>
      </w:r>
      <w:r>
        <w:rPr/>
        <w:t>with</w:t>
      </w:r>
      <w:r>
        <w:rPr>
          <w:spacing w:val="62"/>
        </w:rPr>
        <w:t> </w:t>
      </w:r>
      <w:r>
        <w:rPr/>
        <w:t>the</w:t>
      </w:r>
      <w:r>
        <w:rPr>
          <w:spacing w:val="60"/>
        </w:rPr>
        <w:t> </w:t>
      </w:r>
      <w:r>
        <w:rPr/>
        <w:t>intention</w:t>
      </w:r>
      <w:r>
        <w:rPr>
          <w:spacing w:val="62"/>
        </w:rPr>
        <w:t> </w:t>
      </w:r>
      <w:r>
        <w:rPr/>
        <w:t>of</w:t>
      </w:r>
      <w:r>
        <w:rPr>
          <w:spacing w:val="61"/>
        </w:rPr>
        <w:t> </w:t>
      </w:r>
      <w:r>
        <w:rPr/>
        <w:t>“steering</w:t>
      </w:r>
      <w:r>
        <w:rPr>
          <w:spacing w:val="63"/>
        </w:rPr>
        <w:t> </w:t>
      </w:r>
      <w:r>
        <w:rPr/>
        <w:t>it</w:t>
      </w:r>
      <w:r>
        <w:rPr>
          <w:spacing w:val="70"/>
        </w:rPr>
        <w:t> </w:t>
      </w:r>
      <w:r>
        <w:rPr/>
        <w:t>back</w:t>
      </w:r>
      <w:r>
        <w:rPr>
          <w:spacing w:val="62"/>
        </w:rPr>
        <w:t> </w:t>
      </w:r>
      <w:r>
        <w:rPr/>
        <w:t>to</w:t>
      </w:r>
      <w:r>
        <w:rPr>
          <w:spacing w:val="62"/>
        </w:rPr>
        <w:t> </w:t>
      </w:r>
      <w:r>
        <w:rPr/>
        <w:t>its</w:t>
      </w:r>
      <w:r>
        <w:rPr>
          <w:spacing w:val="67"/>
        </w:rPr>
        <w:t> </w:t>
      </w:r>
      <w:r>
        <w:rPr/>
        <w:t>core</w:t>
      </w:r>
      <w:r>
        <w:rPr>
          <w:spacing w:val="62"/>
        </w:rPr>
        <w:t> </w:t>
      </w:r>
      <w:r>
        <w:rPr/>
        <w:t>niche</w:t>
      </w:r>
      <w:r>
        <w:rPr>
          <w:spacing w:val="62"/>
        </w:rPr>
        <w:t> </w:t>
      </w:r>
      <w:r>
        <w:rPr/>
        <w:t>of</w:t>
      </w:r>
      <w:r>
        <w:rPr>
          <w:spacing w:val="64"/>
        </w:rPr>
        <w:t> </w:t>
      </w:r>
      <w:r>
        <w:rPr/>
        <w:t>soft,</w:t>
      </w:r>
      <w:r>
        <w:rPr>
          <w:spacing w:val="62"/>
        </w:rPr>
        <w:t> </w:t>
      </w:r>
      <w:r>
        <w:rPr/>
        <w:t>comfortable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90.120003pt;margin-top:9.182515pt;width:143.7pt;height:.5pt;mso-position-horizontal-relative:page;mso-position-vertical-relative:paragraph;z-index:-15728640;mso-wrap-distance-left:0;mso-wrap-distance-right:0" coordorigin="1802,184" coordsize="2874,10" path="m4676,184l4574,184,3431,184,2287,184,1802,184,1802,193,2287,193,3431,193,4574,193,4676,193,4676,18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sz w:val="6"/>
        </w:rPr>
      </w:pPr>
    </w:p>
    <w:p>
      <w:pPr>
        <w:spacing w:line="254" w:lineRule="auto" w:before="97"/>
        <w:ind w:left="502" w:right="129" w:firstLine="0"/>
        <w:jc w:val="both"/>
        <w:rPr>
          <w:sz w:val="16"/>
        </w:rPr>
      </w:pPr>
      <w:r>
        <w:rPr>
          <w:w w:val="105"/>
          <w:position w:val="6"/>
          <w:sz w:val="14"/>
        </w:rPr>
        <w:t>1 </w:t>
      </w:r>
      <w:r>
        <w:rPr>
          <w:w w:val="105"/>
          <w:sz w:val="16"/>
        </w:rPr>
        <w:t>Morgan Stanley had recently made a similar offering to the eventual buyer of Dresser Equipment Group—underwriting $1.1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billion in debt financing after leading the auction.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While staple-on financing was not a typical practice, it was becoming more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common.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90.120003pt;margin-top:8.33466pt;width:448.45pt;height:.1pt;mso-position-horizontal-relative:page;mso-position-vertical-relative:paragraph;z-index:-15728128;mso-wrap-distance-left:0;mso-wrap-distance-right:0" coordorigin="1802,167" coordsize="8969,0" path="m1802,167l6836,167m6844,167l10770,167e" filled="false" stroked="true" strokeweight=".398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spacing w:line="254" w:lineRule="auto" w:before="0"/>
        <w:ind w:left="502" w:right="127" w:firstLine="0"/>
        <w:jc w:val="both"/>
        <w:rPr>
          <w:sz w:val="14"/>
        </w:rPr>
      </w:pPr>
      <w:r>
        <w:rPr>
          <w:w w:val="105"/>
          <w:sz w:val="14"/>
        </w:rPr>
        <w:t>Professor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Malcolm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Baker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Research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Associate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James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Quinn,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Global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Research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Group,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prepared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case.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HBS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cases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are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developed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solely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basis for class discussion. Cases are not intended to serve as endorsements, sources of primary data, or illustrations of effective or ineffective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management.</w:t>
      </w:r>
    </w:p>
    <w:p>
      <w:pPr>
        <w:pStyle w:val="BodyText"/>
        <w:spacing w:before="10"/>
        <w:rPr>
          <w:sz w:val="14"/>
        </w:rPr>
      </w:pPr>
    </w:p>
    <w:p>
      <w:pPr>
        <w:spacing w:line="254" w:lineRule="auto" w:before="0"/>
        <w:ind w:left="502" w:right="127" w:firstLine="0"/>
        <w:jc w:val="both"/>
        <w:rPr>
          <w:sz w:val="14"/>
        </w:rPr>
      </w:pPr>
      <w:r>
        <w:rPr>
          <w:w w:val="105"/>
          <w:sz w:val="14"/>
        </w:rPr>
        <w:t>Copyright © 2005, 2008, 2011 President and Fellows of Harvard College.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 order copies or requ</w:t>
      </w:r>
      <w:r>
        <w:rPr>
          <w:b/>
          <w:w w:val="105"/>
          <w:sz w:val="14"/>
        </w:rPr>
        <w:t>e</w:t>
      </w:r>
      <w:r>
        <w:rPr>
          <w:w w:val="105"/>
          <w:sz w:val="14"/>
        </w:rPr>
        <w:t>st permission to reproduce materials, call 1-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800-545-7685,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write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Harvard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Business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School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Publishing,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Boston,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MA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02163,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go to</w:t>
      </w:r>
      <w:r>
        <w:rPr>
          <w:spacing w:val="-5"/>
          <w:w w:val="105"/>
          <w:sz w:val="14"/>
        </w:rPr>
        <w:t> </w:t>
      </w:r>
      <w:hyperlink r:id="rId7">
        <w:r>
          <w:rPr>
            <w:w w:val="105"/>
            <w:sz w:val="14"/>
          </w:rPr>
          <w:t>http://www.hbsp.harvard.edu.</w:t>
        </w:r>
      </w:hyperlink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part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publication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may be reproduced, stored in a retrieval system, used in a spreadsheet, or transmitted in any form or by any means—electronic, mechanical,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photocopying, recording,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or otherwise—without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 permission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of Harvard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Business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School.</w:t>
      </w:r>
    </w:p>
    <w:p>
      <w:pPr>
        <w:spacing w:after="0" w:line="254" w:lineRule="auto"/>
        <w:jc w:val="both"/>
        <w:rPr>
          <w:sz w:val="14"/>
        </w:rPr>
        <w:sectPr>
          <w:footerReference w:type="default" r:id="rId5"/>
          <w:type w:val="continuous"/>
          <w:pgSz w:w="12240" w:h="15840"/>
          <w:pgMar w:footer="501" w:top="1020" w:bottom="700" w:left="1300" w:right="1300"/>
          <w:pgNumType w:start="1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81152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2"/>
        <w:rPr>
          <w:rFonts w:ascii="Palatino Linotype"/>
          <w:b/>
          <w:sz w:val="28"/>
        </w:rPr>
      </w:pPr>
    </w:p>
    <w:p>
      <w:pPr>
        <w:pStyle w:val="BodyText"/>
        <w:spacing w:line="254" w:lineRule="auto" w:before="97"/>
        <w:ind w:left="139" w:right="495"/>
        <w:jc w:val="both"/>
      </w:pPr>
      <w:r>
        <w:rPr/>
        <w:t>clothing.”</w:t>
      </w:r>
      <w:r>
        <w:rPr>
          <w:position w:val="6"/>
          <w:sz w:val="14"/>
        </w:rPr>
        <w:t>2</w:t>
      </w:r>
      <w:r>
        <w:rPr>
          <w:spacing w:val="1"/>
          <w:position w:val="6"/>
          <w:sz w:val="14"/>
        </w:rPr>
        <w:t> </w:t>
      </w:r>
      <w:r>
        <w:rPr/>
        <w:t>Rowan</w:t>
      </w:r>
      <w:r>
        <w:rPr>
          <w:spacing w:val="1"/>
        </w:rPr>
        <w:t> </w:t>
      </w:r>
      <w:r>
        <w:rPr/>
        <w:t>arrived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39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Bassett-Walker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Lee</w:t>
      </w:r>
      <w:r>
        <w:rPr>
          <w:spacing w:val="30"/>
        </w:rPr>
        <w:t> </w:t>
      </w:r>
      <w:r>
        <w:rPr/>
        <w:t>Jeans</w:t>
      </w:r>
      <w:r>
        <w:rPr>
          <w:spacing w:val="29"/>
        </w:rPr>
        <w:t> </w:t>
      </w:r>
      <w:r>
        <w:rPr/>
        <w:t>division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VF</w:t>
      </w:r>
      <w:r>
        <w:rPr>
          <w:spacing w:val="31"/>
        </w:rPr>
        <w:t> </w:t>
      </w:r>
      <w:r>
        <w:rPr/>
        <w:t>Corporation.</w:t>
      </w:r>
      <w:r>
        <w:rPr>
          <w:spacing w:val="30"/>
        </w:rPr>
        <w:t> </w:t>
      </w:r>
      <w:r>
        <w:rPr/>
        <w:t>Many</w:t>
      </w:r>
      <w:r>
        <w:rPr>
          <w:spacing w:val="30"/>
        </w:rPr>
        <w:t> </w:t>
      </w:r>
      <w:r>
        <w:rPr/>
        <w:t>members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executive</w:t>
      </w:r>
      <w:r>
        <w:rPr>
          <w:spacing w:val="29"/>
        </w:rPr>
        <w:t> </w:t>
      </w:r>
      <w:r>
        <w:rPr/>
        <w:t>team</w:t>
      </w:r>
      <w:r>
        <w:rPr>
          <w:spacing w:val="3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7"/>
        </w:rPr>
        <w:t> </w:t>
      </w:r>
      <w:r>
        <w:rPr/>
        <w:t>former</w:t>
      </w:r>
      <w:r>
        <w:rPr>
          <w:spacing w:val="6"/>
        </w:rPr>
        <w:t> </w:t>
      </w:r>
      <w:r>
        <w:rPr/>
        <w:t>managers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VF</w:t>
      </w:r>
      <w:r>
        <w:rPr>
          <w:spacing w:val="6"/>
        </w:rPr>
        <w:t> </w:t>
      </w:r>
      <w:r>
        <w:rPr/>
        <w:t>Corporation.</w:t>
      </w:r>
    </w:p>
    <w:p>
      <w:pPr>
        <w:pStyle w:val="BodyText"/>
        <w:spacing w:line="254" w:lineRule="auto" w:before="180"/>
        <w:ind w:left="139" w:right="491" w:firstLine="288"/>
        <w:jc w:val="both"/>
      </w:pPr>
      <w:r>
        <w:rPr>
          <w:w w:val="105"/>
        </w:rPr>
        <w:t>With a strategy of simplifying Carter’s products, Rowan and his team returned to producing what</w:t>
      </w:r>
      <w:r>
        <w:rPr>
          <w:spacing w:val="-44"/>
          <w:w w:val="105"/>
        </w:rPr>
        <w:t> </w:t>
      </w:r>
      <w:r>
        <w:rPr>
          <w:w w:val="105"/>
        </w:rPr>
        <w:t>they called “high-volume, basic apparel.” Product design remained relatively consistent from year to</w:t>
      </w:r>
      <w:r>
        <w:rPr>
          <w:spacing w:val="1"/>
          <w:w w:val="105"/>
        </w:rPr>
        <w:t> </w:t>
      </w:r>
      <w:r>
        <w:rPr>
          <w:w w:val="105"/>
        </w:rPr>
        <w:t>year: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two-thirds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apparel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season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season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fabric</w:t>
      </w:r>
      <w:r>
        <w:rPr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construction,</w:t>
      </w:r>
      <w:r>
        <w:rPr>
          <w:spacing w:val="3"/>
          <w:w w:val="105"/>
        </w:rPr>
        <w:t> </w:t>
      </w:r>
      <w:r>
        <w:rPr>
          <w:w w:val="105"/>
        </w:rPr>
        <w:t>varying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through</w:t>
      </w:r>
      <w:r>
        <w:rPr>
          <w:spacing w:val="2"/>
          <w:w w:val="105"/>
        </w:rPr>
        <w:t> </w:t>
      </w:r>
      <w:r>
        <w:rPr>
          <w:w w:val="105"/>
        </w:rPr>
        <w:t>color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artistic</w:t>
      </w:r>
      <w:r>
        <w:rPr>
          <w:spacing w:val="3"/>
          <w:w w:val="105"/>
        </w:rPr>
        <w:t> </w:t>
      </w:r>
      <w:r>
        <w:rPr>
          <w:w w:val="105"/>
        </w:rPr>
        <w:t>layout.</w:t>
      </w:r>
    </w:p>
    <w:p>
      <w:pPr>
        <w:pStyle w:val="BodyText"/>
        <w:spacing w:line="254" w:lineRule="auto" w:before="180"/>
        <w:ind w:left="139" w:right="495" w:firstLine="288"/>
        <w:jc w:val="both"/>
      </w:pPr>
      <w:r>
        <w:rPr>
          <w:w w:val="105"/>
        </w:rPr>
        <w:t>Rowan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his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focused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improving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capabilities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supply</w:t>
      </w:r>
      <w:r>
        <w:rPr>
          <w:spacing w:val="1"/>
          <w:w w:val="105"/>
        </w:rPr>
        <w:t> </w:t>
      </w:r>
      <w:r>
        <w:rPr>
          <w:w w:val="105"/>
        </w:rPr>
        <w:t>chain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-44"/>
          <w:w w:val="105"/>
        </w:rPr>
        <w:t> </w:t>
      </w:r>
      <w:r>
        <w:rPr>
          <w:w w:val="105"/>
        </w:rPr>
        <w:t>exploring offshore sourcing options. Throughout the company’s history, it had relied on domestic</w:t>
      </w:r>
      <w:r>
        <w:rPr>
          <w:spacing w:val="1"/>
          <w:w w:val="105"/>
        </w:rPr>
        <w:t> </w:t>
      </w:r>
      <w:r>
        <w:rPr>
          <w:w w:val="105"/>
        </w:rPr>
        <w:t>manufacturing to produce its clothing. But amidst an increasingly global environment in which more</w:t>
      </w:r>
      <w:r>
        <w:rPr>
          <w:spacing w:val="-44"/>
          <w:w w:val="105"/>
        </w:rPr>
        <w:t> </w:t>
      </w:r>
      <w:r>
        <w:rPr>
          <w:w w:val="105"/>
        </w:rPr>
        <w:t>and more U.S. companies were outsourcing production abroad, Rowan sought cost improvements</w:t>
      </w:r>
      <w:r>
        <w:rPr>
          <w:spacing w:val="1"/>
          <w:w w:val="105"/>
        </w:rPr>
        <w:t> </w:t>
      </w:r>
      <w:r>
        <w:rPr>
          <w:w w:val="105"/>
        </w:rPr>
        <w:t>and “manufacturing flexibility” through manufacturing abroad. In 1992, Carter’s closed two of its</w:t>
      </w:r>
      <w:r>
        <w:rPr>
          <w:spacing w:val="1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sewing</w:t>
      </w:r>
      <w:r>
        <w:rPr>
          <w:spacing w:val="-2"/>
          <w:w w:val="105"/>
        </w:rPr>
        <w:t> </w:t>
      </w:r>
      <w:r>
        <w:rPr>
          <w:w w:val="105"/>
        </w:rPr>
        <w:t>plants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made</w:t>
      </w:r>
      <w:r>
        <w:rPr>
          <w:spacing w:val="-2"/>
          <w:w w:val="105"/>
        </w:rPr>
        <w:t> </w:t>
      </w:r>
      <w:r>
        <w:rPr>
          <w:w w:val="105"/>
        </w:rPr>
        <w:t>plans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six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sewing</w:t>
      </w:r>
      <w:r>
        <w:rPr>
          <w:spacing w:val="-2"/>
          <w:w w:val="105"/>
        </w:rPr>
        <w:t> </w:t>
      </w:r>
      <w:r>
        <w:rPr>
          <w:w w:val="105"/>
        </w:rPr>
        <w:t>plants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textile</w:t>
      </w:r>
      <w:r>
        <w:rPr>
          <w:spacing w:val="-2"/>
          <w:w w:val="105"/>
        </w:rPr>
        <w:t> </w:t>
      </w:r>
      <w:r>
        <w:rPr>
          <w:w w:val="105"/>
        </w:rPr>
        <w:t>mill.</w:t>
      </w:r>
      <w:r>
        <w:rPr>
          <w:spacing w:val="-44"/>
          <w:w w:val="105"/>
        </w:rPr>
        <w:t> </w:t>
      </w:r>
      <w:r>
        <w:rPr>
          <w:w w:val="105"/>
        </w:rPr>
        <w:t>Central</w:t>
      </w:r>
      <w:r>
        <w:rPr>
          <w:spacing w:val="-2"/>
          <w:w w:val="105"/>
        </w:rPr>
        <w:t> </w:t>
      </w:r>
      <w:r>
        <w:rPr>
          <w:w w:val="105"/>
        </w:rPr>
        <w:t>America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Mexico</w:t>
      </w:r>
      <w:r>
        <w:rPr>
          <w:spacing w:val="-1"/>
          <w:w w:val="105"/>
        </w:rPr>
        <w:t> </w:t>
      </w:r>
      <w:r>
        <w:rPr>
          <w:w w:val="105"/>
        </w:rPr>
        <w:t>soon became the</w:t>
      </w:r>
      <w:r>
        <w:rPr>
          <w:spacing w:val="-1"/>
          <w:w w:val="105"/>
        </w:rPr>
        <w:t> </w:t>
      </w:r>
      <w:r>
        <w:rPr>
          <w:w w:val="105"/>
        </w:rPr>
        <w:t>company’s first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1"/>
          <w:w w:val="105"/>
        </w:rPr>
        <w:t> </w:t>
      </w:r>
      <w:r>
        <w:rPr>
          <w:w w:val="105"/>
        </w:rPr>
        <w:t>production sites.</w:t>
      </w:r>
    </w:p>
    <w:p>
      <w:pPr>
        <w:pStyle w:val="BodyText"/>
        <w:spacing w:line="247" w:lineRule="auto" w:before="181"/>
        <w:ind w:left="139" w:right="496" w:firstLine="288"/>
        <w:jc w:val="both"/>
      </w:pP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1996,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operating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financial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beginning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1"/>
          <w:w w:val="105"/>
        </w:rPr>
        <w:t> </w:t>
      </w:r>
      <w:r>
        <w:rPr>
          <w:w w:val="105"/>
        </w:rPr>
        <w:t>around,</w:t>
      </w:r>
      <w:r>
        <w:rPr>
          <w:spacing w:val="1"/>
          <w:w w:val="105"/>
        </w:rPr>
        <w:t> </w:t>
      </w:r>
      <w:r>
        <w:rPr>
          <w:w w:val="105"/>
        </w:rPr>
        <w:t>Carter’s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acquired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leveraged</w:t>
      </w:r>
      <w:r>
        <w:rPr>
          <w:spacing w:val="1"/>
          <w:w w:val="105"/>
        </w:rPr>
        <w:t> </w:t>
      </w:r>
      <w:r>
        <w:rPr>
          <w:w w:val="105"/>
        </w:rPr>
        <w:t>buyout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Investcorp</w:t>
      </w:r>
      <w:r>
        <w:rPr>
          <w:spacing w:val="1"/>
          <w:w w:val="105"/>
        </w:rPr>
        <w:t> </w:t>
      </w:r>
      <w:r>
        <w:rPr>
          <w:w w:val="105"/>
        </w:rPr>
        <w:t>S.A.,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Bahrain-based</w:t>
      </w:r>
      <w:r>
        <w:rPr>
          <w:spacing w:val="1"/>
          <w:w w:val="105"/>
        </w:rPr>
        <w:t> </w:t>
      </w:r>
      <w:r>
        <w:rPr>
          <w:w w:val="105"/>
        </w:rPr>
        <w:t>firm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investments in Gucci Group, Saks Inc., and Tiffany &amp; Co. Investcorp (see </w:t>
      </w:r>
      <w:r>
        <w:rPr>
          <w:rFonts w:ascii="Palatino Linotype" w:hAnsi="Palatino Linotype"/>
          <w:b/>
          <w:w w:val="105"/>
        </w:rPr>
        <w:t>Exhibit 3 </w:t>
      </w:r>
      <w:r>
        <w:rPr>
          <w:w w:val="105"/>
        </w:rPr>
        <w:t>for profile) paid</w:t>
      </w:r>
      <w:r>
        <w:rPr>
          <w:spacing w:val="1"/>
          <w:w w:val="105"/>
        </w:rPr>
        <w:t> </w:t>
      </w:r>
      <w:r>
        <w:rPr>
          <w:w w:val="105"/>
        </w:rPr>
        <w:t>approximately</w:t>
      </w:r>
      <w:r>
        <w:rPr>
          <w:spacing w:val="1"/>
          <w:w w:val="105"/>
        </w:rPr>
        <w:t> </w:t>
      </w:r>
      <w:r>
        <w:rPr>
          <w:w w:val="105"/>
        </w:rPr>
        <w:t>$208</w:t>
      </w:r>
      <w:r>
        <w:rPr>
          <w:spacing w:val="1"/>
          <w:w w:val="105"/>
        </w:rPr>
        <w:t> </w:t>
      </w:r>
      <w:r>
        <w:rPr>
          <w:w w:val="105"/>
        </w:rPr>
        <w:t>million.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included</w:t>
      </w:r>
      <w:r>
        <w:rPr>
          <w:spacing w:val="1"/>
          <w:w w:val="105"/>
        </w:rPr>
        <w:t> </w:t>
      </w:r>
      <w:r>
        <w:rPr>
          <w:w w:val="105"/>
        </w:rPr>
        <w:t>$56.1</w:t>
      </w:r>
      <w:r>
        <w:rPr>
          <w:spacing w:val="1"/>
          <w:w w:val="105"/>
        </w:rPr>
        <w:t> </w:t>
      </w:r>
      <w:r>
        <w:rPr>
          <w:w w:val="105"/>
        </w:rPr>
        <w:t>million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senior</w:t>
      </w:r>
      <w:r>
        <w:rPr>
          <w:spacing w:val="1"/>
          <w:w w:val="105"/>
        </w:rPr>
        <w:t> </w:t>
      </w:r>
      <w:r>
        <w:rPr>
          <w:w w:val="105"/>
        </w:rPr>
        <w:t>debt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$90</w:t>
      </w:r>
      <w:r>
        <w:rPr>
          <w:spacing w:val="1"/>
          <w:w w:val="105"/>
        </w:rPr>
        <w:t> </w:t>
      </w:r>
      <w:r>
        <w:rPr>
          <w:w w:val="105"/>
        </w:rPr>
        <w:t>million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subordinated debt. The purchase was consistent with the firm’s philosophy of injecting “patient</w:t>
      </w:r>
      <w:r>
        <w:rPr>
          <w:spacing w:val="1"/>
          <w:w w:val="105"/>
        </w:rPr>
        <w:t> </w:t>
      </w:r>
      <w:r>
        <w:rPr>
          <w:w w:val="105"/>
        </w:rPr>
        <w:t>capital” into North American and European companies; this simply involved waiting for the business</w:t>
      </w:r>
      <w:r>
        <w:rPr>
          <w:spacing w:val="-4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improve</w:t>
      </w:r>
      <w:r>
        <w:rPr>
          <w:spacing w:val="3"/>
          <w:w w:val="105"/>
        </w:rPr>
        <w:t> </w:t>
      </w:r>
      <w:r>
        <w:rPr>
          <w:w w:val="105"/>
        </w:rPr>
        <w:t>before</w:t>
      </w:r>
      <w:r>
        <w:rPr>
          <w:spacing w:val="2"/>
          <w:w w:val="105"/>
        </w:rPr>
        <w:t> </w:t>
      </w:r>
      <w:r>
        <w:rPr>
          <w:w w:val="105"/>
        </w:rPr>
        <w:t>selling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taking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public.</w:t>
      </w:r>
    </w:p>
    <w:p>
      <w:pPr>
        <w:pStyle w:val="BodyText"/>
        <w:spacing w:line="254" w:lineRule="auto" w:before="191"/>
        <w:ind w:left="139" w:right="495" w:firstLine="288"/>
        <w:jc w:val="both"/>
      </w:pPr>
      <w:r>
        <w:rPr>
          <w:w w:val="105"/>
        </w:rPr>
        <w:t>At the time of the Investcorp LBO, Carter’s was doing business with over 400 wholesale accounts,</w:t>
      </w:r>
      <w:r>
        <w:rPr>
          <w:spacing w:val="-44"/>
          <w:w w:val="105"/>
        </w:rPr>
        <w:t> </w:t>
      </w:r>
      <w:r>
        <w:rPr>
          <w:w w:val="105"/>
        </w:rPr>
        <w:t>including department stores, national chains, and specialty stores. It had also established a major</w:t>
      </w:r>
      <w:r>
        <w:rPr>
          <w:spacing w:val="1"/>
          <w:w w:val="105"/>
        </w:rPr>
        <w:t> </w:t>
      </w:r>
      <w:r>
        <w:rPr/>
        <w:t>domestic presence with its outlet stores: The company operated roughly 150 retail outlet stores across</w:t>
      </w:r>
      <w:r>
        <w:rPr>
          <w:spacing w:val="1"/>
        </w:rPr>
        <w:t> </w:t>
      </w:r>
      <w:r>
        <w:rPr>
          <w:w w:val="105"/>
        </w:rPr>
        <w:t>the country. Consumers could purchase Carter’s merchandise through these outlets stores at a deep</w:t>
      </w:r>
      <w:r>
        <w:rPr>
          <w:spacing w:val="1"/>
          <w:w w:val="105"/>
        </w:rPr>
        <w:t> </w:t>
      </w:r>
      <w:r>
        <w:rPr>
          <w:w w:val="105"/>
        </w:rPr>
        <w:t>discount, with the outlet stores offering new products, holdovers from excess inventory, as well as</w:t>
      </w:r>
      <w:r>
        <w:rPr>
          <w:spacing w:val="1"/>
          <w:w w:val="105"/>
        </w:rPr>
        <w:t> </w:t>
      </w:r>
      <w:r>
        <w:rPr>
          <w:w w:val="105"/>
        </w:rPr>
        <w:t>assorted</w:t>
      </w:r>
      <w:r>
        <w:rPr>
          <w:spacing w:val="2"/>
          <w:w w:val="105"/>
        </w:rPr>
        <w:t> </w:t>
      </w:r>
      <w:r>
        <w:rPr>
          <w:w w:val="105"/>
        </w:rPr>
        <w:t>Carter’s</w:t>
      </w:r>
      <w:r>
        <w:rPr>
          <w:spacing w:val="2"/>
          <w:w w:val="105"/>
        </w:rPr>
        <w:t> </w:t>
      </w:r>
      <w:r>
        <w:rPr>
          <w:w w:val="105"/>
        </w:rPr>
        <w:t>brand</w:t>
      </w:r>
      <w:r>
        <w:rPr>
          <w:spacing w:val="2"/>
          <w:w w:val="105"/>
        </w:rPr>
        <w:t> </w:t>
      </w:r>
      <w:r>
        <w:rPr>
          <w:w w:val="105"/>
        </w:rPr>
        <w:t>accessories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licensed</w:t>
      </w:r>
      <w:r>
        <w:rPr>
          <w:spacing w:val="1"/>
          <w:w w:val="105"/>
        </w:rPr>
        <w:t> </w:t>
      </w:r>
      <w:r>
        <w:rPr>
          <w:w w:val="105"/>
        </w:rPr>
        <w:t>products.</w:t>
      </w:r>
    </w:p>
    <w:p>
      <w:pPr>
        <w:pStyle w:val="BodyText"/>
        <w:spacing w:before="161"/>
        <w:ind w:left="139" w:right="495" w:firstLine="288"/>
        <w:jc w:val="both"/>
      </w:pPr>
      <w:r>
        <w:rPr>
          <w:w w:val="105"/>
        </w:rPr>
        <w:t>Beginning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2000,</w:t>
      </w:r>
      <w:r>
        <w:rPr>
          <w:spacing w:val="-3"/>
          <w:w w:val="105"/>
        </w:rPr>
        <w:t> </w:t>
      </w:r>
      <w:r>
        <w:rPr>
          <w:w w:val="105"/>
        </w:rPr>
        <w:t>Carter’s</w:t>
      </w:r>
      <w:r>
        <w:rPr>
          <w:spacing w:val="-5"/>
          <w:w w:val="105"/>
        </w:rPr>
        <w:t> </w:t>
      </w:r>
      <w:r>
        <w:rPr>
          <w:w w:val="105"/>
        </w:rPr>
        <w:t>launched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brand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rFonts w:ascii="Palatino Linotype" w:hAnsi="Palatino Linotype"/>
          <w:i/>
          <w:w w:val="105"/>
        </w:rPr>
        <w:t>Tykes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departure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mainstay</w:t>
      </w:r>
      <w:r>
        <w:rPr>
          <w:spacing w:val="-44"/>
          <w:w w:val="105"/>
        </w:rPr>
        <w:t> </w:t>
      </w:r>
      <w:r>
        <w:rPr>
          <w:w w:val="105"/>
        </w:rPr>
        <w:t>brands,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Carter’s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Carter’s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Classics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Tykes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w w:val="105"/>
        </w:rPr>
        <w:t>brand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discount</w:t>
      </w:r>
      <w:r>
        <w:rPr>
          <w:spacing w:val="1"/>
          <w:w w:val="105"/>
        </w:rPr>
        <w:t> </w:t>
      </w:r>
      <w:r>
        <w:rPr>
          <w:w w:val="105"/>
        </w:rPr>
        <w:t>channel.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introduction coincided with a series of conversations with executives from Target, an emerging</w:t>
      </w:r>
      <w:r>
        <w:rPr>
          <w:spacing w:val="1"/>
          <w:w w:val="105"/>
        </w:rPr>
        <w:t> </w:t>
      </w:r>
      <w:r>
        <w:rPr>
          <w:w w:val="105"/>
        </w:rPr>
        <w:t>general merchandise retailer. Target was interested in expanding the store’s offerings in baby and</w:t>
      </w:r>
      <w:r>
        <w:rPr>
          <w:spacing w:val="1"/>
          <w:w w:val="105"/>
        </w:rPr>
        <w:t> </w:t>
      </w:r>
      <w:r>
        <w:rPr>
          <w:w w:val="105"/>
        </w:rPr>
        <w:t>children’s “lifestyle” clothing. With the assurance that Carter’s could keep its shelves “automatically</w:t>
      </w:r>
      <w:r>
        <w:rPr>
          <w:spacing w:val="1"/>
          <w:w w:val="105"/>
        </w:rPr>
        <w:t> </w:t>
      </w:r>
      <w:r>
        <w:rPr>
          <w:w w:val="105"/>
        </w:rPr>
        <w:t>replenished,”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companies</w:t>
      </w:r>
      <w:r>
        <w:rPr>
          <w:spacing w:val="-6"/>
          <w:w w:val="105"/>
        </w:rPr>
        <w:t> </w:t>
      </w:r>
      <w:r>
        <w:rPr>
          <w:w w:val="105"/>
        </w:rPr>
        <w:t>struck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Palatino Linotype" w:hAnsi="Palatino Linotype"/>
          <w:i/>
          <w:w w:val="105"/>
        </w:rPr>
        <w:t>Tykes</w:t>
      </w:r>
      <w:r>
        <w:rPr>
          <w:rFonts w:ascii="Palatino Linotype" w:hAnsi="Palatino Linotype"/>
          <w:i/>
          <w:spacing w:val="-12"/>
          <w:w w:val="105"/>
        </w:rPr>
        <w:t> </w:t>
      </w:r>
      <w:r>
        <w:rPr>
          <w:w w:val="105"/>
        </w:rPr>
        <w:t>brand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immediately</w:t>
      </w:r>
      <w:r>
        <w:rPr>
          <w:spacing w:val="-44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at all</w:t>
      </w:r>
      <w:r>
        <w:rPr>
          <w:spacing w:val="1"/>
          <w:w w:val="105"/>
        </w:rPr>
        <w:t> </w:t>
      </w:r>
      <w:r>
        <w:rPr>
          <w:w w:val="105"/>
        </w:rPr>
        <w:t>972</w:t>
      </w:r>
      <w:r>
        <w:rPr>
          <w:spacing w:val="2"/>
          <w:w w:val="105"/>
        </w:rPr>
        <w:t> </w:t>
      </w:r>
      <w:r>
        <w:rPr>
          <w:w w:val="105"/>
        </w:rPr>
        <w:t>Target stores</w:t>
      </w:r>
      <w:r>
        <w:rPr>
          <w:spacing w:val="2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country.</w:t>
      </w:r>
    </w:p>
    <w:p>
      <w:pPr>
        <w:pStyle w:val="BodyText"/>
        <w:spacing w:line="249" w:lineRule="auto" w:before="192"/>
        <w:ind w:left="139" w:right="494" w:firstLine="288"/>
        <w:jc w:val="both"/>
      </w:pPr>
      <w:r>
        <w:rPr>
          <w:w w:val="105"/>
        </w:rPr>
        <w:t>By the summer of 2001, Rowan seemed to have Carter’s on a path of operational and financial</w:t>
      </w:r>
      <w:r>
        <w:rPr>
          <w:spacing w:val="1"/>
          <w:w w:val="105"/>
        </w:rPr>
        <w:t> </w:t>
      </w:r>
      <w:r>
        <w:rPr>
          <w:w w:val="105"/>
        </w:rPr>
        <w:t>success. From 1992 to 2000, the company increased revenue at a compound annual growth rate of</w:t>
      </w:r>
      <w:r>
        <w:rPr>
          <w:spacing w:val="1"/>
          <w:w w:val="105"/>
        </w:rPr>
        <w:t> </w:t>
      </w:r>
      <w:r>
        <w:rPr>
          <w:w w:val="105"/>
        </w:rPr>
        <w:t>9.5%,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depreciation,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(EBITDA)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22.1%.</w:t>
      </w:r>
      <w:r>
        <w:rPr>
          <w:spacing w:val="-44"/>
          <w:w w:val="105"/>
        </w:rPr>
        <w:t> </w:t>
      </w:r>
      <w:r>
        <w:rPr>
          <w:w w:val="105"/>
        </w:rPr>
        <w:t>(See</w:t>
      </w:r>
      <w:r>
        <w:rPr>
          <w:spacing w:val="1"/>
          <w:w w:val="105"/>
        </w:rPr>
        <w:t> </w:t>
      </w:r>
      <w:r>
        <w:rPr>
          <w:rFonts w:ascii="Palatino Linotype" w:hAnsi="Palatino Linotype"/>
          <w:b/>
          <w:w w:val="105"/>
        </w:rPr>
        <w:t>Exhibit</w:t>
      </w:r>
      <w:r>
        <w:rPr>
          <w:rFonts w:ascii="Palatino Linotype" w:hAnsi="Palatino Linotype"/>
          <w:b/>
          <w:spacing w:val="1"/>
          <w:w w:val="105"/>
        </w:rPr>
        <w:t> </w:t>
      </w:r>
      <w:r>
        <w:rPr>
          <w:rFonts w:ascii="Palatino Linotype" w:hAnsi="Palatino Linotype"/>
          <w:b/>
          <w:w w:val="105"/>
        </w:rPr>
        <w:t>4</w:t>
      </w:r>
      <w:r>
        <w:rPr>
          <w:rFonts w:ascii="Palatino Linotype" w:hAnsi="Palatino Linotype"/>
          <w:b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1"/>
          <w:w w:val="105"/>
        </w:rPr>
        <w:t> </w:t>
      </w:r>
      <w:r>
        <w:rPr>
          <w:w w:val="105"/>
        </w:rPr>
        <w:t>financials.)</w:t>
      </w:r>
      <w:r>
        <w:rPr>
          <w:spacing w:val="1"/>
          <w:w w:val="105"/>
        </w:rPr>
        <w:t> </w:t>
      </w:r>
      <w:r>
        <w:rPr>
          <w:w w:val="105"/>
        </w:rPr>
        <w:t>Analysts</w:t>
      </w:r>
      <w:r>
        <w:rPr>
          <w:spacing w:val="1"/>
          <w:w w:val="105"/>
        </w:rPr>
        <w:t> </w:t>
      </w:r>
      <w:r>
        <w:rPr>
          <w:w w:val="105"/>
        </w:rPr>
        <w:t>attributed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company’s</w:t>
      </w:r>
      <w:r>
        <w:rPr>
          <w:spacing w:val="1"/>
          <w:w w:val="105"/>
        </w:rPr>
        <w:t> </w:t>
      </w:r>
      <w:r>
        <w:rPr>
          <w:w w:val="105"/>
        </w:rPr>
        <w:t>growth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improved brand recognition, a lower cost structure, expansion into the discount channel, and the</w:t>
      </w:r>
      <w:r>
        <w:rPr>
          <w:spacing w:val="1"/>
          <w:w w:val="105"/>
        </w:rPr>
        <w:t> </w:t>
      </w:r>
      <w:r>
        <w:rPr>
          <w:w w:val="105"/>
        </w:rPr>
        <w:t>movement of some manufacturing operations offshore—while recognizing Investcorp as an able and</w:t>
      </w:r>
      <w:r>
        <w:rPr>
          <w:spacing w:val="-44"/>
          <w:w w:val="105"/>
        </w:rPr>
        <w:t> </w:t>
      </w:r>
      <w:r>
        <w:rPr>
          <w:w w:val="105"/>
        </w:rPr>
        <w:t>willing</w:t>
      </w:r>
      <w:r>
        <w:rPr>
          <w:spacing w:val="2"/>
          <w:w w:val="105"/>
        </w:rPr>
        <w:t> </w:t>
      </w:r>
      <w:r>
        <w:rPr>
          <w:w w:val="105"/>
        </w:rPr>
        <w:t>partner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growth.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72pt;margin-top:11.505538pt;width:144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6"/>
        </w:rPr>
      </w:pPr>
    </w:p>
    <w:p>
      <w:pPr>
        <w:spacing w:before="97"/>
        <w:ind w:left="140" w:right="0" w:firstLine="0"/>
        <w:jc w:val="left"/>
        <w:rPr>
          <w:sz w:val="16"/>
        </w:rPr>
      </w:pPr>
      <w:r>
        <w:rPr>
          <w:position w:val="6"/>
          <w:sz w:val="14"/>
        </w:rPr>
        <w:t>2</w:t>
      </w:r>
      <w:r>
        <w:rPr>
          <w:spacing w:val="23"/>
          <w:position w:val="6"/>
          <w:sz w:val="14"/>
        </w:rPr>
        <w:t> </w:t>
      </w:r>
      <w:r>
        <w:rPr>
          <w:sz w:val="16"/>
        </w:rPr>
        <w:t>Chris</w:t>
      </w:r>
      <w:r>
        <w:rPr>
          <w:spacing w:val="19"/>
          <w:sz w:val="16"/>
        </w:rPr>
        <w:t> </w:t>
      </w:r>
      <w:r>
        <w:rPr>
          <w:sz w:val="16"/>
        </w:rPr>
        <w:t>Roush,</w:t>
      </w:r>
      <w:r>
        <w:rPr>
          <w:spacing w:val="19"/>
          <w:sz w:val="16"/>
        </w:rPr>
        <w:t> </w:t>
      </w:r>
      <w:r>
        <w:rPr>
          <w:sz w:val="16"/>
        </w:rPr>
        <w:t>“Investment</w:t>
      </w:r>
      <w:r>
        <w:rPr>
          <w:spacing w:val="20"/>
          <w:sz w:val="16"/>
        </w:rPr>
        <w:t> </w:t>
      </w:r>
      <w:r>
        <w:rPr>
          <w:sz w:val="16"/>
        </w:rPr>
        <w:t>Bank</w:t>
      </w:r>
      <w:r>
        <w:rPr>
          <w:spacing w:val="20"/>
          <w:sz w:val="16"/>
        </w:rPr>
        <w:t> </w:t>
      </w:r>
      <w:r>
        <w:rPr>
          <w:sz w:val="16"/>
        </w:rPr>
        <w:t>Buys</w:t>
      </w:r>
      <w:r>
        <w:rPr>
          <w:spacing w:val="18"/>
          <w:sz w:val="16"/>
        </w:rPr>
        <w:t> </w:t>
      </w:r>
      <w:r>
        <w:rPr>
          <w:sz w:val="16"/>
        </w:rPr>
        <w:t>Morrow’s</w:t>
      </w:r>
      <w:r>
        <w:rPr>
          <w:spacing w:val="20"/>
          <w:sz w:val="16"/>
        </w:rPr>
        <w:t> </w:t>
      </w:r>
      <w:r>
        <w:rPr>
          <w:sz w:val="16"/>
        </w:rPr>
        <w:t>William</w:t>
      </w:r>
      <w:r>
        <w:rPr>
          <w:spacing w:val="17"/>
          <w:sz w:val="16"/>
        </w:rPr>
        <w:t> </w:t>
      </w:r>
      <w:r>
        <w:rPr>
          <w:sz w:val="16"/>
        </w:rPr>
        <w:t>Carter</w:t>
      </w:r>
      <w:r>
        <w:rPr>
          <w:spacing w:val="19"/>
          <w:sz w:val="16"/>
        </w:rPr>
        <w:t> </w:t>
      </w:r>
      <w:r>
        <w:rPr>
          <w:sz w:val="16"/>
        </w:rPr>
        <w:t>Co.,”</w:t>
      </w:r>
      <w:r>
        <w:rPr>
          <w:spacing w:val="18"/>
          <w:sz w:val="16"/>
        </w:rPr>
        <w:t> </w:t>
      </w:r>
      <w:r>
        <w:rPr>
          <w:rFonts w:ascii="Palatino Linotype" w:hAnsi="Palatino Linotype"/>
          <w:i/>
          <w:sz w:val="16"/>
        </w:rPr>
        <w:t>The</w:t>
      </w:r>
      <w:r>
        <w:rPr>
          <w:rFonts w:ascii="Palatino Linotype" w:hAnsi="Palatino Linotype"/>
          <w:i/>
          <w:spacing w:val="13"/>
          <w:sz w:val="16"/>
        </w:rPr>
        <w:t> </w:t>
      </w:r>
      <w:r>
        <w:rPr>
          <w:rFonts w:ascii="Palatino Linotype" w:hAnsi="Palatino Linotype"/>
          <w:i/>
          <w:sz w:val="16"/>
        </w:rPr>
        <w:t>Atlanta</w:t>
      </w:r>
      <w:r>
        <w:rPr>
          <w:rFonts w:ascii="Palatino Linotype" w:hAnsi="Palatino Linotype"/>
          <w:i/>
          <w:spacing w:val="15"/>
          <w:sz w:val="16"/>
        </w:rPr>
        <w:t> </w:t>
      </w:r>
      <w:r>
        <w:rPr>
          <w:rFonts w:ascii="Palatino Linotype" w:hAnsi="Palatino Linotype"/>
          <w:i/>
          <w:sz w:val="16"/>
        </w:rPr>
        <w:t>Journal-Constitution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November</w:t>
      </w:r>
      <w:r>
        <w:rPr>
          <w:spacing w:val="18"/>
          <w:sz w:val="16"/>
        </w:rPr>
        <w:t> </w:t>
      </w:r>
      <w:r>
        <w:rPr>
          <w:sz w:val="16"/>
        </w:rPr>
        <w:t>1,</w:t>
      </w:r>
      <w:r>
        <w:rPr>
          <w:spacing w:val="19"/>
          <w:sz w:val="16"/>
        </w:rPr>
        <w:t> </w:t>
      </w:r>
      <w:r>
        <w:rPr>
          <w:sz w:val="16"/>
        </w:rPr>
        <w:t>1996.</w:t>
      </w: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70.5pt;margin-top:11.887032pt;width:453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2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9616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spacing w:before="13"/>
        <w:rPr>
          <w:rFonts w:ascii="Palatino Linotype"/>
          <w:b/>
          <w:sz w:val="32"/>
        </w:rPr>
      </w:pPr>
    </w:p>
    <w:p>
      <w:pPr>
        <w:pStyle w:val="Heading2"/>
      </w:pPr>
      <w:r>
        <w:rPr/>
        <w:t>Up</w:t>
      </w:r>
      <w:r>
        <w:rPr>
          <w:spacing w:val="-1"/>
        </w:rPr>
        <w:t> </w:t>
      </w:r>
      <w:r>
        <w:rPr/>
        <w:t>for Sale</w:t>
      </w:r>
    </w:p>
    <w:p>
      <w:pPr>
        <w:pStyle w:val="BodyText"/>
        <w:spacing w:line="254" w:lineRule="auto" w:before="178"/>
        <w:ind w:left="500" w:right="136" w:firstLine="288"/>
        <w:jc w:val="both"/>
      </w:pPr>
      <w:r>
        <w:rPr/>
        <w:t>In</w:t>
      </w:r>
      <w:r>
        <w:rPr>
          <w:spacing w:val="33"/>
        </w:rPr>
        <w:t> </w:t>
      </w:r>
      <w:r>
        <w:rPr/>
        <w:t>mid-2000,</w:t>
      </w:r>
      <w:r>
        <w:rPr>
          <w:spacing w:val="34"/>
        </w:rPr>
        <w:t> </w:t>
      </w:r>
      <w:r>
        <w:rPr/>
        <w:t>having</w:t>
      </w:r>
      <w:r>
        <w:rPr>
          <w:spacing w:val="34"/>
        </w:rPr>
        <w:t> </w:t>
      </w:r>
      <w:r>
        <w:rPr/>
        <w:t>watched</w:t>
      </w:r>
      <w:r>
        <w:rPr>
          <w:spacing w:val="34"/>
        </w:rPr>
        <w:t> </w:t>
      </w:r>
      <w:r>
        <w:rPr/>
        <w:t>over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growth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its</w:t>
      </w:r>
      <w:r>
        <w:rPr>
          <w:spacing w:val="33"/>
        </w:rPr>
        <w:t> </w:t>
      </w:r>
      <w:r>
        <w:rPr/>
        <w:t>investment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Carter’s,</w:t>
      </w:r>
      <w:r>
        <w:rPr>
          <w:spacing w:val="34"/>
        </w:rPr>
        <w:t> </w:t>
      </w:r>
      <w:r>
        <w:rPr/>
        <w:t>Investcorp</w:t>
      </w:r>
      <w:r>
        <w:rPr>
          <w:spacing w:val="34"/>
        </w:rPr>
        <w:t> </w:t>
      </w:r>
      <w:r>
        <w:rPr/>
        <w:t>decided</w:t>
      </w:r>
      <w:r>
        <w:rPr>
          <w:spacing w:val="34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sell</w:t>
      </w:r>
      <w:r>
        <w:rPr>
          <w:spacing w:val="22"/>
        </w:rPr>
        <w:t> </w:t>
      </w:r>
      <w:r>
        <w:rPr/>
        <w:t>its</w:t>
      </w:r>
      <w:r>
        <w:rPr>
          <w:spacing w:val="21"/>
        </w:rPr>
        <w:t> </w:t>
      </w:r>
      <w:r>
        <w:rPr/>
        <w:t>stake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company.</w:t>
      </w:r>
      <w:r>
        <w:rPr>
          <w:spacing w:val="22"/>
        </w:rPr>
        <w:t> </w:t>
      </w:r>
      <w:r>
        <w:rPr/>
        <w:t>Investcorp</w:t>
      </w:r>
      <w:r>
        <w:rPr>
          <w:spacing w:val="20"/>
        </w:rPr>
        <w:t> </w:t>
      </w:r>
      <w:r>
        <w:rPr/>
        <w:t>typically</w:t>
      </w:r>
      <w:r>
        <w:rPr>
          <w:spacing w:val="22"/>
        </w:rPr>
        <w:t> </w:t>
      </w:r>
      <w:r>
        <w:rPr/>
        <w:t>looked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range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exit</w:t>
      </w:r>
      <w:r>
        <w:rPr>
          <w:spacing w:val="22"/>
        </w:rPr>
        <w:t> </w:t>
      </w:r>
      <w:r>
        <w:rPr/>
        <w:t>options,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at</w:t>
      </w:r>
      <w:r>
        <w:rPr>
          <w:spacing w:val="-42"/>
        </w:rPr>
        <w:t> </w:t>
      </w:r>
      <w:r>
        <w:rPr/>
        <w:t>the</w:t>
      </w:r>
      <w:r>
        <w:rPr>
          <w:spacing w:val="31"/>
        </w:rPr>
        <w:t> </w:t>
      </w:r>
      <w:r>
        <w:rPr/>
        <w:t>time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32"/>
        </w:rPr>
        <w:t> </w:t>
      </w:r>
      <w:r>
        <w:rPr/>
        <w:t>public</w:t>
      </w:r>
      <w:r>
        <w:rPr>
          <w:spacing w:val="30"/>
        </w:rPr>
        <w:t> </w:t>
      </w:r>
      <w:r>
        <w:rPr/>
        <w:t>offering</w:t>
      </w:r>
      <w:r>
        <w:rPr>
          <w:spacing w:val="30"/>
        </w:rPr>
        <w:t> </w:t>
      </w:r>
      <w:r>
        <w:rPr/>
        <w:t>(IPO)</w:t>
      </w:r>
      <w:r>
        <w:rPr>
          <w:spacing w:val="32"/>
        </w:rPr>
        <w:t> </w:t>
      </w:r>
      <w:r>
        <w:rPr/>
        <w:t>market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near</w:t>
      </w:r>
      <w:r>
        <w:rPr>
          <w:spacing w:val="30"/>
        </w:rPr>
        <w:t> </w:t>
      </w:r>
      <w:r>
        <w:rPr/>
        <w:t>standstill.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Jones’s</w:t>
      </w:r>
      <w:r>
        <w:rPr>
          <w:spacing w:val="31"/>
        </w:rPr>
        <w:t> </w:t>
      </w:r>
      <w:r>
        <w:rPr/>
        <w:t>view:</w:t>
      </w:r>
      <w:r>
        <w:rPr>
          <w:spacing w:val="32"/>
        </w:rPr>
        <w:t> </w:t>
      </w:r>
      <w:r>
        <w:rPr/>
        <w:t>“Investcorp</w:t>
      </w:r>
      <w:r>
        <w:rPr>
          <w:spacing w:val="-42"/>
        </w:rPr>
        <w:t> </w:t>
      </w:r>
      <w:r>
        <w:rPr/>
        <w:t>might</w:t>
      </w:r>
      <w:r>
        <w:rPr>
          <w:spacing w:val="37"/>
        </w:rPr>
        <w:t> </w:t>
      </w:r>
      <w:r>
        <w:rPr/>
        <w:t>have</w:t>
      </w:r>
      <w:r>
        <w:rPr>
          <w:spacing w:val="38"/>
        </w:rPr>
        <w:t> </w:t>
      </w:r>
      <w:r>
        <w:rPr/>
        <w:t>been</w:t>
      </w:r>
      <w:r>
        <w:rPr>
          <w:spacing w:val="37"/>
        </w:rPr>
        <w:t> </w:t>
      </w:r>
      <w:r>
        <w:rPr/>
        <w:t>able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take</w:t>
      </w:r>
      <w:r>
        <w:rPr>
          <w:spacing w:val="37"/>
        </w:rPr>
        <w:t> </w:t>
      </w:r>
      <w:r>
        <w:rPr/>
        <w:t>this</w:t>
      </w:r>
      <w:r>
        <w:rPr>
          <w:spacing w:val="38"/>
        </w:rPr>
        <w:t> </w:t>
      </w:r>
      <w:r>
        <w:rPr/>
        <w:t>company</w:t>
      </w:r>
      <w:r>
        <w:rPr>
          <w:spacing w:val="37"/>
        </w:rPr>
        <w:t> </w:t>
      </w:r>
      <w:r>
        <w:rPr/>
        <w:t>public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2001.</w:t>
      </w:r>
      <w:r>
        <w:rPr>
          <w:spacing w:val="37"/>
        </w:rPr>
        <w:t> </w:t>
      </w:r>
      <w:r>
        <w:rPr/>
        <w:t>But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were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end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five-year</w:t>
      </w:r>
      <w:r>
        <w:rPr>
          <w:spacing w:val="1"/>
        </w:rPr>
        <w:t> </w:t>
      </w:r>
      <w:r>
        <w:rPr/>
        <w:t>period, and they wanted liquidity. So to sit there, take another year or two to work their way out of 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wanted.”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added:</w:t>
      </w:r>
      <w:r>
        <w:rPr>
          <w:spacing w:val="1"/>
        </w:rPr>
        <w:t> </w:t>
      </w:r>
      <w:r>
        <w:rPr/>
        <w:t>“They’ve</w:t>
      </w:r>
      <w:r>
        <w:rPr>
          <w:spacing w:val="1"/>
        </w:rPr>
        <w:t> </w:t>
      </w:r>
      <w:r>
        <w:rPr/>
        <w:t>[Investcorp]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a</w:t>
      </w:r>
      <w:r>
        <w:rPr>
          <w:spacing w:val="44"/>
        </w:rPr>
        <w:t> </w:t>
      </w:r>
      <w:r>
        <w:rPr/>
        <w:t>network</w:t>
      </w:r>
      <w:r>
        <w:rPr>
          <w:spacing w:val="44"/>
        </w:rPr>
        <w:t> </w:t>
      </w:r>
      <w:r>
        <w:rPr/>
        <w:t>of</w:t>
      </w:r>
      <w:r>
        <w:rPr>
          <w:spacing w:val="1"/>
        </w:rPr>
        <w:t> </w:t>
      </w:r>
      <w:r>
        <w:rPr/>
        <w:t>investors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good</w:t>
      </w:r>
      <w:r>
        <w:rPr>
          <w:spacing w:val="44"/>
        </w:rPr>
        <w:t> </w:t>
      </w:r>
      <w:r>
        <w:rPr/>
        <w:t>returns</w:t>
      </w:r>
      <w:r>
        <w:rPr>
          <w:spacing w:val="44"/>
        </w:rPr>
        <w:t> </w:t>
      </w:r>
      <w:r>
        <w:rPr/>
        <w:t>coming</w:t>
      </w:r>
      <w:r>
        <w:rPr>
          <w:spacing w:val="44"/>
        </w:rPr>
        <w:t> </w:t>
      </w:r>
      <w:r>
        <w:rPr/>
        <w:t>out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keep</w:t>
      </w:r>
      <w:r>
        <w:rPr>
          <w:spacing w:val="44"/>
        </w:rPr>
        <w:t> </w:t>
      </w:r>
      <w:r>
        <w:rPr/>
        <w:t>talking</w:t>
      </w:r>
      <w:r>
        <w:rPr>
          <w:spacing w:val="44"/>
        </w:rPr>
        <w:t> </w:t>
      </w:r>
      <w:r>
        <w:rPr/>
        <w:t>about,</w:t>
      </w:r>
      <w:r>
        <w:rPr>
          <w:spacing w:val="44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harder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raise</w:t>
      </w:r>
      <w:r>
        <w:rPr>
          <w:spacing w:val="19"/>
        </w:rPr>
        <w:t> </w:t>
      </w:r>
      <w:r>
        <w:rPr/>
        <w:t>money.</w:t>
      </w:r>
      <w:r>
        <w:rPr>
          <w:spacing w:val="20"/>
        </w:rPr>
        <w:t> </w:t>
      </w:r>
      <w:r>
        <w:rPr/>
        <w:t>So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normal</w:t>
      </w:r>
      <w:r>
        <w:rPr>
          <w:spacing w:val="20"/>
        </w:rPr>
        <w:t> </w:t>
      </w:r>
      <w:r>
        <w:rPr/>
        <w:t>course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looking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generate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win</w:t>
      </w:r>
      <w:r>
        <w:rPr>
          <w:spacing w:val="2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sale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Carter’s.”</w:t>
      </w:r>
    </w:p>
    <w:p>
      <w:pPr>
        <w:pStyle w:val="BodyText"/>
        <w:spacing w:line="254" w:lineRule="auto" w:before="180"/>
        <w:ind w:left="500" w:right="136" w:firstLine="288"/>
        <w:jc w:val="both"/>
        <w:rPr>
          <w:sz w:val="14"/>
        </w:rPr>
      </w:pPr>
      <w:r>
        <w:rPr>
          <w:w w:val="105"/>
        </w:rPr>
        <w:t>Amidst rumors that a handful of potential strategic buyers had passed on the deal, including</w:t>
      </w:r>
      <w:r>
        <w:rPr>
          <w:spacing w:val="1"/>
          <w:w w:val="105"/>
        </w:rPr>
        <w:t> </w:t>
      </w:r>
      <w:r>
        <w:rPr>
          <w:w w:val="105"/>
        </w:rPr>
        <w:t>apparel</w:t>
      </w:r>
      <w:r>
        <w:rPr>
          <w:spacing w:val="1"/>
          <w:w w:val="105"/>
        </w:rPr>
        <w:t> </w:t>
      </w:r>
      <w:r>
        <w:rPr>
          <w:w w:val="105"/>
        </w:rPr>
        <w:t>companies</w:t>
      </w:r>
      <w:r>
        <w:rPr>
          <w:spacing w:val="1"/>
          <w:w w:val="105"/>
        </w:rPr>
        <w:t> </w:t>
      </w:r>
      <w:r>
        <w:rPr>
          <w:w w:val="105"/>
        </w:rPr>
        <w:t>Jones</w:t>
      </w:r>
      <w:r>
        <w:rPr>
          <w:spacing w:val="1"/>
          <w:w w:val="105"/>
        </w:rPr>
        <w:t> </w:t>
      </w:r>
      <w:r>
        <w:rPr>
          <w:w w:val="105"/>
        </w:rPr>
        <w:t>Apparel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OshKosh</w:t>
      </w:r>
      <w:r>
        <w:rPr>
          <w:spacing w:val="1"/>
          <w:w w:val="105"/>
        </w:rPr>
        <w:t> </w:t>
      </w:r>
      <w:r>
        <w:rPr>
          <w:w w:val="105"/>
        </w:rPr>
        <w:t>B’Gosh,</w:t>
      </w:r>
      <w:r>
        <w:rPr>
          <w:spacing w:val="1"/>
          <w:w w:val="105"/>
        </w:rPr>
        <w:t> </w:t>
      </w:r>
      <w:r>
        <w:rPr>
          <w:w w:val="105"/>
        </w:rPr>
        <w:t>Investcorp</w:t>
      </w:r>
      <w:r>
        <w:rPr>
          <w:spacing w:val="1"/>
          <w:w w:val="105"/>
        </w:rPr>
        <w:t> </w:t>
      </w:r>
      <w:r>
        <w:rPr>
          <w:w w:val="105"/>
        </w:rPr>
        <w:t>initiated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auction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financial buyers. Christopher O’Brien, a member of Investcorp’s management committee, added:</w:t>
      </w:r>
      <w:r>
        <w:rPr>
          <w:spacing w:val="1"/>
          <w:w w:val="105"/>
        </w:rPr>
        <w:t> </w:t>
      </w:r>
      <w:r>
        <w:rPr>
          <w:w w:val="105"/>
        </w:rPr>
        <w:t>“The nature of this company’s business is that it is not particularly related to economic swings. We</w:t>
      </w:r>
      <w:r>
        <w:rPr>
          <w:spacing w:val="1"/>
          <w:w w:val="105"/>
        </w:rPr>
        <w:t> </w:t>
      </w:r>
      <w:r>
        <w:rPr>
          <w:w w:val="105"/>
        </w:rPr>
        <w:t>thought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was a company that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buyers would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attractive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marketplace.”</w:t>
      </w:r>
      <w:r>
        <w:rPr>
          <w:w w:val="105"/>
          <w:position w:val="6"/>
          <w:sz w:val="14"/>
        </w:rPr>
        <w:t>3</w:t>
      </w:r>
    </w:p>
    <w:p>
      <w:pPr>
        <w:pStyle w:val="BodyText"/>
        <w:rPr>
          <w:sz w:val="28"/>
        </w:rPr>
      </w:pPr>
    </w:p>
    <w:p>
      <w:pPr>
        <w:pStyle w:val="Heading1"/>
        <w:spacing w:before="1"/>
        <w:ind w:left="500"/>
      </w:pPr>
      <w:r>
        <w:rPr/>
        <w:t>Berkshire</w:t>
      </w:r>
      <w:r>
        <w:rPr>
          <w:spacing w:val="-2"/>
        </w:rPr>
        <w:t> </w:t>
      </w:r>
      <w:r>
        <w:rPr/>
        <w:t>Partners</w:t>
      </w:r>
    </w:p>
    <w:p>
      <w:pPr>
        <w:pStyle w:val="BodyText"/>
        <w:spacing w:line="254" w:lineRule="auto" w:before="173"/>
        <w:ind w:left="499" w:right="133" w:firstLine="288"/>
        <w:jc w:val="both"/>
      </w:pPr>
      <w:r>
        <w:rPr>
          <w:w w:val="105"/>
        </w:rPr>
        <w:t>Berkshire Partners was founded in the mid-1980s by five individuals committed to creating a</w:t>
      </w:r>
      <w:r>
        <w:rPr>
          <w:spacing w:val="1"/>
          <w:w w:val="105"/>
        </w:rPr>
        <w:t> </w:t>
      </w:r>
      <w:r>
        <w:rPr>
          <w:w w:val="105"/>
        </w:rPr>
        <w:t>private equity firm “based on successful relationships, hard work, analysis, and the open decision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individuals.”</w:t>
      </w:r>
      <w:r>
        <w:rPr>
          <w:w w:val="105"/>
          <w:position w:val="6"/>
          <w:sz w:val="14"/>
        </w:rPr>
        <w:t>4</w:t>
      </w:r>
      <w:r>
        <w:rPr>
          <w:spacing w:val="19"/>
          <w:w w:val="105"/>
          <w:position w:val="6"/>
          <w:sz w:val="14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2001,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firm</w:t>
      </w:r>
      <w:r>
        <w:rPr>
          <w:spacing w:val="-6"/>
          <w:w w:val="105"/>
        </w:rPr>
        <w:t> </w:t>
      </w:r>
      <w:r>
        <w:rPr>
          <w:w w:val="105"/>
        </w:rPr>
        <w:t>comprised</w:t>
      </w:r>
      <w:r>
        <w:rPr>
          <w:spacing w:val="-5"/>
          <w:w w:val="105"/>
        </w:rPr>
        <w:t> </w:t>
      </w:r>
      <w:r>
        <w:rPr>
          <w:w w:val="105"/>
        </w:rPr>
        <w:t>roughly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6"/>
          <w:w w:val="105"/>
        </w:rPr>
        <w:t> </w:t>
      </w:r>
      <w:r>
        <w:rPr>
          <w:w w:val="105"/>
        </w:rPr>
        <w:t>managing</w:t>
      </w:r>
      <w:r>
        <w:rPr>
          <w:spacing w:val="-5"/>
          <w:w w:val="105"/>
        </w:rPr>
        <w:t> </w:t>
      </w:r>
      <w:r>
        <w:rPr>
          <w:w w:val="105"/>
        </w:rPr>
        <w:t>directors,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principals,</w:t>
      </w:r>
      <w:r>
        <w:rPr>
          <w:spacing w:val="1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staff</w:t>
      </w:r>
      <w:r>
        <w:rPr>
          <w:spacing w:val="-7"/>
          <w:w w:val="105"/>
        </w:rPr>
        <w:t> </w:t>
      </w:r>
      <w:r>
        <w:rPr>
          <w:w w:val="105"/>
        </w:rPr>
        <w:t>(associate</w:t>
      </w:r>
      <w:r>
        <w:rPr>
          <w:spacing w:val="-7"/>
          <w:w w:val="105"/>
        </w:rPr>
        <w:t> </w:t>
      </w:r>
      <w:r>
        <w:rPr>
          <w:w w:val="105"/>
        </w:rPr>
        <w:t>level),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advising</w:t>
      </w:r>
      <w:r>
        <w:rPr>
          <w:spacing w:val="-7"/>
          <w:w w:val="105"/>
        </w:rPr>
        <w:t> </w:t>
      </w:r>
      <w:r>
        <w:rPr>
          <w:w w:val="105"/>
        </w:rPr>
        <w:t>directors.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firm</w:t>
      </w:r>
      <w:r>
        <w:rPr>
          <w:spacing w:val="-7"/>
          <w:w w:val="105"/>
        </w:rPr>
        <w:t> </w:t>
      </w:r>
      <w:r>
        <w:rPr>
          <w:w w:val="105"/>
        </w:rPr>
        <w:t>reviewed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44"/>
          <w:w w:val="105"/>
        </w:rPr>
        <w:t> </w:t>
      </w:r>
      <w:r>
        <w:rPr>
          <w:w w:val="105"/>
        </w:rPr>
        <w:t>1,200 potential deals, with the intention of whittling the pool down to five to six closed deals. Jones</w:t>
      </w:r>
      <w:r>
        <w:rPr>
          <w:spacing w:val="1"/>
          <w:w w:val="105"/>
        </w:rPr>
        <w:t> </w:t>
      </w:r>
      <w:r>
        <w:rPr>
          <w:w w:val="105"/>
        </w:rPr>
        <w:t>estimated the number of times per year the firm completed full due diligence and submitted a final</w:t>
      </w:r>
      <w:r>
        <w:rPr>
          <w:spacing w:val="1"/>
          <w:w w:val="105"/>
        </w:rPr>
        <w:t> </w:t>
      </w:r>
      <w:r>
        <w:rPr>
          <w:w w:val="105"/>
        </w:rPr>
        <w:t>bid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12:</w:t>
      </w:r>
      <w:r>
        <w:rPr>
          <w:spacing w:val="12"/>
          <w:w w:val="105"/>
        </w:rPr>
        <w:t> </w:t>
      </w:r>
      <w:r>
        <w:rPr>
          <w:w w:val="105"/>
        </w:rPr>
        <w:t>“Our</w:t>
      </w:r>
      <w:r>
        <w:rPr>
          <w:spacing w:val="12"/>
          <w:w w:val="105"/>
        </w:rPr>
        <w:t> </w:t>
      </w:r>
      <w:r>
        <w:rPr>
          <w:w w:val="105"/>
        </w:rPr>
        <w:t>batting</w:t>
      </w:r>
      <w:r>
        <w:rPr>
          <w:spacing w:val="13"/>
          <w:w w:val="105"/>
        </w:rPr>
        <w:t> </w:t>
      </w:r>
      <w:r>
        <w:rPr>
          <w:w w:val="105"/>
        </w:rPr>
        <w:t>average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pretty</w:t>
      </w:r>
      <w:r>
        <w:rPr>
          <w:spacing w:val="12"/>
          <w:w w:val="105"/>
        </w:rPr>
        <w:t> </w:t>
      </w:r>
      <w:r>
        <w:rPr>
          <w:w w:val="105"/>
        </w:rPr>
        <w:t>good—we</w:t>
      </w:r>
      <w:r>
        <w:rPr>
          <w:spacing w:val="12"/>
          <w:w w:val="105"/>
        </w:rPr>
        <w:t> </w:t>
      </w:r>
      <w:r>
        <w:rPr>
          <w:w w:val="105"/>
        </w:rPr>
        <w:t>tend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go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way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things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think</w:t>
      </w:r>
      <w:r>
        <w:rPr>
          <w:spacing w:val="-44"/>
          <w:w w:val="105"/>
        </w:rPr>
        <w:t> </w:t>
      </w:r>
      <w:r>
        <w:rPr>
          <w:w w:val="105"/>
        </w:rPr>
        <w:t>we have pretty good odds of winning. So we’re not making a run at 40 things and getting five. We’re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10–15,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get almost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on another</w:t>
      </w:r>
      <w:r>
        <w:rPr>
          <w:spacing w:val="3"/>
          <w:w w:val="105"/>
        </w:rPr>
        <w:t> </w:t>
      </w:r>
      <w:r>
        <w:rPr>
          <w:w w:val="105"/>
        </w:rPr>
        <w:t>handful.”</w:t>
      </w:r>
    </w:p>
    <w:p>
      <w:pPr>
        <w:pStyle w:val="BodyText"/>
        <w:spacing w:line="254" w:lineRule="auto" w:before="180"/>
        <w:ind w:left="500" w:right="135" w:firstLine="288"/>
        <w:jc w:val="both"/>
      </w:pPr>
      <w:r>
        <w:rPr>
          <w:w w:val="105"/>
        </w:rPr>
        <w:t>For each deal under serious consideration, Berkshire formed a deal team comprising four to five</w:t>
      </w:r>
      <w:r>
        <w:rPr>
          <w:spacing w:val="1"/>
          <w:w w:val="105"/>
        </w:rPr>
        <w:t> </w:t>
      </w:r>
      <w:r>
        <w:rPr>
          <w:w w:val="105"/>
        </w:rPr>
        <w:t>people. A managing director served as lead partner for each team. A team would typically contain an</w:t>
      </w:r>
      <w:r>
        <w:rPr>
          <w:spacing w:val="1"/>
          <w:w w:val="105"/>
        </w:rPr>
        <w:t> </w:t>
      </w:r>
      <w:r>
        <w:rPr>
          <w:w w:val="105"/>
        </w:rPr>
        <w:t>additional managing director, a principal, and one or two investment staff. According to Jones, “As a</w:t>
      </w:r>
      <w:r>
        <w:rPr>
          <w:spacing w:val="1"/>
          <w:w w:val="105"/>
        </w:rPr>
        <w:t> </w:t>
      </w:r>
      <w:r>
        <w:rPr>
          <w:w w:val="105"/>
        </w:rPr>
        <w:t>firm, our work is very inclusive and collaborative in our efforts to uncover all the key information.”</w:t>
      </w:r>
      <w:r>
        <w:rPr>
          <w:spacing w:val="1"/>
          <w:w w:val="105"/>
        </w:rPr>
        <w:t> </w:t>
      </w:r>
      <w:r>
        <w:rPr>
          <w:w w:val="105"/>
        </w:rPr>
        <w:t>While the deal team took responsibility for “making a recommendation and then doing due diligence</w:t>
      </w:r>
      <w:r>
        <w:rPr>
          <w:spacing w:val="-44"/>
          <w:w w:val="105"/>
        </w:rPr>
        <w:t> </w:t>
      </w:r>
      <w:r>
        <w:rPr>
          <w:w w:val="105"/>
        </w:rPr>
        <w:t>and bringing back an investment package,” ultimate investment decisions rested with the firm as a</w:t>
      </w:r>
      <w:r>
        <w:rPr>
          <w:spacing w:val="1"/>
          <w:w w:val="105"/>
        </w:rPr>
        <w:t> </w:t>
      </w:r>
      <w:r>
        <w:rPr>
          <w:w w:val="105"/>
        </w:rPr>
        <w:t>whole.</w:t>
      </w:r>
    </w:p>
    <w:p>
      <w:pPr>
        <w:pStyle w:val="BodyText"/>
        <w:spacing w:line="254" w:lineRule="auto" w:before="180"/>
        <w:ind w:left="499" w:right="134" w:firstLine="288"/>
        <w:jc w:val="both"/>
      </w:pPr>
      <w:r>
        <w:rPr>
          <w:w w:val="105"/>
        </w:rPr>
        <w:t>In analyzing a potential deal, Berkshire relied largely on its internal staff to carry out the analysis</w:t>
      </w:r>
      <w:r>
        <w:rPr>
          <w:spacing w:val="1"/>
          <w:w w:val="105"/>
        </w:rPr>
        <w:t> </w:t>
      </w:r>
      <w:r>
        <w:rPr>
          <w:w w:val="105"/>
        </w:rPr>
        <w:t>and would “use a Bain and McKinsey to help us answer or flush out a couple of issues that we just</w:t>
      </w:r>
      <w:r>
        <w:rPr>
          <w:spacing w:val="1"/>
          <w:w w:val="105"/>
        </w:rPr>
        <w:t> </w:t>
      </w:r>
      <w:r>
        <w:rPr>
          <w:w w:val="105"/>
        </w:rPr>
        <w:t>don’t have the resources to do.” Beyond that, the firm relied on leading Boston law firms to carry out</w:t>
      </w:r>
      <w:r>
        <w:rPr>
          <w:spacing w:val="-44"/>
          <w:w w:val="105"/>
        </w:rPr>
        <w:t> </w:t>
      </w:r>
      <w:r>
        <w:rPr>
          <w:w w:val="105"/>
        </w:rPr>
        <w:t>due diligence on contracts, leases, patents, and trademarks. Ernst &amp; Young (E&amp;Y) handled the firm’s</w:t>
      </w:r>
      <w:r>
        <w:rPr>
          <w:spacing w:val="1"/>
          <w:w w:val="105"/>
        </w:rPr>
        <w:t> </w:t>
      </w:r>
      <w:r>
        <w:rPr>
          <w:w w:val="105"/>
        </w:rPr>
        <w:t>accounting</w:t>
      </w:r>
      <w:r>
        <w:rPr>
          <w:spacing w:val="3"/>
          <w:w w:val="105"/>
        </w:rPr>
        <w:t> </w:t>
      </w:r>
      <w:r>
        <w:rPr>
          <w:w w:val="105"/>
        </w:rPr>
        <w:t>due</w:t>
      </w:r>
      <w:r>
        <w:rPr>
          <w:spacing w:val="3"/>
          <w:w w:val="105"/>
        </w:rPr>
        <w:t> </w:t>
      </w:r>
      <w:r>
        <w:rPr>
          <w:w w:val="105"/>
        </w:rPr>
        <w:t>diligence,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principally</w:t>
      </w:r>
      <w:r>
        <w:rPr>
          <w:spacing w:val="3"/>
          <w:w w:val="105"/>
        </w:rPr>
        <w:t> </w:t>
      </w:r>
      <w:r>
        <w:rPr>
          <w:w w:val="105"/>
        </w:rPr>
        <w:t>involved</w:t>
      </w:r>
      <w:r>
        <w:rPr>
          <w:spacing w:val="3"/>
          <w:w w:val="105"/>
        </w:rPr>
        <w:t> </w:t>
      </w:r>
      <w:r>
        <w:rPr>
          <w:w w:val="105"/>
        </w:rPr>
        <w:t>looking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quality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line="254" w:lineRule="auto" w:before="179"/>
        <w:ind w:left="499" w:right="137" w:firstLine="288"/>
        <w:jc w:val="both"/>
      </w:pPr>
      <w:r>
        <w:rPr>
          <w:w w:val="105"/>
        </w:rPr>
        <w:t>According to Ascione, getting the capital structure right was “an art, not a science.” He added:</w:t>
      </w:r>
      <w:r>
        <w:rPr>
          <w:spacing w:val="1"/>
          <w:w w:val="105"/>
        </w:rPr>
        <w:t> </w:t>
      </w:r>
      <w:r>
        <w:rPr>
          <w:w w:val="105"/>
        </w:rPr>
        <w:t>“There are a lot of factors that go into determining the right financing structure. To start, there’s</w:t>
      </w:r>
      <w:r>
        <w:rPr>
          <w:spacing w:val="1"/>
          <w:w w:val="105"/>
        </w:rPr>
        <w:t> </w:t>
      </w:r>
      <w:r>
        <w:rPr>
          <w:w w:val="105"/>
        </w:rPr>
        <w:t>purchase</w:t>
      </w:r>
      <w:r>
        <w:rPr>
          <w:spacing w:val="43"/>
          <w:w w:val="105"/>
        </w:rPr>
        <w:t> </w:t>
      </w:r>
      <w:r>
        <w:rPr>
          <w:w w:val="105"/>
        </w:rPr>
        <w:t>price—dollars</w:t>
      </w:r>
      <w:r>
        <w:rPr>
          <w:spacing w:val="44"/>
          <w:w w:val="105"/>
        </w:rPr>
        <w:t> </w:t>
      </w:r>
      <w:r>
        <w:rPr>
          <w:w w:val="105"/>
        </w:rPr>
        <w:t>needed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ultimately</w:t>
      </w:r>
      <w:r>
        <w:rPr>
          <w:spacing w:val="43"/>
          <w:w w:val="105"/>
        </w:rPr>
        <w:t> </w:t>
      </w:r>
      <w:r>
        <w:rPr>
          <w:w w:val="105"/>
        </w:rPr>
        <w:t>buy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company.</w:t>
      </w:r>
      <w:r>
        <w:rPr>
          <w:spacing w:val="44"/>
          <w:w w:val="105"/>
        </w:rPr>
        <w:t> </w:t>
      </w:r>
      <w:r>
        <w:rPr>
          <w:w w:val="105"/>
        </w:rPr>
        <w:t>And,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course,</w:t>
      </w:r>
      <w:r>
        <w:rPr>
          <w:spacing w:val="44"/>
          <w:w w:val="105"/>
        </w:rPr>
        <w:t> </w:t>
      </w:r>
      <w:r>
        <w:rPr>
          <w:w w:val="105"/>
        </w:rPr>
        <w:t>there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5"/>
        </w:rPr>
        <w:t> </w:t>
      </w:r>
      <w:r>
        <w:rPr>
          <w:w w:val="105"/>
        </w:rPr>
        <w:t>your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90pt;margin-top:8.963243pt;width:144pt;height:.47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40" w:lineRule="auto" w:before="97" w:after="0"/>
        <w:ind w:left="610" w:right="0" w:hanging="111"/>
        <w:jc w:val="left"/>
        <w:rPr>
          <w:sz w:val="16"/>
        </w:rPr>
      </w:pPr>
      <w:r>
        <w:rPr>
          <w:w w:val="105"/>
          <w:sz w:val="16"/>
        </w:rPr>
        <w:t>Kelly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Holman,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“Berkshire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Buys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William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Carter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Co.,” </w:t>
      </w:r>
      <w:r>
        <w:rPr>
          <w:rFonts w:ascii="Palatino Linotype" w:hAnsi="Palatino Linotype"/>
          <w:i/>
          <w:w w:val="105"/>
          <w:sz w:val="16"/>
        </w:rPr>
        <w:t>The</w:t>
      </w:r>
      <w:r>
        <w:rPr>
          <w:rFonts w:ascii="Palatino Linotype" w:hAnsi="Palatino Linotype"/>
          <w:i/>
          <w:spacing w:val="-7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Daily</w:t>
      </w:r>
      <w:r>
        <w:rPr>
          <w:rFonts w:ascii="Palatino Linotype" w:hAnsi="Palatino Linotype"/>
          <w:i/>
          <w:spacing w:val="-7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Deal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17,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2001.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54" w:lineRule="auto" w:before="99" w:after="0"/>
        <w:ind w:left="500" w:right="137" w:firstLine="0"/>
        <w:jc w:val="left"/>
        <w:rPr>
          <w:sz w:val="16"/>
        </w:rPr>
      </w:pPr>
      <w:r>
        <w:rPr>
          <w:w w:val="105"/>
          <w:sz w:val="16"/>
        </w:rPr>
        <w:t>Berkshire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Partners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site,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“Our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Partnership,”</w:t>
      </w:r>
      <w:r>
        <w:rPr>
          <w:spacing w:val="23"/>
          <w:w w:val="105"/>
          <w:sz w:val="16"/>
        </w:rPr>
        <w:t> </w:t>
      </w:r>
      <w:hyperlink r:id="rId8">
        <w:r>
          <w:rPr>
            <w:w w:val="105"/>
            <w:sz w:val="16"/>
          </w:rPr>
          <w:t>http://www.berkshirepartners.com/1_0_partnership.shtml,</w:t>
        </w:r>
      </w:hyperlink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accessed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December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88.5pt;margin-top:11.893946pt;width:453pt;height:.4799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3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8080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5"/>
        <w:rPr>
          <w:rFonts w:ascii="Palatino Linotype"/>
          <w:b/>
          <w:sz w:val="28"/>
        </w:rPr>
      </w:pPr>
    </w:p>
    <w:p>
      <w:pPr>
        <w:pStyle w:val="BodyText"/>
        <w:spacing w:line="254" w:lineRule="auto" w:before="95"/>
        <w:ind w:left="139" w:right="495"/>
        <w:jc w:val="both"/>
      </w:pPr>
      <w:r>
        <w:rPr>
          <w:w w:val="105"/>
        </w:rPr>
        <w:t>returns. Obviously, if I hold purchase price steady, and I increase my leverage, my equity returns will</w:t>
      </w:r>
      <w:r>
        <w:rPr>
          <w:spacing w:val="-44"/>
          <w:w w:val="105"/>
        </w:rPr>
        <w:t> </w:t>
      </w:r>
      <w:r>
        <w:rPr>
          <w:w w:val="105"/>
        </w:rPr>
        <w:t>increase, and so on.” Berkshire managers believed the equity portion of the capital structure at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least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25%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achieve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desired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lending base that Berkshire was making a serious commitment. At the time, investment banks were</w:t>
      </w:r>
      <w:r>
        <w:rPr>
          <w:spacing w:val="1"/>
          <w:w w:val="105"/>
        </w:rPr>
        <w:t> </w:t>
      </w:r>
      <w:r>
        <w:rPr>
          <w:w w:val="105"/>
        </w:rPr>
        <w:t>willing to lend at a</w:t>
      </w:r>
      <w:r>
        <w:rPr>
          <w:spacing w:val="1"/>
          <w:w w:val="105"/>
        </w:rPr>
        <w:t> </w:t>
      </w:r>
      <w:r>
        <w:rPr>
          <w:w w:val="105"/>
        </w:rPr>
        <w:t>rate of roughly four to five  times EBITDA, with the multiple determined largely</w:t>
      </w:r>
      <w:r>
        <w:rPr>
          <w:spacing w:val="1"/>
          <w:w w:val="105"/>
        </w:rPr>
        <w:t> </w:t>
      </w:r>
      <w:r>
        <w:rPr>
          <w:w w:val="105"/>
        </w:rPr>
        <w:t>by market conditions. Ascione continued, “This is coupled with the challenge of asking yourself: Is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leverage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type;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ratings</w:t>
      </w:r>
      <w:r>
        <w:rPr>
          <w:spacing w:val="-4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like;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difficult will it be to get the financing completed; and what does that mean in terms of your total</w:t>
      </w:r>
      <w:r>
        <w:rPr>
          <w:spacing w:val="1"/>
          <w:w w:val="105"/>
        </w:rPr>
        <w:t> </w:t>
      </w:r>
      <w:r>
        <w:rPr>
          <w:w w:val="105"/>
        </w:rPr>
        <w:t>financing costs? These are all the variables that you play with to try to figure out the optimal capital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business.”</w:t>
      </w:r>
    </w:p>
    <w:p>
      <w:pPr>
        <w:pStyle w:val="BodyText"/>
        <w:spacing w:line="254" w:lineRule="auto" w:before="180"/>
        <w:ind w:left="140" w:right="495" w:firstLine="288"/>
        <w:jc w:val="both"/>
      </w:pP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taking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equity</w:t>
      </w:r>
      <w:r>
        <w:rPr>
          <w:spacing w:val="1"/>
          <w:w w:val="105"/>
        </w:rPr>
        <w:t> </w:t>
      </w:r>
      <w:r>
        <w:rPr>
          <w:w w:val="105"/>
        </w:rPr>
        <w:t>position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private</w:t>
      </w:r>
      <w:r>
        <w:rPr>
          <w:spacing w:val="1"/>
          <w:w w:val="105"/>
        </w:rPr>
        <w:t> </w:t>
      </w:r>
      <w:r>
        <w:rPr>
          <w:w w:val="105"/>
        </w:rPr>
        <w:t>business,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role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supporting</w:t>
      </w:r>
      <w:r>
        <w:rPr>
          <w:spacing w:val="1"/>
          <w:w w:val="105"/>
        </w:rPr>
        <w:t> </w:t>
      </w:r>
      <w:r>
        <w:rPr>
          <w:w w:val="105"/>
        </w:rPr>
        <w:t>management in a variety of ways, including a) helping to prioritize key objectives, b) reviewing</w:t>
      </w:r>
      <w:r>
        <w:rPr>
          <w:spacing w:val="1"/>
          <w:w w:val="105"/>
        </w:rPr>
        <w:t> </w:t>
      </w:r>
      <w:r>
        <w:rPr>
          <w:w w:val="105"/>
        </w:rPr>
        <w:t>organizational design, c) helping to “build the bench” of key managers, and d) even leading the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event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subsequent acquisition. Jones</w:t>
      </w:r>
      <w:r>
        <w:rPr>
          <w:spacing w:val="1"/>
          <w:w w:val="105"/>
        </w:rPr>
        <w:t> </w:t>
      </w:r>
      <w:r>
        <w:rPr>
          <w:w w:val="105"/>
        </w:rPr>
        <w:t>added:</w:t>
      </w:r>
    </w:p>
    <w:p>
      <w:pPr>
        <w:pStyle w:val="BodyText"/>
        <w:spacing w:line="254" w:lineRule="auto" w:before="180"/>
        <w:ind w:left="428" w:right="782" w:firstLine="288"/>
        <w:jc w:val="both"/>
      </w:pPr>
      <w:r>
        <w:rPr>
          <w:w w:val="105"/>
        </w:rPr>
        <w:t>I would say that we’ve done a lot of work over the last several years to be more thoughtful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opportunities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companies</w:t>
      </w:r>
      <w:r>
        <w:rPr>
          <w:spacing w:val="1"/>
          <w:w w:val="105"/>
        </w:rPr>
        <w:t> </w:t>
      </w:r>
      <w:r>
        <w:rPr>
          <w:w w:val="105"/>
        </w:rPr>
        <w:t>up</w:t>
      </w:r>
      <w:r>
        <w:rPr>
          <w:spacing w:val="1"/>
          <w:w w:val="105"/>
        </w:rPr>
        <w:t> </w:t>
      </w:r>
      <w:r>
        <w:rPr>
          <w:w w:val="105"/>
        </w:rPr>
        <w:t>front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align</w:t>
      </w:r>
      <w:r>
        <w:rPr>
          <w:spacing w:val="1"/>
          <w:w w:val="105"/>
        </w:rPr>
        <w:t> </w:t>
      </w:r>
      <w:r>
        <w:rPr>
          <w:w w:val="105"/>
        </w:rPr>
        <w:t>strategically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management. So in thinking about how we add value, it is important to look at the work we do</w:t>
      </w:r>
      <w:r>
        <w:rPr>
          <w:spacing w:val="-44"/>
          <w:w w:val="105"/>
        </w:rPr>
        <w:t> </w:t>
      </w:r>
      <w:r>
        <w:rPr>
          <w:w w:val="105"/>
        </w:rPr>
        <w:t>in due diligence not only as critical to making a smart investment decision, but also a critical</w:t>
      </w:r>
      <w:r>
        <w:rPr>
          <w:spacing w:val="1"/>
          <w:w w:val="105"/>
        </w:rPr>
        <w:t> </w:t>
      </w:r>
      <w:r>
        <w:rPr>
          <w:w w:val="105"/>
        </w:rPr>
        <w:t>foundation</w:t>
      </w:r>
      <w:r>
        <w:rPr>
          <w:spacing w:val="2"/>
          <w:w w:val="105"/>
        </w:rPr>
        <w:t> </w:t>
      </w:r>
      <w:r>
        <w:rPr>
          <w:w w:val="105"/>
        </w:rPr>
        <w:t>to operate</w:t>
      </w:r>
      <w:r>
        <w:rPr>
          <w:spacing w:val="2"/>
          <w:w w:val="105"/>
        </w:rPr>
        <w:t> </w:t>
      </w:r>
      <w:r>
        <w:rPr>
          <w:w w:val="105"/>
        </w:rPr>
        <w:t>from during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life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investment.</w:t>
      </w:r>
    </w:p>
    <w:p>
      <w:pPr>
        <w:pStyle w:val="BodyText"/>
        <w:spacing w:line="254" w:lineRule="auto" w:before="179"/>
        <w:ind w:left="140" w:right="495" w:firstLine="288"/>
        <w:jc w:val="both"/>
      </w:pPr>
      <w:r>
        <w:rPr>
          <w:w w:val="105"/>
        </w:rPr>
        <w:t>At any given time, Berkshire held a portfolio of roughly 25 investments. About half of these</w:t>
      </w:r>
      <w:r>
        <w:rPr>
          <w:spacing w:val="1"/>
          <w:w w:val="105"/>
        </w:rPr>
        <w:t> </w:t>
      </w:r>
      <w:r>
        <w:rPr>
          <w:w w:val="105"/>
        </w:rPr>
        <w:t>businesses required very little of Berkshire’s management attention—the firm “was on top of these</w:t>
      </w:r>
      <w:r>
        <w:rPr>
          <w:spacing w:val="1"/>
          <w:w w:val="105"/>
        </w:rPr>
        <w:t> </w:t>
      </w:r>
      <w:r>
        <w:rPr>
          <w:w w:val="105"/>
        </w:rPr>
        <w:t>businesses” and fully expected to exit them in due course. About one-quarter of the businesses</w:t>
      </w:r>
      <w:r>
        <w:rPr>
          <w:spacing w:val="1"/>
          <w:w w:val="105"/>
        </w:rPr>
        <w:t> </w:t>
      </w:r>
      <w:r>
        <w:rPr>
          <w:w w:val="105"/>
        </w:rPr>
        <w:t>required a moderate level of attention, and another one-quarter required Berkshire to be “very</w:t>
      </w:r>
      <w:r>
        <w:rPr>
          <w:spacing w:val="1"/>
          <w:w w:val="105"/>
        </w:rPr>
        <w:t> </w:t>
      </w:r>
      <w:r>
        <w:rPr>
          <w:w w:val="105"/>
        </w:rPr>
        <w:t>focused on them.” Businesses garnering the largest amount of attention did so “because it’s the early</w:t>
      </w:r>
      <w:r>
        <w:rPr>
          <w:spacing w:val="-44"/>
          <w:w w:val="105"/>
        </w:rPr>
        <w:t> </w:t>
      </w:r>
      <w:r>
        <w:rPr>
          <w:w w:val="105"/>
        </w:rPr>
        <w:t>stages,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meaningful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they’re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firm’s</w:t>
      </w:r>
      <w:r>
        <w:rPr>
          <w:spacing w:val="-2"/>
          <w:w w:val="105"/>
        </w:rPr>
        <w:t> </w:t>
      </w:r>
      <w:r>
        <w:rPr>
          <w:w w:val="105"/>
        </w:rPr>
        <w:t>success.”</w:t>
      </w:r>
    </w:p>
    <w:p>
      <w:pPr>
        <w:pStyle w:val="BodyText"/>
        <w:spacing w:line="254" w:lineRule="auto" w:before="181"/>
        <w:ind w:left="140" w:right="495" w:firstLine="288"/>
        <w:jc w:val="both"/>
      </w:pPr>
      <w:r>
        <w:rPr>
          <w:w w:val="105"/>
        </w:rPr>
        <w:t>Berkshire’s typical exit strategy was sale of the company, rather than an IPO, by a ratio of about</w:t>
      </w:r>
      <w:r>
        <w:rPr>
          <w:spacing w:val="1"/>
          <w:w w:val="105"/>
        </w:rPr>
        <w:t> </w:t>
      </w:r>
      <w:r>
        <w:rPr>
          <w:w w:val="105"/>
        </w:rPr>
        <w:t>four to one. The firm’s conditions for exiting via an IPO were threefold: 1) a strong brand, 2) strong</w:t>
      </w:r>
      <w:r>
        <w:rPr>
          <w:spacing w:val="1"/>
          <w:w w:val="105"/>
        </w:rPr>
        <w:t> </w:t>
      </w:r>
      <w:r>
        <w:rPr>
          <w:w w:val="105"/>
        </w:rPr>
        <w:t>growth potential, and 3) a dramatic need for capital. Unlike many other private equity firms that</w:t>
      </w:r>
      <w:r>
        <w:rPr>
          <w:spacing w:val="1"/>
          <w:w w:val="105"/>
        </w:rPr>
        <w:t> </w:t>
      </w:r>
      <w:r>
        <w:rPr>
          <w:w w:val="105"/>
        </w:rPr>
        <w:t>often used an IPO to close out their ownership stake, Berkshire was more likely to initiate an IPO in</w:t>
      </w:r>
      <w:r>
        <w:rPr>
          <w:spacing w:val="1"/>
          <w:w w:val="105"/>
        </w:rPr>
        <w:t> </w:t>
      </w:r>
      <w:r>
        <w:rPr>
          <w:w w:val="105"/>
        </w:rPr>
        <w:t>the middle of its ownership with the intention of staying involved with the management and helping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company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grow.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many</w:t>
      </w:r>
      <w:r>
        <w:rPr>
          <w:spacing w:val="3"/>
          <w:w w:val="105"/>
        </w:rPr>
        <w:t> </w:t>
      </w:r>
      <w:r>
        <w:rPr>
          <w:w w:val="105"/>
        </w:rPr>
        <w:t>cases,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follow-on</w:t>
      </w:r>
      <w:r>
        <w:rPr>
          <w:spacing w:val="3"/>
          <w:w w:val="105"/>
        </w:rPr>
        <w:t> </w:t>
      </w:r>
      <w:r>
        <w:rPr>
          <w:w w:val="105"/>
        </w:rPr>
        <w:t>offer</w:t>
      </w:r>
      <w:r>
        <w:rPr>
          <w:spacing w:val="3"/>
          <w:w w:val="105"/>
        </w:rPr>
        <w:t> </w:t>
      </w:r>
      <w:r>
        <w:rPr>
          <w:w w:val="105"/>
        </w:rPr>
        <w:t>would</w:t>
      </w:r>
      <w:r>
        <w:rPr>
          <w:spacing w:val="3"/>
          <w:w w:val="105"/>
        </w:rPr>
        <w:t> </w:t>
      </w:r>
      <w:r>
        <w:rPr>
          <w:w w:val="105"/>
        </w:rPr>
        <w:t>ensue.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jc w:val="both"/>
      </w:pPr>
      <w:r>
        <w:rPr/>
        <w:t>Berkshire’s</w:t>
      </w:r>
      <w:r>
        <w:rPr>
          <w:spacing w:val="-5"/>
        </w:rPr>
        <w:t> </w:t>
      </w:r>
      <w:r>
        <w:rPr/>
        <w:t>Bid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Carter’s</w:t>
      </w:r>
    </w:p>
    <w:p>
      <w:pPr>
        <w:pStyle w:val="BodyText"/>
        <w:spacing w:line="254" w:lineRule="auto" w:before="173"/>
        <w:ind w:left="140" w:right="494" w:firstLine="288"/>
        <w:jc w:val="both"/>
      </w:pPr>
      <w:r>
        <w:rPr>
          <w:w w:val="105"/>
        </w:rPr>
        <w:t>When Berkshire Partners received an invitation to participate in the auction for Carter’s, the</w:t>
      </w:r>
      <w:r>
        <w:rPr>
          <w:spacing w:val="1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initially</w:t>
      </w:r>
      <w:r>
        <w:rPr>
          <w:spacing w:val="-1"/>
          <w:w w:val="105"/>
        </w:rPr>
        <w:t> </w:t>
      </w:r>
      <w:r>
        <w:rPr>
          <w:w w:val="105"/>
        </w:rPr>
        <w:t>optimistic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organizations.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firm had developed a focus on “building strong, growth-oriented companies in conjunction with</w:t>
      </w:r>
      <w:r>
        <w:rPr>
          <w:spacing w:val="1"/>
          <w:w w:val="105"/>
        </w:rPr>
        <w:t> </w:t>
      </w:r>
      <w:r>
        <w:rPr>
          <w:w w:val="105"/>
        </w:rPr>
        <w:t>strong, equity-incented management teams.”</w:t>
      </w:r>
      <w:r>
        <w:rPr>
          <w:w w:val="105"/>
          <w:position w:val="6"/>
          <w:sz w:val="14"/>
        </w:rPr>
        <w:t>5</w:t>
      </w:r>
      <w:r>
        <w:rPr>
          <w:spacing w:val="1"/>
          <w:w w:val="105"/>
          <w:position w:val="6"/>
          <w:sz w:val="14"/>
        </w:rPr>
        <w:t> </w:t>
      </w:r>
      <w:r>
        <w:rPr>
          <w:w w:val="105"/>
        </w:rPr>
        <w:t>Berkshire viewed Carter’s not simply as an apparel</w:t>
      </w:r>
      <w:r>
        <w:rPr>
          <w:spacing w:val="1"/>
          <w:w w:val="105"/>
        </w:rPr>
        <w:t> </w:t>
      </w:r>
      <w:r>
        <w:rPr>
          <w:w w:val="105"/>
        </w:rPr>
        <w:t>company in the retail space, but more as a consumer products company. According to Jones, Carter’s</w:t>
      </w:r>
      <w:r>
        <w:rPr>
          <w:spacing w:val="-44"/>
          <w:w w:val="105"/>
        </w:rPr>
        <w:t> </w:t>
      </w:r>
      <w:r>
        <w:rPr>
          <w:w w:val="105"/>
        </w:rPr>
        <w:t>being “a really strong brand that could be leveraged across multiple channels” was something that</w:t>
      </w:r>
      <w:r>
        <w:rPr>
          <w:spacing w:val="1"/>
          <w:w w:val="105"/>
        </w:rPr>
        <w:t> </w:t>
      </w:r>
      <w:r>
        <w:rPr>
          <w:w w:val="105"/>
        </w:rPr>
        <w:t>“we</w:t>
      </w:r>
      <w:r>
        <w:rPr>
          <w:spacing w:val="3"/>
          <w:w w:val="105"/>
        </w:rPr>
        <w:t> </w:t>
      </w:r>
      <w:r>
        <w:rPr>
          <w:w w:val="105"/>
        </w:rPr>
        <w:t>found</w:t>
      </w:r>
      <w:r>
        <w:rPr>
          <w:spacing w:val="3"/>
          <w:w w:val="105"/>
        </w:rPr>
        <w:t> </w:t>
      </w:r>
      <w:r>
        <w:rPr>
          <w:w w:val="105"/>
        </w:rPr>
        <w:t>very</w:t>
      </w:r>
      <w:r>
        <w:rPr>
          <w:spacing w:val="5"/>
          <w:w w:val="105"/>
        </w:rPr>
        <w:t> </w:t>
      </w:r>
      <w:r>
        <w:rPr>
          <w:w w:val="105"/>
        </w:rPr>
        <w:t>appealing,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general</w:t>
      </w:r>
      <w:r>
        <w:rPr>
          <w:spacing w:val="4"/>
          <w:w w:val="105"/>
        </w:rPr>
        <w:t> </w:t>
      </w:r>
      <w:r>
        <w:rPr>
          <w:w w:val="105"/>
        </w:rPr>
        <w:t>find</w:t>
      </w:r>
      <w:r>
        <w:rPr>
          <w:spacing w:val="3"/>
          <w:w w:val="105"/>
        </w:rPr>
        <w:t> </w:t>
      </w:r>
      <w:r>
        <w:rPr>
          <w:w w:val="105"/>
        </w:rPr>
        <w:t>appealing.”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72pt;margin-top:14.369424pt;width:144pt;height:.48001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54" w:lineRule="auto" w:before="97" w:after="0"/>
        <w:ind w:left="140" w:right="495" w:firstLine="0"/>
        <w:jc w:val="left"/>
        <w:rPr>
          <w:sz w:val="16"/>
        </w:rPr>
      </w:pPr>
      <w:r>
        <w:rPr>
          <w:spacing w:val="-1"/>
          <w:w w:val="105"/>
          <w:sz w:val="16"/>
        </w:rPr>
        <w:t>Berkshire</w:t>
      </w:r>
      <w:r>
        <w:rPr>
          <w:spacing w:val="-5"/>
          <w:w w:val="105"/>
          <w:sz w:val="16"/>
        </w:rPr>
        <w:t> </w:t>
      </w:r>
      <w:r>
        <w:rPr>
          <w:spacing w:val="-1"/>
          <w:w w:val="105"/>
          <w:sz w:val="16"/>
        </w:rPr>
        <w:t>Partners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site,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“Press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Releases,”</w:t>
      </w:r>
      <w:r>
        <w:rPr>
          <w:spacing w:val="-5"/>
          <w:w w:val="105"/>
          <w:sz w:val="16"/>
        </w:rPr>
        <w:t> </w:t>
      </w:r>
      <w:hyperlink r:id="rId9">
        <w:r>
          <w:rPr>
            <w:w w:val="105"/>
            <w:sz w:val="16"/>
          </w:rPr>
          <w:t>http://www.berkshirepartners.com/5_1_17_press.shtml,</w:t>
        </w:r>
        <w:r>
          <w:rPr>
            <w:spacing w:val="-5"/>
            <w:w w:val="105"/>
            <w:sz w:val="16"/>
          </w:rPr>
          <w:t> </w:t>
        </w:r>
      </w:hyperlink>
      <w:r>
        <w:rPr>
          <w:w w:val="105"/>
          <w:sz w:val="16"/>
        </w:rPr>
        <w:t>accessed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September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70.5pt;margin-top:11.899844pt;width:453pt;height:.4799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4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7056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spacing w:before="13"/>
        <w:rPr>
          <w:rFonts w:ascii="Palatino Linotype"/>
          <w:b/>
          <w:sz w:val="32"/>
        </w:rPr>
      </w:pPr>
    </w:p>
    <w:p>
      <w:pPr>
        <w:pStyle w:val="Heading2"/>
      </w:pPr>
      <w:r>
        <w:rPr/>
        <w:t>Initial</w:t>
      </w:r>
      <w:r>
        <w:rPr>
          <w:spacing w:val="-1"/>
        </w:rPr>
        <w:t> </w:t>
      </w:r>
      <w:r>
        <w:rPr/>
        <w:t>Meeting</w:t>
      </w:r>
    </w:p>
    <w:p>
      <w:pPr>
        <w:pStyle w:val="BodyText"/>
        <w:spacing w:line="249" w:lineRule="auto" w:before="178"/>
        <w:ind w:left="499" w:right="135" w:firstLine="288"/>
        <w:jc w:val="both"/>
      </w:pPr>
      <w:r>
        <w:rPr>
          <w:w w:val="105"/>
        </w:rPr>
        <w:t>On the first Tuesday of May, Berkshire’s five-member team traveled to New York to meet with</w:t>
      </w:r>
      <w:r>
        <w:rPr>
          <w:spacing w:val="1"/>
          <w:w w:val="105"/>
        </w:rPr>
        <w:t> </w:t>
      </w:r>
      <w:r>
        <w:rPr>
          <w:w w:val="105"/>
        </w:rPr>
        <w:t>Carter’s management. The Carter team included the CEO, president of marketing, executive vice</w:t>
      </w:r>
      <w:r>
        <w:rPr>
          <w:spacing w:val="1"/>
          <w:w w:val="105"/>
        </w:rPr>
        <w:t> </w:t>
      </w:r>
      <w:r>
        <w:rPr>
          <w:w w:val="105"/>
        </w:rPr>
        <w:t>president of operations, executive vice president of global sourcing, and CFO. The meeting provided</w:t>
      </w:r>
      <w:r>
        <w:rPr>
          <w:spacing w:val="1"/>
          <w:w w:val="105"/>
        </w:rPr>
        <w:t> </w:t>
      </w:r>
      <w:r>
        <w:rPr>
          <w:w w:val="105"/>
        </w:rPr>
        <w:t>an opportunity for the respective managers to get to know one another, to discuss the ground rules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auction,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begin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dialogue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Carter’s.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person,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Berkshire executives were very impressed with the Carter team, acknowledging their experience,</w:t>
      </w:r>
      <w:r>
        <w:rPr>
          <w:spacing w:val="1"/>
          <w:w w:val="105"/>
        </w:rPr>
        <w:t> </w:t>
      </w:r>
      <w:r>
        <w:rPr>
          <w:w w:val="105"/>
        </w:rPr>
        <w:t>commitment, and “confidence in their five-year plan.” (See </w:t>
      </w:r>
      <w:r>
        <w:rPr>
          <w:rFonts w:ascii="Palatino Linotype" w:hAnsi="Palatino Linotype"/>
          <w:b/>
          <w:w w:val="105"/>
        </w:rPr>
        <w:t>Exhibit 5 </w:t>
      </w:r>
      <w:r>
        <w:rPr>
          <w:w w:val="105"/>
        </w:rPr>
        <w:t>for four elements of growth</w:t>
      </w:r>
      <w:r>
        <w:rPr>
          <w:spacing w:val="1"/>
          <w:w w:val="105"/>
        </w:rPr>
        <w:t> </w:t>
      </w:r>
      <w:r>
        <w:rPr>
          <w:w w:val="105"/>
        </w:rPr>
        <w:t>strategy.)</w:t>
      </w:r>
    </w:p>
    <w:p>
      <w:pPr>
        <w:pStyle w:val="BodyText"/>
        <w:spacing w:line="249" w:lineRule="auto" w:before="181"/>
        <w:ind w:left="499" w:right="134" w:firstLine="288"/>
        <w:jc w:val="both"/>
      </w:pPr>
      <w:r>
        <w:rPr>
          <w:w w:val="105"/>
        </w:rPr>
        <w:t>The initial meeting also opened lines of communication between Berkshire and Goldman Sachs,</w:t>
      </w:r>
      <w:r>
        <w:rPr>
          <w:spacing w:val="1"/>
          <w:w w:val="105"/>
        </w:rPr>
        <w:t> </w:t>
      </w:r>
      <w:r>
        <w:rPr>
          <w:w w:val="105"/>
        </w:rPr>
        <w:t>which Carter’s had engaged to run the auction process. In the early weeks of May, Berkshire’s team</w:t>
      </w:r>
      <w:r>
        <w:rPr>
          <w:spacing w:val="1"/>
          <w:w w:val="105"/>
        </w:rPr>
        <w:t> </w:t>
      </w:r>
      <w:r>
        <w:rPr>
          <w:w w:val="105"/>
        </w:rPr>
        <w:t>had a number of discussions with Goldman Sachs. The deal was being shown to a limited number of</w:t>
      </w:r>
      <w:r>
        <w:rPr>
          <w:spacing w:val="1"/>
          <w:w w:val="105"/>
        </w:rPr>
        <w:t> </w:t>
      </w:r>
      <w:r>
        <w:rPr>
          <w:w w:val="105"/>
        </w:rPr>
        <w:t>financial buyers (“more than 2, less than 10”), and not all potential buyers would be given the</w:t>
      </w:r>
      <w:r>
        <w:rPr>
          <w:spacing w:val="1"/>
          <w:w w:val="105"/>
        </w:rPr>
        <w:t> </w:t>
      </w:r>
      <w:r>
        <w:rPr>
          <w:w w:val="105"/>
        </w:rPr>
        <w:t>opportunity Berkshire had been given to meet with the management team prior to submitting a</w:t>
      </w:r>
      <w:r>
        <w:rPr>
          <w:spacing w:val="1"/>
          <w:w w:val="105"/>
        </w:rPr>
        <w:t> </w:t>
      </w:r>
      <w:r>
        <w:rPr>
          <w:w w:val="105"/>
        </w:rPr>
        <w:t>preliminary</w:t>
      </w:r>
      <w:r>
        <w:rPr>
          <w:spacing w:val="1"/>
          <w:w w:val="105"/>
        </w:rPr>
        <w:t> </w:t>
      </w:r>
      <w:r>
        <w:rPr>
          <w:w w:val="105"/>
        </w:rPr>
        <w:t>bid.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addition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auction,</w:t>
      </w:r>
      <w:r>
        <w:rPr>
          <w:spacing w:val="1"/>
          <w:w w:val="105"/>
        </w:rPr>
        <w:t> </w:t>
      </w:r>
      <w:r>
        <w:rPr>
          <w:w w:val="105"/>
        </w:rPr>
        <w:t>Goldman</w:t>
      </w:r>
      <w:r>
        <w:rPr>
          <w:spacing w:val="1"/>
          <w:w w:val="105"/>
        </w:rPr>
        <w:t> </w:t>
      </w:r>
      <w:r>
        <w:rPr>
          <w:w w:val="105"/>
        </w:rPr>
        <w:t>Sachs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providing</w:t>
      </w:r>
      <w:r>
        <w:rPr>
          <w:spacing w:val="1"/>
          <w:w w:val="105"/>
        </w:rPr>
        <w:t> </w:t>
      </w:r>
      <w:r>
        <w:rPr>
          <w:w w:val="105"/>
        </w:rPr>
        <w:t>staple-on</w:t>
      </w:r>
      <w:r>
        <w:rPr>
          <w:spacing w:val="1"/>
          <w:w w:val="105"/>
        </w:rPr>
        <w:t> </w:t>
      </w:r>
      <w:r>
        <w:rPr>
          <w:w w:val="105"/>
        </w:rPr>
        <w:t>financing for the deal, although the buyers were not limited to the Goldman financing structure and</w:t>
      </w:r>
      <w:r>
        <w:rPr>
          <w:spacing w:val="1"/>
          <w:w w:val="105"/>
        </w:rPr>
        <w:t> </w:t>
      </w:r>
      <w:r>
        <w:rPr>
          <w:w w:val="105"/>
        </w:rPr>
        <w:t>could choose to submit a bid that would be financed by other sources. (See </w:t>
      </w:r>
      <w:r>
        <w:rPr>
          <w:rFonts w:ascii="Palatino Linotype" w:hAnsi="Palatino Linotype"/>
          <w:b/>
          <w:w w:val="105"/>
        </w:rPr>
        <w:t>Exhibit 6 </w:t>
      </w:r>
      <w:r>
        <w:rPr>
          <w:w w:val="105"/>
        </w:rPr>
        <w:t>for proposed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2"/>
          <w:w w:val="105"/>
        </w:rPr>
        <w:t> </w:t>
      </w:r>
      <w:r>
        <w:rPr>
          <w:w w:val="105"/>
        </w:rPr>
        <w:t>structure.)</w:t>
      </w:r>
    </w:p>
    <w:p>
      <w:pPr>
        <w:pStyle w:val="BodyText"/>
        <w:spacing w:line="254" w:lineRule="auto" w:before="185"/>
        <w:ind w:left="500" w:right="136" w:firstLine="288"/>
        <w:jc w:val="both"/>
      </w:pPr>
      <w:r>
        <w:rPr>
          <w:w w:val="105"/>
        </w:rPr>
        <w:t>Members of the Berkshire team acknowledged that a staple-on financing structure, if not actually</w:t>
      </w:r>
      <w:r>
        <w:rPr>
          <w:spacing w:val="-44"/>
          <w:w w:val="105"/>
        </w:rPr>
        <w:t> </w:t>
      </w:r>
      <w:r>
        <w:rPr>
          <w:w w:val="105"/>
        </w:rPr>
        <w:t>compared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competing</w:t>
      </w:r>
      <w:r>
        <w:rPr>
          <w:spacing w:val="-5"/>
          <w:w w:val="105"/>
        </w:rPr>
        <w:t> </w:t>
      </w:r>
      <w:r>
        <w:rPr>
          <w:w w:val="105"/>
        </w:rPr>
        <w:t>offers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market,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conflict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interest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investment</w:t>
      </w:r>
      <w:r>
        <w:rPr>
          <w:spacing w:val="-44"/>
          <w:w w:val="105"/>
        </w:rPr>
        <w:t> </w:t>
      </w:r>
      <w:r>
        <w:rPr>
          <w:w w:val="105"/>
        </w:rPr>
        <w:t>bank. A bank’s dual role of auctioneer and financier, if unchecked, could pressure a buyer to accept</w:t>
      </w:r>
      <w:r>
        <w:rPr>
          <w:spacing w:val="1"/>
          <w:w w:val="105"/>
        </w:rPr>
        <w:t> </w:t>
      </w:r>
      <w:r>
        <w:rPr>
          <w:w w:val="105"/>
        </w:rPr>
        <w:t>inferior</w:t>
      </w:r>
      <w:r>
        <w:rPr>
          <w:spacing w:val="1"/>
          <w:w w:val="105"/>
        </w:rPr>
        <w:t> </w:t>
      </w:r>
      <w:r>
        <w:rPr>
          <w:w w:val="105"/>
        </w:rPr>
        <w:t>financing</w:t>
      </w:r>
      <w:r>
        <w:rPr>
          <w:spacing w:val="2"/>
          <w:w w:val="105"/>
        </w:rPr>
        <w:t> </w:t>
      </w:r>
      <w:r>
        <w:rPr>
          <w:w w:val="105"/>
        </w:rPr>
        <w:t>terms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win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bid.</w:t>
      </w:r>
      <w:r>
        <w:rPr>
          <w:spacing w:val="2"/>
          <w:w w:val="105"/>
        </w:rPr>
        <w:t> </w:t>
      </w:r>
      <w:r>
        <w:rPr>
          <w:w w:val="105"/>
        </w:rPr>
        <w:t>Ascione</w:t>
      </w:r>
      <w:r>
        <w:rPr>
          <w:spacing w:val="2"/>
          <w:w w:val="105"/>
        </w:rPr>
        <w:t> </w:t>
      </w:r>
      <w:r>
        <w:rPr>
          <w:w w:val="105"/>
        </w:rPr>
        <w:t>stated:</w:t>
      </w:r>
    </w:p>
    <w:p>
      <w:pPr>
        <w:pStyle w:val="BodyText"/>
        <w:spacing w:line="254" w:lineRule="auto" w:before="181"/>
        <w:ind w:left="787" w:right="424" w:firstLine="288"/>
        <w:jc w:val="both"/>
      </w:pPr>
      <w:r>
        <w:rPr>
          <w:w w:val="105"/>
        </w:rPr>
        <w:t>There were a lot of tensions inherent in the new staple-on structure. The investment banks</w:t>
      </w:r>
      <w:r>
        <w:rPr>
          <w:spacing w:val="-44"/>
          <w:w w:val="105"/>
        </w:rPr>
        <w:t> </w:t>
      </w:r>
      <w:r>
        <w:rPr>
          <w:w w:val="105"/>
        </w:rPr>
        <w:t>were concerned externally about how it would affect their reputations, and the private equity</w:t>
      </w:r>
      <w:r>
        <w:rPr>
          <w:spacing w:val="1"/>
          <w:w w:val="105"/>
        </w:rPr>
        <w:t> </w:t>
      </w:r>
      <w:r>
        <w:rPr>
          <w:w w:val="105"/>
        </w:rPr>
        <w:t>guys weren’t that excited about it. They felt it limited their ability to get an edge in the bidding</w:t>
      </w:r>
      <w:r>
        <w:rPr>
          <w:spacing w:val="-44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bringing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creative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deals.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staple-on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provide,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expedited</w:t>
      </w:r>
      <w:r>
        <w:rPr>
          <w:spacing w:val="1"/>
          <w:w w:val="105"/>
        </w:rPr>
        <w:t> </w:t>
      </w:r>
      <w:r>
        <w:rPr>
          <w:w w:val="105"/>
        </w:rPr>
        <w:t>financing</w:t>
      </w:r>
      <w:r>
        <w:rPr>
          <w:spacing w:val="3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44" w:lineRule="auto" w:before="179"/>
        <w:ind w:left="499" w:right="136" w:firstLine="300"/>
        <w:jc w:val="both"/>
      </w:pPr>
      <w:r>
        <w:rPr>
          <w:w w:val="105"/>
        </w:rPr>
        <w:t>Nevertheless,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came</w:t>
      </w:r>
      <w:r>
        <w:rPr>
          <w:spacing w:val="1"/>
          <w:w w:val="105"/>
        </w:rPr>
        <w:t> </w:t>
      </w:r>
      <w:r>
        <w:rPr>
          <w:w w:val="105"/>
        </w:rPr>
        <w:t>away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meeting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York</w:t>
      </w:r>
      <w:r>
        <w:rPr>
          <w:spacing w:val="1"/>
          <w:w w:val="105"/>
        </w:rPr>
        <w:t> </w:t>
      </w:r>
      <w:r>
        <w:rPr>
          <w:w w:val="105"/>
        </w:rPr>
        <w:t>eager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look</w:t>
      </w:r>
      <w:r>
        <w:rPr>
          <w:spacing w:val="1"/>
          <w:w w:val="105"/>
        </w:rPr>
        <w:t> </w:t>
      </w:r>
      <w:r>
        <w:rPr>
          <w:w w:val="105"/>
        </w:rPr>
        <w:t>carefully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deal.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ensuing</w:t>
      </w:r>
      <w:r>
        <w:rPr>
          <w:spacing w:val="1"/>
          <w:w w:val="105"/>
        </w:rPr>
        <w:t> </w:t>
      </w:r>
      <w:r>
        <w:rPr>
          <w:w w:val="105"/>
        </w:rPr>
        <w:t>days,</w:t>
      </w:r>
      <w:r>
        <w:rPr>
          <w:spacing w:val="1"/>
          <w:w w:val="105"/>
        </w:rPr>
        <w:t> </w:t>
      </w:r>
      <w:r>
        <w:rPr>
          <w:w w:val="105"/>
        </w:rPr>
        <w:t>Goldman</w:t>
      </w:r>
      <w:r>
        <w:rPr>
          <w:spacing w:val="1"/>
          <w:w w:val="105"/>
        </w:rPr>
        <w:t> </w:t>
      </w:r>
      <w:r>
        <w:rPr>
          <w:w w:val="105"/>
        </w:rPr>
        <w:t>furnished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summary  of</w:t>
      </w:r>
      <w:r>
        <w:rPr>
          <w:spacing w:val="1"/>
          <w:w w:val="105"/>
        </w:rPr>
        <w:t> </w:t>
      </w:r>
      <w:r>
        <w:rPr>
          <w:w w:val="105"/>
        </w:rPr>
        <w:t>financial projections put together by Carter’s management (see </w:t>
      </w:r>
      <w:r>
        <w:rPr>
          <w:rFonts w:ascii="Palatino Linotype" w:hAnsi="Palatino Linotype"/>
          <w:b/>
          <w:w w:val="105"/>
        </w:rPr>
        <w:t>Exhibits 7a</w:t>
      </w:r>
      <w:r>
        <w:rPr>
          <w:w w:val="105"/>
        </w:rPr>
        <w:t>, </w:t>
      </w:r>
      <w:r>
        <w:rPr>
          <w:rFonts w:ascii="Palatino Linotype" w:hAnsi="Palatino Linotype"/>
          <w:b/>
          <w:w w:val="105"/>
        </w:rPr>
        <w:t>7b</w:t>
      </w:r>
      <w:r>
        <w:rPr>
          <w:w w:val="105"/>
        </w:rPr>
        <w:t>, and </w:t>
      </w:r>
      <w:r>
        <w:rPr>
          <w:rFonts w:ascii="Palatino Linotype" w:hAnsi="Palatino Linotype"/>
          <w:b/>
          <w:w w:val="105"/>
        </w:rPr>
        <w:t>7c</w:t>
      </w:r>
      <w:r>
        <w:rPr>
          <w:w w:val="105"/>
        </w:rPr>
        <w:t>). GS also</w:t>
      </w:r>
      <w:r>
        <w:rPr>
          <w:spacing w:val="1"/>
          <w:w w:val="105"/>
        </w:rPr>
        <w:t> </w:t>
      </w:r>
      <w:r>
        <w:rPr>
          <w:w w:val="105"/>
        </w:rPr>
        <w:t>indicated that the process required potential buyers to submit equity bids of at least $130 million 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considered.</w:t>
      </w:r>
    </w:p>
    <w:p>
      <w:pPr>
        <w:pStyle w:val="Heading2"/>
        <w:spacing w:before="179"/>
      </w:pPr>
      <w:r>
        <w:rPr/>
        <w:t>Preliminary</w:t>
      </w:r>
      <w:r>
        <w:rPr>
          <w:spacing w:val="-2"/>
        </w:rPr>
        <w:t> </w:t>
      </w:r>
      <w:r>
        <w:rPr/>
        <w:t>Bid, Due Diligence</w:t>
      </w:r>
    </w:p>
    <w:p>
      <w:pPr>
        <w:pStyle w:val="BodyText"/>
        <w:spacing w:line="254" w:lineRule="auto" w:before="177"/>
        <w:ind w:left="500" w:right="135" w:firstLine="300"/>
        <w:jc w:val="both"/>
      </w:pPr>
      <w:r>
        <w:rPr>
          <w:w w:val="105"/>
        </w:rPr>
        <w:t>Berkshire</w:t>
      </w:r>
      <w:r>
        <w:rPr>
          <w:spacing w:val="-7"/>
          <w:w w:val="105"/>
        </w:rPr>
        <w:t> </w:t>
      </w:r>
      <w:r>
        <w:rPr>
          <w:w w:val="105"/>
        </w:rPr>
        <w:t>submitted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preliminary</w:t>
      </w:r>
      <w:r>
        <w:rPr>
          <w:spacing w:val="-6"/>
          <w:w w:val="105"/>
        </w:rPr>
        <w:t> </w:t>
      </w:r>
      <w:r>
        <w:rPr>
          <w:w w:val="105"/>
        </w:rPr>
        <w:t>bid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16,</w:t>
      </w:r>
      <w:r>
        <w:rPr>
          <w:spacing w:val="-7"/>
          <w:w w:val="105"/>
        </w:rPr>
        <w:t> </w:t>
      </w:r>
      <w:r>
        <w:rPr>
          <w:w w:val="105"/>
        </w:rPr>
        <w:t>2001.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preparing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Berkshire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44"/>
          <w:w w:val="105"/>
        </w:rPr>
        <w:t> </w:t>
      </w:r>
      <w:r>
        <w:rPr>
          <w:w w:val="105"/>
        </w:rPr>
        <w:t>consulted closely with its entire investment staff; though it understood its preliminary bid would not</w:t>
      </w:r>
      <w:r>
        <w:rPr>
          <w:spacing w:val="-45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binding,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team</w:t>
      </w:r>
      <w:r>
        <w:rPr>
          <w:spacing w:val="18"/>
          <w:w w:val="105"/>
        </w:rPr>
        <w:t> </w:t>
      </w:r>
      <w:r>
        <w:rPr>
          <w:w w:val="105"/>
        </w:rPr>
        <w:t>wanted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put</w:t>
      </w:r>
      <w:r>
        <w:rPr>
          <w:spacing w:val="19"/>
          <w:w w:val="105"/>
        </w:rPr>
        <w:t> </w:t>
      </w:r>
      <w:r>
        <w:rPr>
          <w:w w:val="105"/>
        </w:rPr>
        <w:t>forth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least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good-faith</w:t>
      </w:r>
      <w:r>
        <w:rPr>
          <w:spacing w:val="18"/>
          <w:w w:val="105"/>
        </w:rPr>
        <w:t> </w:t>
      </w:r>
      <w:r>
        <w:rPr>
          <w:w w:val="105"/>
        </w:rPr>
        <w:t>offer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sustain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interest</w:t>
      </w:r>
      <w:r>
        <w:rPr>
          <w:spacing w:val="18"/>
          <w:w w:val="105"/>
        </w:rPr>
        <w:t> </w:t>
      </w:r>
      <w:r>
        <w:rPr>
          <w:w w:val="105"/>
        </w:rPr>
        <w:t>Carter’s</w:t>
      </w:r>
      <w:r>
        <w:rPr>
          <w:spacing w:val="-44"/>
          <w:w w:val="105"/>
        </w:rPr>
        <w:t> </w:t>
      </w:r>
      <w:r>
        <w:rPr>
          <w:w w:val="105"/>
        </w:rPr>
        <w:t>had</w:t>
      </w:r>
      <w:r>
        <w:rPr>
          <w:spacing w:val="2"/>
          <w:w w:val="105"/>
        </w:rPr>
        <w:t> </w:t>
      </w:r>
      <w:r>
        <w:rPr>
          <w:w w:val="105"/>
        </w:rPr>
        <w:t>shown.</w:t>
      </w:r>
    </w:p>
    <w:p>
      <w:pPr>
        <w:pStyle w:val="BodyText"/>
        <w:spacing w:line="254" w:lineRule="auto" w:before="181"/>
        <w:ind w:left="499" w:right="135" w:firstLine="300"/>
        <w:jc w:val="both"/>
      </w:pP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preliminary</w:t>
      </w:r>
      <w:r>
        <w:rPr>
          <w:spacing w:val="1"/>
          <w:w w:val="105"/>
        </w:rPr>
        <w:t> </w:t>
      </w:r>
      <w:r>
        <w:rPr>
          <w:w w:val="105"/>
        </w:rPr>
        <w:t>bid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ongoing</w:t>
      </w:r>
      <w:r>
        <w:rPr>
          <w:spacing w:val="1"/>
          <w:w w:val="105"/>
        </w:rPr>
        <w:t> </w:t>
      </w:r>
      <w:r>
        <w:rPr>
          <w:w w:val="105"/>
        </w:rPr>
        <w:t>discussions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Goldman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Carter’s</w:t>
      </w:r>
      <w:r>
        <w:rPr>
          <w:spacing w:val="1"/>
          <w:w w:val="105"/>
        </w:rPr>
        <w:t> </w:t>
      </w:r>
      <w:r>
        <w:rPr>
          <w:w w:val="105"/>
        </w:rPr>
        <w:t>management,</w:t>
      </w:r>
      <w:r>
        <w:rPr>
          <w:spacing w:val="6"/>
          <w:w w:val="105"/>
        </w:rPr>
        <w:t> </w:t>
      </w:r>
      <w:r>
        <w:rPr>
          <w:w w:val="105"/>
        </w:rPr>
        <w:t>Berkshire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invited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participate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second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final</w:t>
      </w:r>
      <w:r>
        <w:rPr>
          <w:spacing w:val="8"/>
          <w:w w:val="105"/>
        </w:rPr>
        <w:t> </w:t>
      </w:r>
      <w:r>
        <w:rPr>
          <w:w w:val="105"/>
        </w:rPr>
        <w:t>round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bidding</w:t>
      </w:r>
      <w:r>
        <w:rPr>
          <w:spacing w:val="5"/>
          <w:w w:val="105"/>
        </w:rPr>
        <w:t> </w:t>
      </w:r>
      <w:r>
        <w:rPr>
          <w:w w:val="105"/>
        </w:rPr>
        <w:t>along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-44"/>
          <w:w w:val="105"/>
        </w:rPr>
        <w:t> </w:t>
      </w:r>
      <w:r>
        <w:rPr>
          <w:w w:val="105"/>
        </w:rPr>
        <w:t>a “handful” of other bidders. In addition, Berkshire was invited to a second management meeting in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York.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meeting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Berkshire,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accompanied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bankers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financial</w:t>
      </w:r>
      <w:r>
        <w:rPr>
          <w:spacing w:val="1"/>
          <w:w w:val="105"/>
        </w:rPr>
        <w:t> </w:t>
      </w:r>
      <w:r>
        <w:rPr>
          <w:w w:val="105"/>
        </w:rPr>
        <w:t>advisors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CSFB,</w:t>
      </w:r>
      <w:r>
        <w:rPr>
          <w:spacing w:val="1"/>
          <w:w w:val="105"/>
        </w:rPr>
        <w:t> </w:t>
      </w:r>
      <w:r>
        <w:rPr>
          <w:w w:val="105"/>
        </w:rPr>
        <w:t>Bank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America,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Bain,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opportunity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probe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components of Carter’s strategic plan while also deepening the personal relationships between the</w:t>
      </w:r>
      <w:r>
        <w:rPr>
          <w:spacing w:val="1"/>
          <w:w w:val="105"/>
        </w:rPr>
        <w:t> </w:t>
      </w:r>
      <w:r>
        <w:rPr>
          <w:w w:val="105"/>
        </w:rPr>
        <w:t>two parties.</w:t>
      </w:r>
      <w:r>
        <w:rPr>
          <w:spacing w:val="-1"/>
          <w:w w:val="105"/>
        </w:rPr>
        <w:t> </w:t>
      </w:r>
      <w:r>
        <w:rPr>
          <w:w w:val="105"/>
        </w:rPr>
        <w:t>Berkshire viewed the meeting as</w:t>
      </w:r>
      <w:r>
        <w:rPr>
          <w:spacing w:val="-1"/>
          <w:w w:val="105"/>
        </w:rPr>
        <w:t> </w:t>
      </w:r>
      <w:r>
        <w:rPr>
          <w:w w:val="105"/>
        </w:rPr>
        <w:t>collegial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productive.</w:t>
      </w:r>
      <w:r>
        <w:rPr>
          <w:spacing w:val="1"/>
          <w:w w:val="105"/>
        </w:rPr>
        <w:t> </w:t>
      </w:r>
      <w:r>
        <w:rPr>
          <w:w w:val="105"/>
        </w:rPr>
        <w:t>According to</w:t>
      </w:r>
      <w:r>
        <w:rPr>
          <w:spacing w:val="-1"/>
          <w:w w:val="105"/>
        </w:rPr>
        <w:t> </w:t>
      </w:r>
      <w:r>
        <w:rPr>
          <w:w w:val="105"/>
        </w:rPr>
        <w:t>a member of the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pict>
          <v:rect style="position:absolute;margin-left:88.5pt;margin-top:9.263711pt;width:453pt;height:.4799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5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6032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5"/>
        <w:rPr>
          <w:rFonts w:ascii="Palatino Linotype"/>
          <w:b/>
          <w:sz w:val="28"/>
        </w:rPr>
      </w:pPr>
    </w:p>
    <w:p>
      <w:pPr>
        <w:pStyle w:val="BodyText"/>
        <w:spacing w:line="254" w:lineRule="auto" w:before="95"/>
        <w:ind w:left="140" w:right="496"/>
        <w:jc w:val="both"/>
      </w:pPr>
      <w:r>
        <w:rPr>
          <w:w w:val="105"/>
        </w:rPr>
        <w:t>Berkshire team: “The team has worked hard in a short period of time to understand Carter’s. We</w:t>
      </w:r>
      <w:r>
        <w:rPr>
          <w:spacing w:val="1"/>
          <w:w w:val="105"/>
        </w:rPr>
        <w:t> </w:t>
      </w:r>
      <w:r>
        <w:rPr>
          <w:w w:val="105"/>
        </w:rPr>
        <w:t>have been aided in our process by a management team that is exceptionally adept at producing</w:t>
      </w:r>
      <w:r>
        <w:rPr>
          <w:spacing w:val="1"/>
          <w:w w:val="105"/>
        </w:rPr>
        <w:t> </w:t>
      </w:r>
      <w:r>
        <w:rPr>
          <w:w w:val="105"/>
        </w:rPr>
        <w:t>analysis and cutting data. It has given us comfort that the internal controls and systems of the</w:t>
      </w:r>
      <w:r>
        <w:rPr>
          <w:spacing w:val="1"/>
          <w:w w:val="105"/>
        </w:rPr>
        <w:t> </w:t>
      </w:r>
      <w:r>
        <w:rPr>
          <w:w w:val="105"/>
        </w:rPr>
        <w:t>company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good shape.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clearly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top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business.”</w:t>
      </w:r>
    </w:p>
    <w:p>
      <w:pPr>
        <w:pStyle w:val="BodyText"/>
        <w:spacing w:line="254" w:lineRule="auto" w:before="180"/>
        <w:ind w:left="139" w:right="495" w:firstLine="300"/>
        <w:jc w:val="both"/>
      </w:pPr>
      <w:r>
        <w:rPr>
          <w:w w:val="105"/>
        </w:rPr>
        <w:t>Following this second meeting in New York, Goldman Sachs indicated that Berkshire was one of</w:t>
      </w:r>
      <w:r>
        <w:rPr>
          <w:spacing w:val="1"/>
          <w:w w:val="105"/>
        </w:rPr>
        <w:t> </w:t>
      </w:r>
      <w:r>
        <w:rPr>
          <w:w w:val="105"/>
        </w:rPr>
        <w:t>“two or three real people” under consideration, saying that while Berkshire had not been the high</w:t>
      </w:r>
      <w:r>
        <w:rPr>
          <w:spacing w:val="1"/>
          <w:w w:val="105"/>
        </w:rPr>
        <w:t> </w:t>
      </w:r>
      <w:r>
        <w:rPr>
          <w:w w:val="105"/>
        </w:rPr>
        <w:t>bidder during the preliminary round, Carter management rated the team high in “intangible” factors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rapport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 parties</w:t>
      </w:r>
      <w:r>
        <w:rPr>
          <w:spacing w:val="2"/>
          <w:w w:val="105"/>
        </w:rPr>
        <w:t> </w:t>
      </w:r>
      <w:r>
        <w:rPr>
          <w:w w:val="105"/>
        </w:rPr>
        <w:t>conducted</w:t>
      </w:r>
      <w:r>
        <w:rPr>
          <w:spacing w:val="2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line="254" w:lineRule="auto" w:before="180"/>
        <w:ind w:left="139" w:right="495" w:firstLine="300"/>
        <w:jc w:val="both"/>
      </w:pPr>
      <w:r>
        <w:rPr>
          <w:w w:val="105"/>
        </w:rPr>
        <w:t>Goldman Sachs assured Berkshire that the choice of financing partner was “irrelevant” to the</w:t>
      </w:r>
      <w:r>
        <w:rPr>
          <w:spacing w:val="1"/>
          <w:w w:val="105"/>
        </w:rPr>
        <w:t> </w:t>
      </w:r>
      <w:r>
        <w:rPr>
          <w:w w:val="105"/>
        </w:rPr>
        <w:t>process, adding that “in no way will a bidder be disadvantaged by using a non-Goldman source.” As</w:t>
      </w:r>
      <w:r>
        <w:rPr>
          <w:spacing w:val="1"/>
          <w:w w:val="105"/>
        </w:rPr>
        <w:t> </w:t>
      </w:r>
      <w:r>
        <w:rPr>
          <w:w w:val="105"/>
        </w:rPr>
        <w:t>such,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solicited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views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range of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partners:</w:t>
      </w:r>
    </w:p>
    <w:p>
      <w:pPr>
        <w:pStyle w:val="BodyText"/>
        <w:spacing w:line="254" w:lineRule="auto" w:before="179"/>
        <w:ind w:left="428" w:right="782" w:firstLine="288"/>
        <w:jc w:val="both"/>
      </w:pPr>
      <w:r>
        <w:rPr>
          <w:w w:val="105"/>
        </w:rPr>
        <w:t>We asked Merrill, First Union, Bank of America, CSFB, and Lehman for their views on the</w:t>
      </w:r>
      <w:r>
        <w:rPr>
          <w:spacing w:val="1"/>
          <w:w w:val="105"/>
        </w:rPr>
        <w:t> </w:t>
      </w:r>
      <w:r>
        <w:rPr>
          <w:w w:val="105"/>
        </w:rPr>
        <w:t>deal. . . . Merrill, First Union, and Lehman all offered initial structures that were essentially</w:t>
      </w:r>
      <w:r>
        <w:rPr>
          <w:spacing w:val="1"/>
          <w:w w:val="105"/>
        </w:rPr>
        <w:t> </w:t>
      </w:r>
      <w:r>
        <w:rPr>
          <w:w w:val="105"/>
        </w:rPr>
        <w:t>similar to the Goldman Sachs staple-on financing. Bank of America and CSFB are currently</w:t>
      </w:r>
      <w:r>
        <w:rPr>
          <w:spacing w:val="1"/>
          <w:w w:val="105"/>
        </w:rPr>
        <w:t> </w:t>
      </w:r>
      <w:r>
        <w:rPr>
          <w:w w:val="105"/>
        </w:rPr>
        <w:t>contemplating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mix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senior,</w:t>
      </w:r>
      <w:r>
        <w:rPr>
          <w:spacing w:val="21"/>
          <w:w w:val="105"/>
        </w:rPr>
        <w:t> </w:t>
      </w:r>
      <w:r>
        <w:rPr>
          <w:w w:val="105"/>
        </w:rPr>
        <w:t>high-yield,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mezzanine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PIK</w:t>
      </w:r>
      <w:r>
        <w:rPr>
          <w:spacing w:val="21"/>
          <w:w w:val="105"/>
        </w:rPr>
        <w:t> </w:t>
      </w:r>
      <w:r>
        <w:rPr>
          <w:w w:val="105"/>
        </w:rPr>
        <w:t>[pay-in-kind]</w:t>
      </w:r>
      <w:r>
        <w:rPr>
          <w:spacing w:val="19"/>
          <w:w w:val="105"/>
        </w:rPr>
        <w:t> </w:t>
      </w:r>
      <w:r>
        <w:rPr>
          <w:w w:val="105"/>
        </w:rPr>
        <w:t>preferred.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"/>
        <w:ind w:left="428"/>
        <w:jc w:val="both"/>
      </w:pP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firms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deal.</w:t>
      </w:r>
    </w:p>
    <w:p>
      <w:pPr>
        <w:pStyle w:val="BodyText"/>
        <w:spacing w:line="249" w:lineRule="auto" w:before="194"/>
        <w:ind w:left="140" w:right="496" w:firstLine="300"/>
        <w:jc w:val="both"/>
      </w:pP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submitting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bid,</w:t>
      </w:r>
      <w:r>
        <w:rPr>
          <w:spacing w:val="-2"/>
          <w:w w:val="105"/>
        </w:rPr>
        <w:t> </w:t>
      </w:r>
      <w:r>
        <w:rPr>
          <w:w w:val="105"/>
        </w:rPr>
        <w:t>Berkshire</w:t>
      </w:r>
      <w:r>
        <w:rPr>
          <w:spacing w:val="-2"/>
          <w:w w:val="105"/>
        </w:rPr>
        <w:t> </w:t>
      </w:r>
      <w:r>
        <w:rPr>
          <w:w w:val="105"/>
        </w:rPr>
        <w:t>researched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prospect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Carter’s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IPO.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4"/>
          <w:w w:val="105"/>
        </w:rPr>
        <w:t> </w:t>
      </w:r>
      <w:r>
        <w:rPr>
          <w:w w:val="105"/>
        </w:rPr>
        <w:t>the face of a widely accepted view that the IPO market was weak to non-existent, the research</w:t>
      </w:r>
      <w:r>
        <w:rPr>
          <w:spacing w:val="1"/>
          <w:w w:val="105"/>
        </w:rPr>
        <w:t> </w:t>
      </w:r>
      <w:r>
        <w:rPr>
          <w:w w:val="105"/>
        </w:rPr>
        <w:t>suggested that there was, indeed, a market for a Carter’s IPO, predicting a favorable IPO opportunity</w:t>
      </w:r>
      <w:r>
        <w:rPr>
          <w:spacing w:val="1"/>
          <w:w w:val="105"/>
        </w:rPr>
        <w:t> </w:t>
      </w:r>
      <w:r>
        <w:rPr>
          <w:w w:val="105"/>
        </w:rPr>
        <w:t>as early as the fall of 2001.</w:t>
      </w:r>
      <w:r>
        <w:rPr>
          <w:spacing w:val="1"/>
          <w:w w:val="105"/>
        </w:rPr>
        <w:t> </w:t>
      </w:r>
      <w:r>
        <w:rPr>
          <w:w w:val="105"/>
        </w:rPr>
        <w:t>IPO pricing looked to be in the area of 16 to 18 times 2002 earnings. (See</w:t>
      </w:r>
      <w:r>
        <w:rPr>
          <w:spacing w:val="-44"/>
          <w:w w:val="105"/>
        </w:rPr>
        <w:t> </w:t>
      </w:r>
      <w:r>
        <w:rPr>
          <w:rFonts w:ascii="Palatino Linotype" w:hAnsi="Palatino Linotype"/>
          <w:b/>
          <w:w w:val="105"/>
        </w:rPr>
        <w:t>Exhibit 8 </w:t>
      </w:r>
      <w:r>
        <w:rPr>
          <w:w w:val="105"/>
        </w:rPr>
        <w:t>for comparable company data.) At the time, interest rates were falling, with one-year U.S.</w:t>
      </w:r>
      <w:r>
        <w:rPr>
          <w:spacing w:val="1"/>
          <w:w w:val="105"/>
        </w:rPr>
        <w:t> </w:t>
      </w:r>
      <w:r>
        <w:rPr>
          <w:w w:val="105"/>
        </w:rPr>
        <w:t>Treasuries dipping to 3.7%, down from 6.1% the previous summer. The 10-year U.S. Treasury bond</w:t>
      </w:r>
      <w:r>
        <w:rPr>
          <w:spacing w:val="1"/>
          <w:w w:val="105"/>
        </w:rPr>
        <w:t> </w:t>
      </w:r>
      <w:r>
        <w:rPr>
          <w:w w:val="105"/>
        </w:rPr>
        <w:t>yield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fallen</w:t>
      </w:r>
      <w:r>
        <w:rPr>
          <w:spacing w:val="2"/>
          <w:w w:val="105"/>
        </w:rPr>
        <w:t> </w:t>
      </w:r>
      <w:r>
        <w:rPr>
          <w:w w:val="105"/>
        </w:rPr>
        <w:t>less, to</w:t>
      </w:r>
      <w:r>
        <w:rPr>
          <w:spacing w:val="2"/>
          <w:w w:val="105"/>
        </w:rPr>
        <w:t> </w:t>
      </w:r>
      <w:r>
        <w:rPr>
          <w:w w:val="105"/>
        </w:rPr>
        <w:t>5.2%,</w:t>
      </w:r>
      <w:r>
        <w:rPr>
          <w:spacing w:val="2"/>
          <w:w w:val="105"/>
        </w:rPr>
        <w:t> </w:t>
      </w:r>
      <w:r>
        <w:rPr>
          <w:w w:val="105"/>
        </w:rPr>
        <w:t>down</w:t>
      </w:r>
      <w:r>
        <w:rPr>
          <w:spacing w:val="1"/>
          <w:w w:val="105"/>
        </w:rPr>
        <w:t> </w:t>
      </w:r>
      <w:r>
        <w:rPr>
          <w:w w:val="105"/>
        </w:rPr>
        <w:t>from 6.1%.</w:t>
      </w:r>
      <w:r>
        <w:rPr>
          <w:spacing w:val="1"/>
          <w:w w:val="105"/>
        </w:rPr>
        <w:t> </w:t>
      </w:r>
      <w:r>
        <w:rPr>
          <w:w w:val="105"/>
        </w:rPr>
        <w:t>LIBOR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at about 4.3%.</w:t>
      </w:r>
    </w:p>
    <w:p>
      <w:pPr>
        <w:pStyle w:val="Heading2"/>
        <w:spacing w:before="164"/>
        <w:ind w:left="140"/>
        <w:jc w:val="both"/>
      </w:pPr>
      <w:r>
        <w:rPr/>
        <w:t>Final</w:t>
      </w:r>
      <w:r>
        <w:rPr>
          <w:spacing w:val="-3"/>
        </w:rPr>
        <w:t> </w:t>
      </w:r>
      <w:r>
        <w:rPr/>
        <w:t>Bid</w:t>
      </w:r>
    </w:p>
    <w:p>
      <w:pPr>
        <w:pStyle w:val="BodyText"/>
        <w:spacing w:line="254" w:lineRule="auto" w:before="177"/>
        <w:ind w:left="140" w:right="494" w:firstLine="288"/>
        <w:jc w:val="both"/>
      </w:pPr>
      <w:r>
        <w:rPr>
          <w:w w:val="105"/>
        </w:rPr>
        <w:t>With one week to go before the June 28 final bid deadline, the five-member Berkshire team sent a</w:t>
      </w:r>
      <w:r>
        <w:rPr>
          <w:spacing w:val="-44"/>
          <w:w w:val="105"/>
        </w:rPr>
        <w:t> </w:t>
      </w:r>
      <w:r>
        <w:rPr>
          <w:w w:val="105"/>
        </w:rPr>
        <w:t>high-priority memo to colleagues in the investment department indicating it was time to complete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Carter’s—and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bid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equity</w:t>
      </w:r>
      <w:r>
        <w:rPr>
          <w:spacing w:val="-4"/>
          <w:w w:val="105"/>
        </w:rPr>
        <w:t> </w:t>
      </w:r>
      <w:r>
        <w:rPr>
          <w:w w:val="105"/>
        </w:rPr>
        <w:t>commitment.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  <w:r>
        <w:rPr/>
        <w:pict>
          <v:rect style="position:absolute;margin-left:70.5pt;margin-top:17.840372pt;width:453pt;height:.47998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6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4496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spacing w:before="12"/>
        <w:rPr>
          <w:rFonts w:ascii="Palatino Linotype"/>
          <w:b/>
          <w:sz w:val="33"/>
        </w:rPr>
      </w:pPr>
    </w:p>
    <w:p>
      <w:pPr>
        <w:tabs>
          <w:tab w:pos="1656" w:val="left" w:leader="none"/>
        </w:tabs>
        <w:spacing w:before="0"/>
        <w:ind w:left="500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Exhibit</w:t>
      </w:r>
      <w:r>
        <w:rPr>
          <w:rFonts w:ascii="Palatino Linotype"/>
          <w:b/>
          <w:spacing w:val="-1"/>
          <w:sz w:val="20"/>
        </w:rPr>
        <w:t> </w:t>
      </w:r>
      <w:r>
        <w:rPr>
          <w:rFonts w:ascii="Palatino Linotype"/>
          <w:b/>
          <w:sz w:val="20"/>
        </w:rPr>
        <w:t>1a</w:t>
        <w:tab/>
      </w:r>
      <w:r>
        <w:rPr>
          <w:sz w:val="20"/>
        </w:rPr>
        <w:t>Berkshire</w:t>
      </w:r>
      <w:r>
        <w:rPr>
          <w:spacing w:val="13"/>
          <w:sz w:val="20"/>
        </w:rPr>
        <w:t> </w:t>
      </w:r>
      <w:r>
        <w:rPr>
          <w:sz w:val="20"/>
        </w:rPr>
        <w:t>Profile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54" w:lineRule="auto"/>
        <w:ind w:left="500" w:right="134" w:firstLine="288"/>
        <w:jc w:val="both"/>
      </w:pPr>
      <w:r>
        <w:rPr>
          <w:w w:val="105"/>
        </w:rPr>
        <w:t>Berkshire Partners is an active investor in the private equity market. In 2001, the firm managed</w:t>
      </w:r>
      <w:r>
        <w:rPr>
          <w:spacing w:val="1"/>
          <w:w w:val="105"/>
        </w:rPr>
        <w:t> </w:t>
      </w:r>
      <w:r>
        <w:rPr>
          <w:w w:val="105"/>
        </w:rPr>
        <w:t>approximately</w:t>
      </w:r>
      <w:r>
        <w:rPr>
          <w:spacing w:val="1"/>
          <w:w w:val="105"/>
        </w:rPr>
        <w:t> </w:t>
      </w:r>
      <w:r>
        <w:rPr>
          <w:w w:val="105"/>
        </w:rPr>
        <w:t>$1.7</w:t>
      </w:r>
      <w:r>
        <w:rPr>
          <w:spacing w:val="1"/>
          <w:w w:val="105"/>
        </w:rPr>
        <w:t> </w:t>
      </w:r>
      <w:r>
        <w:rPr>
          <w:w w:val="105"/>
        </w:rPr>
        <w:t>billion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equity</w:t>
      </w:r>
      <w:r>
        <w:rPr>
          <w:spacing w:val="1"/>
          <w:w w:val="105"/>
        </w:rPr>
        <w:t> </w:t>
      </w:r>
      <w:r>
        <w:rPr>
          <w:w w:val="105"/>
        </w:rPr>
        <w:t>capital.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15-year</w:t>
      </w:r>
      <w:r>
        <w:rPr>
          <w:spacing w:val="1"/>
          <w:w w:val="105"/>
        </w:rPr>
        <w:t> </w:t>
      </w:r>
      <w:r>
        <w:rPr>
          <w:w w:val="105"/>
        </w:rPr>
        <w:t>investment</w:t>
      </w:r>
      <w:r>
        <w:rPr>
          <w:spacing w:val="1"/>
          <w:w w:val="105"/>
        </w:rPr>
        <w:t> </w:t>
      </w:r>
      <w:r>
        <w:rPr>
          <w:w w:val="105"/>
        </w:rPr>
        <w:t>history,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completed 70 acquisitions or growth capital investments with a primary focus on building solid,</w:t>
      </w:r>
      <w:r>
        <w:rPr>
          <w:spacing w:val="1"/>
          <w:w w:val="105"/>
        </w:rPr>
        <w:t> </w:t>
      </w:r>
      <w:r>
        <w:rPr>
          <w:w w:val="105"/>
        </w:rPr>
        <w:t>growth-oriented</w:t>
      </w:r>
      <w:r>
        <w:rPr>
          <w:spacing w:val="1"/>
          <w:w w:val="105"/>
        </w:rPr>
        <w:t> </w:t>
      </w:r>
      <w:r>
        <w:rPr>
          <w:w w:val="105"/>
        </w:rPr>
        <w:t>companies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conjunction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strong,</w:t>
      </w:r>
      <w:r>
        <w:rPr>
          <w:spacing w:val="1"/>
          <w:w w:val="105"/>
        </w:rPr>
        <w:t> </w:t>
      </w:r>
      <w:r>
        <w:rPr>
          <w:w w:val="105"/>
        </w:rPr>
        <w:t>equity-incented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teams.</w:t>
      </w:r>
      <w:r>
        <w:rPr>
          <w:spacing w:val="1"/>
          <w:w w:val="105"/>
        </w:rPr>
        <w:t> </w:t>
      </w:r>
      <w:r>
        <w:rPr>
          <w:w w:val="105"/>
        </w:rPr>
        <w:t>Berkshire</w:t>
      </w:r>
      <w:r>
        <w:rPr>
          <w:spacing w:val="1"/>
          <w:w w:val="105"/>
        </w:rPr>
        <w:t> </w:t>
      </w:r>
      <w:r>
        <w:rPr>
          <w:w w:val="105"/>
        </w:rPr>
        <w:t>invests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industries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manufacturing,</w:t>
      </w:r>
      <w:r>
        <w:rPr>
          <w:spacing w:val="1"/>
          <w:w w:val="105"/>
        </w:rPr>
        <w:t> </w:t>
      </w:r>
      <w:r>
        <w:rPr>
          <w:w w:val="105"/>
        </w:rPr>
        <w:t>retailing,</w:t>
      </w:r>
      <w:r>
        <w:rPr>
          <w:spacing w:val="1"/>
          <w:w w:val="105"/>
        </w:rPr>
        <w:t> </w:t>
      </w:r>
      <w:r>
        <w:rPr>
          <w:w w:val="105"/>
        </w:rPr>
        <w:t>transportation,</w:t>
      </w:r>
      <w:r>
        <w:rPr>
          <w:spacing w:val="1"/>
          <w:w w:val="105"/>
        </w:rPr>
        <w:t> </w:t>
      </w:r>
      <w:r>
        <w:rPr>
          <w:w w:val="105"/>
        </w:rPr>
        <w:t>telecommunications, and business services. Its private equity transactions have taken several forms:</w:t>
      </w:r>
      <w:r>
        <w:rPr>
          <w:spacing w:val="-44"/>
          <w:w w:val="105"/>
        </w:rPr>
        <w:t> </w:t>
      </w:r>
      <w:r>
        <w:rPr>
          <w:w w:val="105"/>
        </w:rPr>
        <w:t>leveraged</w:t>
      </w:r>
      <w:r>
        <w:rPr>
          <w:spacing w:val="1"/>
          <w:w w:val="105"/>
        </w:rPr>
        <w:t> </w:t>
      </w:r>
      <w:r>
        <w:rPr>
          <w:w w:val="105"/>
        </w:rPr>
        <w:t>buyouts,</w:t>
      </w:r>
      <w:r>
        <w:rPr>
          <w:spacing w:val="1"/>
          <w:w w:val="105"/>
        </w:rPr>
        <w:t> </w:t>
      </w:r>
      <w:r>
        <w:rPr>
          <w:w w:val="105"/>
        </w:rPr>
        <w:t>recapitalizations,</w:t>
      </w:r>
      <w:r>
        <w:rPr>
          <w:spacing w:val="1"/>
          <w:w w:val="105"/>
        </w:rPr>
        <w:t> </w:t>
      </w:r>
      <w:r>
        <w:rPr>
          <w:w w:val="105"/>
        </w:rPr>
        <w:t>growth</w:t>
      </w:r>
      <w:r>
        <w:rPr>
          <w:spacing w:val="1"/>
          <w:w w:val="105"/>
        </w:rPr>
        <w:t> </w:t>
      </w:r>
      <w:r>
        <w:rPr>
          <w:w w:val="105"/>
        </w:rPr>
        <w:t>capital</w:t>
      </w:r>
      <w:r>
        <w:rPr>
          <w:spacing w:val="1"/>
          <w:w w:val="105"/>
        </w:rPr>
        <w:t> </w:t>
      </w:r>
      <w:r>
        <w:rPr>
          <w:w w:val="105"/>
        </w:rPr>
        <w:t>investments,</w:t>
      </w:r>
      <w:r>
        <w:rPr>
          <w:spacing w:val="1"/>
          <w:w w:val="105"/>
        </w:rPr>
        <w:t> </w:t>
      </w:r>
      <w:r>
        <w:rPr>
          <w:w w:val="105"/>
        </w:rPr>
        <w:t>privatizations,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industry</w:t>
      </w:r>
      <w:r>
        <w:rPr>
          <w:spacing w:val="1"/>
          <w:w w:val="105"/>
        </w:rPr>
        <w:t> </w:t>
      </w:r>
      <w:r>
        <w:rPr>
          <w:w w:val="105"/>
        </w:rPr>
        <w:t>consolidations. Investors consist primarily of university endowments, public and private pension</w:t>
      </w:r>
      <w:r>
        <w:rPr>
          <w:spacing w:val="1"/>
          <w:w w:val="105"/>
        </w:rPr>
        <w:t> </w:t>
      </w:r>
      <w:r>
        <w:rPr>
          <w:w w:val="105"/>
        </w:rPr>
        <w:t>funds,</w:t>
      </w:r>
      <w:r>
        <w:rPr>
          <w:spacing w:val="1"/>
          <w:w w:val="105"/>
        </w:rPr>
        <w:t> </w:t>
      </w:r>
      <w:r>
        <w:rPr>
          <w:w w:val="105"/>
        </w:rPr>
        <w:t>insurance</w:t>
      </w:r>
      <w:r>
        <w:rPr>
          <w:spacing w:val="3"/>
          <w:w w:val="105"/>
        </w:rPr>
        <w:t> </w:t>
      </w:r>
      <w:r>
        <w:rPr>
          <w:w w:val="105"/>
        </w:rPr>
        <w:t>companies,</w:t>
      </w:r>
      <w:r>
        <w:rPr>
          <w:spacing w:val="1"/>
          <w:w w:val="105"/>
        </w:rPr>
        <w:t> </w:t>
      </w:r>
      <w:r>
        <w:rPr>
          <w:w w:val="105"/>
        </w:rPr>
        <w:t>foundations,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financial</w:t>
      </w:r>
      <w:r>
        <w:rPr>
          <w:spacing w:val="2"/>
          <w:w w:val="105"/>
        </w:rPr>
        <w:t> </w:t>
      </w:r>
      <w:r>
        <w:rPr>
          <w:w w:val="105"/>
        </w:rPr>
        <w:t>institutions.</w:t>
      </w:r>
    </w:p>
    <w:p>
      <w:pPr>
        <w:tabs>
          <w:tab w:pos="1221" w:val="left" w:leader="none"/>
        </w:tabs>
        <w:spacing w:line="256" w:lineRule="auto" w:before="179"/>
        <w:ind w:left="1220" w:right="138" w:hanging="720"/>
        <w:jc w:val="left"/>
        <w:rPr>
          <w:sz w:val="16"/>
        </w:rPr>
      </w:pPr>
      <w:r>
        <w:rPr>
          <w:w w:val="105"/>
          <w:sz w:val="16"/>
        </w:rPr>
        <w:t>Source:</w:t>
        <w:tab/>
        <w:tab/>
        <w:t>Berkshire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Partners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site,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“Press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Releases,”</w:t>
      </w:r>
      <w:r>
        <w:rPr>
          <w:spacing w:val="21"/>
          <w:w w:val="105"/>
          <w:sz w:val="16"/>
        </w:rPr>
        <w:t> </w:t>
      </w:r>
      <w:hyperlink r:id="rId9">
        <w:r>
          <w:rPr>
            <w:w w:val="105"/>
            <w:sz w:val="16"/>
          </w:rPr>
          <w:t>http://www.berkshirepartners.com/5_1_17_press.shtml,</w:t>
        </w:r>
      </w:hyperlink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accessed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September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678" w:val="left" w:leader="none"/>
        </w:tabs>
        <w:ind w:left="500"/>
      </w:pPr>
      <w:r>
        <w:rPr>
          <w:rFonts w:ascii="Palatino Linotype"/>
          <w:b/>
        </w:rPr>
        <w:t>Exhibit</w:t>
      </w:r>
      <w:r>
        <w:rPr>
          <w:rFonts w:ascii="Palatino Linotype"/>
          <w:b/>
          <w:spacing w:val="-1"/>
        </w:rPr>
        <w:t> </w:t>
      </w:r>
      <w:r>
        <w:rPr>
          <w:rFonts w:ascii="Palatino Linotype"/>
          <w:b/>
        </w:rPr>
        <w:t>1b</w:t>
        <w:tab/>
      </w:r>
      <w:r>
        <w:rPr>
          <w:spacing w:val="-1"/>
          <w:w w:val="105"/>
        </w:rPr>
        <w:t>Berkshire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dollars)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95"/>
        <w:ind w:left="968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148.796844pt;margin-top:9.854723pt;width:357.5pt;height:147.9pt;mso-position-horizontal-relative:page;mso-position-vertical-relative:paragraph;z-index:-16875008" coordorigin="2976,197" coordsize="7150,2958">
            <v:line style="position:absolute" from="3032,2135" to="9126,2135" stroked="true" strokeweight=".916638pt" strokecolor="#000000">
              <v:stroke dashstyle="solid"/>
            </v:line>
            <v:rect style="position:absolute;left:7707;top:2167;width:568;height:933" filled="true" fillcolor="#323232" stroked="false">
              <v:fill type="solid"/>
            </v:rect>
            <v:rect style="position:absolute;left:7707;top:2167;width:568;height:933" filled="false" stroked="true" strokeweight=".928881pt" strokecolor="#000000">
              <v:stroke dashstyle="solid"/>
            </v:rect>
            <v:line style="position:absolute" from="9691,2135" to="10116,2135" stroked="true" strokeweight=".916638pt" strokecolor="#000000">
              <v:stroke dashstyle="solid"/>
            </v:line>
            <v:shape style="position:absolute;left:3032;top:1171;width:7084;height:2" coordorigin="3032,1171" coordsize="7084,0" path="m3032,1171l9126,1171m9691,1171l10116,1171e" filled="false" stroked="true" strokeweight=".916638pt" strokecolor="#000000">
              <v:path arrowok="t"/>
              <v:stroke dashstyle="solid"/>
            </v:shape>
            <v:rect style="position:absolute;left:9126;top:724;width:566;height:2375" filled="true" fillcolor="#323232" stroked="false">
              <v:fill type="solid"/>
            </v:rect>
            <v:rect style="position:absolute;left:9125;top:724;width:566;height:2375" filled="false" stroked="true" strokeweight=".932518pt" strokecolor="#000000">
              <v:stroke dashstyle="solid"/>
            </v:rect>
            <v:line style="position:absolute" from="3032,206" to="10052,206" stroked="true" strokeweight=".916638pt" strokecolor="#000000">
              <v:stroke dashstyle="solid"/>
            </v:line>
            <v:line style="position:absolute" from="3032,206" to="3032,3126" stroked="true" strokeweight=".933417pt" strokecolor="#000000">
              <v:stroke dashstyle="solid"/>
            </v:line>
            <v:line style="position:absolute" from="2976,3099" to="3032,3099" stroked="true" strokeweight=".916638pt" strokecolor="#000000">
              <v:stroke dashstyle="solid"/>
            </v:line>
            <v:line style="position:absolute" from="2976,2135" to="3032,2135" stroked="true" strokeweight=".916638pt" strokecolor="#000000">
              <v:stroke dashstyle="solid"/>
            </v:line>
            <v:line style="position:absolute" from="2976,1171" to="3032,1171" stroked="true" strokeweight=".916638pt" strokecolor="#000000">
              <v:stroke dashstyle="solid"/>
            </v:line>
            <v:line style="position:absolute" from="2976,206" to="3032,206" stroked="true" strokeweight=".916638pt" strokecolor="#000000">
              <v:stroke dashstyle="solid"/>
            </v:line>
            <v:rect style="position:absolute;left:3457;top:2957;width:566;height:142" filled="true" fillcolor="#323232" stroked="false">
              <v:fill type="solid"/>
            </v:rect>
            <v:rect style="position:absolute;left:3457;top:2957;width:566;height:142" filled="false" stroked="true" strokeweight=".917629pt" strokecolor="#000000">
              <v:stroke dashstyle="solid"/>
            </v:rect>
            <v:rect style="position:absolute;left:4873;top:2799;width:568;height:300" filled="true" fillcolor="#323232" stroked="false">
              <v:fill type="solid"/>
            </v:rect>
            <v:rect style="position:absolute;left:4873;top:2799;width:568;height:300" filled="false" stroked="true" strokeweight=".920302pt" strokecolor="#000000">
              <v:stroke dashstyle="solid"/>
            </v:rect>
            <v:rect style="position:absolute;left:6291;top:2693;width:566;height:406" filled="true" fillcolor="#323232" stroked="false">
              <v:fill type="solid"/>
            </v:rect>
            <v:rect style="position:absolute;left:6291;top:2693;width:566;height:406" filled="false" stroked="true" strokeweight=".922342pt" strokecolor="#000000">
              <v:stroke dashstyle="solid"/>
            </v:rect>
            <v:line style="position:absolute" from="3032,3099" to="10052,3099" stroked="true" strokeweight=".916638pt" strokecolor="#000000">
              <v:stroke dashstyle="solid"/>
            </v:line>
            <v:line style="position:absolute" from="3032,3155" to="3032,3099" stroked="true" strokeweight=".933417pt" strokecolor="#000000">
              <v:stroke dashstyle="solid"/>
            </v:line>
            <v:line style="position:absolute" from="4448,3155" to="4448,3099" stroked="true" strokeweight=".933417pt" strokecolor="#000000">
              <v:stroke dashstyle="solid"/>
            </v:line>
            <v:line style="position:absolute" from="5867,3155" to="5867,3099" stroked="true" strokeweight=".933417pt" strokecolor="#000000">
              <v:stroke dashstyle="solid"/>
            </v:line>
            <v:line style="position:absolute" from="7283,3155" to="7283,3099" stroked="true" strokeweight=".933417pt" strokecolor="#000000">
              <v:stroke dashstyle="solid"/>
            </v:line>
            <v:line style="position:absolute" from="8700,3155" to="8700,3099" stroked="true" strokeweight=".933417pt" strokecolor="#000000">
              <v:stroke dashstyle="solid"/>
            </v:line>
            <v:line style="position:absolute" from="10116,3155" to="10116,3099" stroked="true" strokeweight=".933417pt" strokecolor="#000000">
              <v:stroke dashstyle="solid"/>
            </v:line>
            <v:shape style="position:absolute;left:9172;top:428;width:43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$985</w:t>
                    </w:r>
                  </w:p>
                </w:txbxContent>
              </v:textbox>
              <w10:wrap type="none"/>
            </v:shape>
            <v:shape style="position:absolute;left:7754;top:1869;width:43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$387</w:t>
                    </w:r>
                  </w:p>
                </w:txbxContent>
              </v:textbox>
              <w10:wrap type="none"/>
            </v:shape>
            <v:shape style="position:absolute;left:3555;top:2660;width:326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$59</w:t>
                    </w:r>
                  </w:p>
                </w:txbxContent>
              </v:textbox>
              <w10:wrap type="none"/>
            </v:shape>
            <v:shape style="position:absolute;left:4920;top:2502;width:43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$125</w:t>
                    </w:r>
                  </w:p>
                </w:txbxContent>
              </v:textbox>
              <w10:wrap type="none"/>
            </v:shape>
            <v:shape style="position:absolute;left:6338;top:2397;width:43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$168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18"/>
        </w:rPr>
        <w:t>$1,200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"/>
        <w:rPr>
          <w:rFonts w:ascii="Arial MT"/>
          <w:sz w:val="17"/>
        </w:rPr>
      </w:pPr>
    </w:p>
    <w:p>
      <w:pPr>
        <w:spacing w:before="96"/>
        <w:ind w:left="112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$800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17"/>
        </w:rPr>
      </w:pPr>
    </w:p>
    <w:p>
      <w:pPr>
        <w:spacing w:before="96"/>
        <w:ind w:left="1122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$400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7"/>
        <w:rPr>
          <w:rFonts w:ascii="Arial MT"/>
          <w:sz w:val="17"/>
        </w:rPr>
      </w:pPr>
    </w:p>
    <w:p>
      <w:pPr>
        <w:spacing w:before="95"/>
        <w:ind w:left="1328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$0</w:t>
      </w:r>
    </w:p>
    <w:p>
      <w:pPr>
        <w:tabs>
          <w:tab w:pos="1393" w:val="left" w:leader="none"/>
          <w:tab w:pos="2783" w:val="left" w:leader="none"/>
          <w:tab w:pos="4190" w:val="left" w:leader="none"/>
          <w:tab w:pos="5865" w:val="left" w:leader="none"/>
        </w:tabs>
        <w:spacing w:before="55"/>
        <w:ind w:left="0" w:right="1173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Fund</w:t>
      </w:r>
      <w:r>
        <w:rPr>
          <w:rFonts w:ascii="Arial MT"/>
          <w:spacing w:val="7"/>
          <w:sz w:val="18"/>
        </w:rPr>
        <w:t> </w:t>
      </w:r>
      <w:r>
        <w:rPr>
          <w:rFonts w:ascii="Arial MT"/>
          <w:sz w:val="18"/>
        </w:rPr>
        <w:t>I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-</w:t>
      </w:r>
      <w:r>
        <w:rPr>
          <w:rFonts w:ascii="Arial MT"/>
          <w:spacing w:val="5"/>
          <w:sz w:val="18"/>
        </w:rPr>
        <w:t> </w:t>
      </w:r>
      <w:r>
        <w:rPr>
          <w:rFonts w:ascii="Arial MT"/>
          <w:sz w:val="18"/>
        </w:rPr>
        <w:t>1984</w:t>
        <w:tab/>
        <w:t>Fund</w:t>
      </w:r>
      <w:r>
        <w:rPr>
          <w:rFonts w:ascii="Arial MT"/>
          <w:spacing w:val="5"/>
          <w:sz w:val="18"/>
        </w:rPr>
        <w:t> </w:t>
      </w:r>
      <w:r>
        <w:rPr>
          <w:rFonts w:ascii="Arial MT"/>
          <w:sz w:val="18"/>
        </w:rPr>
        <w:t>II</w:t>
      </w:r>
      <w:r>
        <w:rPr>
          <w:rFonts w:ascii="Arial MT"/>
          <w:spacing w:val="6"/>
          <w:sz w:val="18"/>
        </w:rPr>
        <w:t> </w:t>
      </w:r>
      <w:r>
        <w:rPr>
          <w:rFonts w:ascii="Arial MT"/>
          <w:sz w:val="18"/>
        </w:rPr>
        <w:t>-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1986</w:t>
        <w:tab/>
        <w:t>Fund</w:t>
      </w:r>
      <w:r>
        <w:rPr>
          <w:rFonts w:ascii="Arial MT"/>
          <w:spacing w:val="8"/>
          <w:sz w:val="18"/>
        </w:rPr>
        <w:t> </w:t>
      </w:r>
      <w:r>
        <w:rPr>
          <w:rFonts w:ascii="Arial MT"/>
          <w:sz w:val="18"/>
        </w:rPr>
        <w:t>III</w:t>
      </w:r>
      <w:r>
        <w:rPr>
          <w:rFonts w:ascii="Arial MT"/>
          <w:spacing w:val="5"/>
          <w:sz w:val="18"/>
        </w:rPr>
        <w:t> </w:t>
      </w:r>
      <w:r>
        <w:rPr>
          <w:rFonts w:ascii="Arial MT"/>
          <w:sz w:val="18"/>
        </w:rPr>
        <w:t>-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1992</w:t>
        <w:tab/>
        <w:t>Fund</w:t>
      </w:r>
      <w:r>
        <w:rPr>
          <w:rFonts w:ascii="Arial MT"/>
          <w:spacing w:val="8"/>
          <w:sz w:val="18"/>
        </w:rPr>
        <w:t> </w:t>
      </w:r>
      <w:r>
        <w:rPr>
          <w:rFonts w:ascii="Arial MT"/>
          <w:sz w:val="18"/>
        </w:rPr>
        <w:t>IV</w:t>
      </w:r>
      <w:r>
        <w:rPr>
          <w:rFonts w:ascii="Arial MT"/>
          <w:spacing w:val="8"/>
          <w:sz w:val="18"/>
        </w:rPr>
        <w:t> </w:t>
      </w:r>
      <w:r>
        <w:rPr>
          <w:rFonts w:ascii="Arial MT"/>
          <w:sz w:val="18"/>
        </w:rPr>
        <w:t>-</w:t>
      </w:r>
      <w:r>
        <w:rPr>
          <w:rFonts w:ascii="Arial MT"/>
          <w:spacing w:val="4"/>
          <w:sz w:val="18"/>
        </w:rPr>
        <w:t> </w:t>
      </w:r>
      <w:r>
        <w:rPr>
          <w:rFonts w:ascii="Arial MT"/>
          <w:sz w:val="18"/>
        </w:rPr>
        <w:t>1996</w:t>
        <w:tab/>
        <w:t>Fund</w:t>
      </w:r>
      <w:r>
        <w:rPr>
          <w:rFonts w:ascii="Arial MT"/>
          <w:spacing w:val="7"/>
          <w:sz w:val="18"/>
        </w:rPr>
        <w:t> </w:t>
      </w:r>
      <w:r>
        <w:rPr>
          <w:rFonts w:ascii="Arial MT"/>
          <w:sz w:val="18"/>
        </w:rPr>
        <w:t>V</w:t>
      </w:r>
      <w:r>
        <w:rPr>
          <w:rFonts w:ascii="Arial MT"/>
          <w:spacing w:val="7"/>
          <w:sz w:val="18"/>
        </w:rPr>
        <w:t> </w:t>
      </w:r>
      <w:r>
        <w:rPr>
          <w:rFonts w:ascii="Arial MT"/>
          <w:sz w:val="18"/>
        </w:rPr>
        <w:t>-</w:t>
      </w:r>
    </w:p>
    <w:p>
      <w:pPr>
        <w:spacing w:before="19"/>
        <w:ind w:left="0" w:right="1092" w:firstLine="0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1998/2000</w:t>
      </w:r>
    </w:p>
    <w:p>
      <w:pPr>
        <w:pStyle w:val="BodyText"/>
        <w:spacing w:before="8"/>
        <w:rPr>
          <w:rFonts w:ascii="Arial MT"/>
          <w:sz w:val="22"/>
        </w:rPr>
      </w:pPr>
    </w:p>
    <w:p>
      <w:pPr>
        <w:tabs>
          <w:tab w:pos="1221" w:val="left" w:leader="none"/>
        </w:tabs>
        <w:spacing w:before="95"/>
        <w:ind w:left="500" w:right="0" w:firstLine="0"/>
        <w:jc w:val="left"/>
        <w:rPr>
          <w:sz w:val="16"/>
        </w:rPr>
      </w:pPr>
      <w:r>
        <w:rPr>
          <w:sz w:val="16"/>
        </w:rPr>
        <w:t>Source:</w:t>
        <w:tab/>
        <w:t>Adapted</w:t>
      </w:r>
      <w:r>
        <w:rPr>
          <w:spacing w:val="14"/>
          <w:sz w:val="16"/>
        </w:rPr>
        <w:t> </w:t>
      </w:r>
      <w:r>
        <w:rPr>
          <w:sz w:val="16"/>
        </w:rPr>
        <w:t>from</w:t>
      </w:r>
      <w:r>
        <w:rPr>
          <w:spacing w:val="13"/>
          <w:sz w:val="16"/>
        </w:rPr>
        <w:t> </w:t>
      </w:r>
      <w:r>
        <w:rPr>
          <w:sz w:val="16"/>
        </w:rPr>
        <w:t>Berkshire</w:t>
      </w:r>
      <w:r>
        <w:rPr>
          <w:spacing w:val="15"/>
          <w:sz w:val="16"/>
        </w:rPr>
        <w:t> </w:t>
      </w:r>
      <w:r>
        <w:rPr>
          <w:sz w:val="16"/>
        </w:rPr>
        <w:t>Partners</w:t>
      </w:r>
      <w:r>
        <w:rPr>
          <w:spacing w:val="15"/>
          <w:sz w:val="16"/>
        </w:rPr>
        <w:t> </w:t>
      </w:r>
      <w:r>
        <w:rPr>
          <w:sz w:val="16"/>
        </w:rPr>
        <w:t>Web</w:t>
      </w:r>
      <w:r>
        <w:rPr>
          <w:spacing w:val="15"/>
          <w:sz w:val="16"/>
        </w:rPr>
        <w:t> </w:t>
      </w:r>
      <w:r>
        <w:rPr>
          <w:sz w:val="16"/>
        </w:rPr>
        <w:t>site.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  <w:r>
        <w:rPr/>
        <w:pict>
          <v:rect style="position:absolute;margin-left:88.5pt;margin-top:10.365411pt;width:453pt;height:.4799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7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3472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5"/>
        <w:rPr>
          <w:rFonts w:ascii="Palatino Linotype"/>
          <w:b/>
          <w:sz w:val="28"/>
        </w:rPr>
      </w:pPr>
    </w:p>
    <w:p>
      <w:pPr>
        <w:tabs>
          <w:tab w:pos="1195" w:val="left" w:leader="none"/>
        </w:tabs>
        <w:spacing w:before="75"/>
        <w:ind w:left="140" w:right="0" w:firstLine="0"/>
        <w:jc w:val="left"/>
        <w:rPr>
          <w:sz w:val="20"/>
        </w:rPr>
      </w:pPr>
      <w:r>
        <w:rPr>
          <w:rFonts w:ascii="Palatino Linotype"/>
          <w:b/>
          <w:sz w:val="20"/>
        </w:rPr>
        <w:t>Exhibit</w:t>
      </w:r>
      <w:r>
        <w:rPr>
          <w:rFonts w:ascii="Palatino Linotype"/>
          <w:b/>
          <w:spacing w:val="-1"/>
          <w:sz w:val="20"/>
        </w:rPr>
        <w:t> </w:t>
      </w:r>
      <w:r>
        <w:rPr>
          <w:rFonts w:ascii="Palatino Linotype"/>
          <w:b/>
          <w:sz w:val="20"/>
        </w:rPr>
        <w:t>2</w:t>
        <w:tab/>
      </w:r>
      <w:r>
        <w:rPr>
          <w:sz w:val="20"/>
        </w:rPr>
        <w:t>Biographical</w:t>
      </w:r>
      <w:r>
        <w:rPr>
          <w:spacing w:val="34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9" w:lineRule="auto"/>
        <w:ind w:left="140" w:right="494" w:firstLine="288"/>
        <w:jc w:val="both"/>
      </w:pPr>
      <w:r>
        <w:rPr>
          <w:rFonts w:ascii="Palatino Linotype" w:hAnsi="Palatino Linotype"/>
          <w:b/>
          <w:w w:val="105"/>
        </w:rPr>
        <w:t>Bradley</w:t>
      </w:r>
      <w:r>
        <w:rPr>
          <w:rFonts w:ascii="Palatino Linotype" w:hAnsi="Palatino Linotype"/>
          <w:b/>
          <w:spacing w:val="-13"/>
          <w:w w:val="105"/>
        </w:rPr>
        <w:t> </w:t>
      </w:r>
      <w:r>
        <w:rPr>
          <w:rFonts w:ascii="Palatino Linotype" w:hAnsi="Palatino Linotype"/>
          <w:b/>
          <w:w w:val="105"/>
        </w:rPr>
        <w:t>M.</w:t>
      </w:r>
      <w:r>
        <w:rPr>
          <w:rFonts w:ascii="Palatino Linotype" w:hAnsi="Palatino Linotype"/>
          <w:b/>
          <w:spacing w:val="-11"/>
          <w:w w:val="105"/>
        </w:rPr>
        <w:t> </w:t>
      </w:r>
      <w:r>
        <w:rPr>
          <w:rFonts w:ascii="Palatino Linotype" w:hAnsi="Palatino Linotype"/>
          <w:b/>
          <w:w w:val="105"/>
        </w:rPr>
        <w:t>Bloom</w:t>
      </w:r>
      <w:r>
        <w:rPr>
          <w:rFonts w:ascii="Palatino Linotype" w:hAnsi="Palatino Linotype"/>
          <w:b/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invested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private</w:t>
      </w:r>
      <w:r>
        <w:rPr>
          <w:spacing w:val="-5"/>
          <w:w w:val="105"/>
        </w:rPr>
        <w:t> </w:t>
      </w:r>
      <w:r>
        <w:rPr>
          <w:w w:val="105"/>
        </w:rPr>
        <w:t>companies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late</w:t>
      </w:r>
      <w:r>
        <w:rPr>
          <w:spacing w:val="-6"/>
          <w:w w:val="105"/>
        </w:rPr>
        <w:t> </w:t>
      </w:r>
      <w:r>
        <w:rPr>
          <w:w w:val="105"/>
        </w:rPr>
        <w:t>1970s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director</w:t>
      </w:r>
      <w:r>
        <w:rPr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Berkshire’s</w:t>
      </w:r>
      <w:r>
        <w:rPr>
          <w:spacing w:val="-5"/>
          <w:w w:val="105"/>
        </w:rPr>
        <w:t> </w:t>
      </w:r>
      <w:r>
        <w:rPr>
          <w:w w:val="105"/>
        </w:rPr>
        <w:t>retailing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manufacturing</w:t>
      </w:r>
      <w:r>
        <w:rPr>
          <w:spacing w:val="-6"/>
          <w:w w:val="105"/>
        </w:rPr>
        <w:t> </w:t>
      </w:r>
      <w:r>
        <w:rPr>
          <w:w w:val="105"/>
        </w:rPr>
        <w:t>companies.</w:t>
      </w:r>
      <w:r>
        <w:rPr>
          <w:spacing w:val="-5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founding</w:t>
      </w:r>
      <w:r>
        <w:rPr>
          <w:spacing w:val="-5"/>
          <w:w w:val="105"/>
        </w:rPr>
        <w:t> </w:t>
      </w:r>
      <w:r>
        <w:rPr>
          <w:w w:val="105"/>
        </w:rPr>
        <w:t>Berkshire,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4"/>
          <w:w w:val="105"/>
        </w:rPr>
        <w:t> </w:t>
      </w:r>
      <w:r>
        <w:rPr>
          <w:w w:val="105"/>
        </w:rPr>
        <w:t>partner of the Thomas H. Lee Company for seven years and spent two years with The First National</w:t>
      </w:r>
      <w:r>
        <w:rPr>
          <w:spacing w:val="1"/>
          <w:w w:val="105"/>
        </w:rPr>
        <w:t> </w:t>
      </w:r>
      <w:r>
        <w:rPr>
          <w:w w:val="105"/>
        </w:rPr>
        <w:t>Bank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Boston.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earned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A.B.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Harvard</w:t>
      </w:r>
      <w:r>
        <w:rPr>
          <w:spacing w:val="1"/>
          <w:w w:val="105"/>
        </w:rPr>
        <w:t> </w:t>
      </w:r>
      <w:r>
        <w:rPr>
          <w:w w:val="105"/>
        </w:rPr>
        <w:t>College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MBA  from  Harvard  Business</w:t>
      </w:r>
      <w:r>
        <w:rPr>
          <w:spacing w:val="1"/>
          <w:w w:val="105"/>
        </w:rPr>
        <w:t> </w:t>
      </w:r>
      <w:r>
        <w:rPr>
          <w:w w:val="105"/>
        </w:rPr>
        <w:t>School.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2" w:lineRule="auto" w:before="1"/>
        <w:ind w:left="139" w:right="493" w:firstLine="288"/>
        <w:jc w:val="both"/>
      </w:pPr>
      <w:r>
        <w:rPr>
          <w:rFonts w:ascii="Palatino Linotype" w:hAnsi="Palatino Linotype"/>
          <w:b/>
          <w:w w:val="105"/>
        </w:rPr>
        <w:t>Ross</w:t>
      </w:r>
      <w:r>
        <w:rPr>
          <w:rFonts w:ascii="Palatino Linotype" w:hAnsi="Palatino Linotype"/>
          <w:b/>
          <w:spacing w:val="-12"/>
          <w:w w:val="105"/>
        </w:rPr>
        <w:t> </w:t>
      </w:r>
      <w:r>
        <w:rPr>
          <w:rFonts w:ascii="Palatino Linotype" w:hAnsi="Palatino Linotype"/>
          <w:b/>
          <w:w w:val="105"/>
        </w:rPr>
        <w:t>M.</w:t>
      </w:r>
      <w:r>
        <w:rPr>
          <w:rFonts w:ascii="Palatino Linotype" w:hAnsi="Palatino Linotype"/>
          <w:b/>
          <w:spacing w:val="-10"/>
          <w:w w:val="105"/>
        </w:rPr>
        <w:t> </w:t>
      </w:r>
      <w:r>
        <w:rPr>
          <w:rFonts w:ascii="Palatino Linotype" w:hAnsi="Palatino Linotype"/>
          <w:b/>
          <w:w w:val="105"/>
        </w:rPr>
        <w:t>Jones</w:t>
      </w:r>
      <w:r>
        <w:rPr>
          <w:rFonts w:ascii="Palatino Linotype" w:hAnsi="Palatino Linotype"/>
          <w:b/>
          <w:spacing w:val="-10"/>
          <w:w w:val="105"/>
        </w:rPr>
        <w:t> </w:t>
      </w:r>
      <w:r>
        <w:rPr>
          <w:w w:val="105"/>
        </w:rPr>
        <w:t>joined</w:t>
      </w:r>
      <w:r>
        <w:rPr>
          <w:spacing w:val="-5"/>
          <w:w w:val="105"/>
        </w:rPr>
        <w:t> </w:t>
      </w:r>
      <w:r>
        <w:rPr>
          <w:w w:val="105"/>
        </w:rPr>
        <w:t>Berkshire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1993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worked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director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companies in business services, manufacturing, retailing, and communications. Prior to joining the</w:t>
      </w:r>
      <w:r>
        <w:rPr>
          <w:spacing w:val="1"/>
          <w:w w:val="105"/>
        </w:rPr>
        <w:t> </w:t>
      </w:r>
      <w:r>
        <w:rPr>
          <w:w w:val="105"/>
        </w:rPr>
        <w:t>firm, he worked at Bain &amp; Co., where he assisted clients in a variety of industries, including food</w:t>
      </w:r>
      <w:r>
        <w:rPr>
          <w:spacing w:val="1"/>
          <w:w w:val="105"/>
        </w:rPr>
        <w:t> </w:t>
      </w:r>
      <w:r>
        <w:rPr>
          <w:w w:val="105"/>
        </w:rPr>
        <w:t>processing,</w:t>
      </w:r>
      <w:r>
        <w:rPr>
          <w:spacing w:val="1"/>
          <w:w w:val="105"/>
        </w:rPr>
        <w:t> </w:t>
      </w:r>
      <w:r>
        <w:rPr>
          <w:w w:val="105"/>
        </w:rPr>
        <w:t>container</w:t>
      </w:r>
      <w:r>
        <w:rPr>
          <w:spacing w:val="1"/>
          <w:w w:val="105"/>
        </w:rPr>
        <w:t> </w:t>
      </w:r>
      <w:r>
        <w:rPr>
          <w:w w:val="105"/>
        </w:rPr>
        <w:t>manufacturing,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steel</w:t>
      </w:r>
      <w:r>
        <w:rPr>
          <w:spacing w:val="1"/>
          <w:w w:val="105"/>
        </w:rPr>
        <w:t> </w:t>
      </w:r>
      <w:r>
        <w:rPr>
          <w:w w:val="105"/>
        </w:rPr>
        <w:t>distribution.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worked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investment</w:t>
      </w:r>
      <w:r>
        <w:rPr>
          <w:spacing w:val="1"/>
          <w:w w:val="105"/>
        </w:rPr>
        <w:t> </w:t>
      </w:r>
      <w:r>
        <w:rPr>
          <w:w w:val="105"/>
        </w:rPr>
        <w:t>banking division of Morgan Stanley &amp; Co. Jones earned a B.A. from Dartmouth College and an MBA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Stanford</w:t>
      </w:r>
      <w:r>
        <w:rPr>
          <w:spacing w:val="3"/>
          <w:w w:val="105"/>
        </w:rPr>
        <w:t> </w:t>
      </w:r>
      <w:r>
        <w:rPr>
          <w:w w:val="105"/>
        </w:rPr>
        <w:t>University’s</w:t>
      </w:r>
      <w:r>
        <w:rPr>
          <w:spacing w:val="4"/>
          <w:w w:val="105"/>
        </w:rPr>
        <w:t> </w:t>
      </w:r>
      <w:r>
        <w:rPr>
          <w:w w:val="105"/>
        </w:rPr>
        <w:t>Graduate</w:t>
      </w:r>
      <w:r>
        <w:rPr>
          <w:spacing w:val="3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139" w:right="495" w:firstLine="288"/>
        <w:jc w:val="both"/>
      </w:pPr>
      <w:r>
        <w:rPr>
          <w:rFonts w:ascii="Palatino Linotype"/>
          <w:b/>
          <w:w w:val="105"/>
        </w:rPr>
        <w:t>Michael C. Ascione </w:t>
      </w:r>
      <w:r>
        <w:rPr>
          <w:w w:val="105"/>
        </w:rPr>
        <w:t>joined Berkshire in 2001. Previously, Ascione was an associate at Inverness</w:t>
      </w:r>
      <w:r>
        <w:rPr>
          <w:spacing w:val="1"/>
          <w:w w:val="105"/>
        </w:rPr>
        <w:t> </w:t>
      </w:r>
      <w:r>
        <w:rPr>
          <w:w w:val="105"/>
        </w:rPr>
        <w:t>Management LLC, a private equity firm. He also worked as director of business development for an</w:t>
      </w:r>
      <w:r>
        <w:rPr>
          <w:spacing w:val="1"/>
          <w:w w:val="105"/>
        </w:rPr>
        <w:t> </w:t>
      </w:r>
      <w:r>
        <w:rPr>
          <w:w w:val="105"/>
        </w:rPr>
        <w:t>IT services firm. Earlier in his career, Ascione was a financial analyst in the corporate finance and</w:t>
      </w:r>
      <w:r>
        <w:rPr>
          <w:spacing w:val="1"/>
          <w:w w:val="105"/>
        </w:rPr>
        <w:t> </w:t>
      </w:r>
      <w:r>
        <w:rPr>
          <w:w w:val="105"/>
        </w:rPr>
        <w:t>principal investment areas at Goldman Sachs &amp; Co. He received a B.A. from Boston College and an</w:t>
      </w:r>
      <w:r>
        <w:rPr>
          <w:spacing w:val="1"/>
          <w:w w:val="105"/>
        </w:rPr>
        <w:t> </w:t>
      </w:r>
      <w:r>
        <w:rPr>
          <w:w w:val="105"/>
        </w:rPr>
        <w:t>MBA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Harvard</w:t>
      </w:r>
      <w:r>
        <w:rPr>
          <w:spacing w:val="3"/>
          <w:w w:val="105"/>
        </w:rPr>
        <w:t> </w:t>
      </w:r>
      <w:r>
        <w:rPr>
          <w:w w:val="105"/>
        </w:rPr>
        <w:t>Business</w:t>
      </w:r>
      <w:r>
        <w:rPr>
          <w:spacing w:val="2"/>
          <w:w w:val="105"/>
        </w:rPr>
        <w:t> </w:t>
      </w:r>
      <w:r>
        <w:rPr>
          <w:w w:val="105"/>
        </w:rPr>
        <w:t>School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1998.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52" w:lineRule="auto"/>
        <w:ind w:left="139" w:right="494" w:firstLine="288"/>
        <w:jc w:val="both"/>
      </w:pPr>
      <w:r>
        <w:rPr>
          <w:rFonts w:ascii="Palatino Linotype" w:hAnsi="Palatino Linotype"/>
          <w:b/>
        </w:rPr>
        <w:t>Frederick J. Rowan</w:t>
      </w:r>
      <w:r>
        <w:rPr/>
        <w:t>,</w:t>
      </w:r>
      <w:r>
        <w:rPr>
          <w:spacing w:val="1"/>
        </w:rPr>
        <w:t> </w:t>
      </w:r>
      <w:r>
        <w:rPr/>
        <w:t>II,</w:t>
      </w:r>
      <w:r>
        <w:rPr>
          <w:spacing w:val="1"/>
        </w:rPr>
        <w:t> </w:t>
      </w:r>
      <w:r>
        <w:rPr/>
        <w:t>joined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1992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chief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chairman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directors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1996.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joining</w:t>
      </w:r>
      <w:r>
        <w:rPr>
          <w:spacing w:val="44"/>
        </w:rPr>
        <w:t> </w:t>
      </w:r>
      <w:r>
        <w:rPr/>
        <w:t>us,</w:t>
      </w:r>
      <w:r>
        <w:rPr>
          <w:spacing w:val="44"/>
        </w:rPr>
        <w:t> </w:t>
      </w:r>
      <w:r>
        <w:rPr/>
        <w:t>Rowan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group</w:t>
      </w:r>
      <w:r>
        <w:rPr>
          <w:spacing w:val="44"/>
        </w:rPr>
        <w:t> </w:t>
      </w:r>
      <w:r>
        <w:rPr/>
        <w:t>vice</w:t>
      </w:r>
      <w:r>
        <w:rPr>
          <w:spacing w:val="1"/>
        </w:rPr>
        <w:t> </w:t>
      </w:r>
      <w:r>
        <w:rPr/>
        <w:t>president of VF Corporation, a multidivision apparel company and, among other positions, served as</w:t>
      </w:r>
      <w:r>
        <w:rPr>
          <w:spacing w:val="1"/>
        </w:rPr>
        <w:t> </w:t>
      </w:r>
      <w:r>
        <w:rPr/>
        <w:t>president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chief</w:t>
      </w:r>
      <w:r>
        <w:rPr>
          <w:spacing w:val="1"/>
        </w:rPr>
        <w:t> </w:t>
      </w:r>
      <w:r>
        <w:rPr/>
        <w:t>executive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HD</w:t>
      </w:r>
      <w:r>
        <w:rPr>
          <w:spacing w:val="1"/>
        </w:rPr>
        <w:t> </w:t>
      </w:r>
      <w:r>
        <w:rPr/>
        <w:t>Lee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Inc.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Bassett-Walker,</w:t>
      </w:r>
      <w:r>
        <w:rPr>
          <w:spacing w:val="44"/>
        </w:rPr>
        <w:t> </w:t>
      </w:r>
      <w:r>
        <w:rPr/>
        <w:t>Inc.,</w:t>
      </w:r>
      <w:r>
        <w:rPr>
          <w:spacing w:val="1"/>
        </w:rPr>
        <w:t> </w:t>
      </w:r>
      <w:r>
        <w:rPr/>
        <w:t>divisions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VF</w:t>
      </w:r>
      <w:r>
        <w:rPr>
          <w:spacing w:val="35"/>
        </w:rPr>
        <w:t> </w:t>
      </w:r>
      <w:r>
        <w:rPr/>
        <w:t>Corporation.</w:t>
      </w:r>
      <w:r>
        <w:rPr>
          <w:spacing w:val="34"/>
        </w:rPr>
        <w:t> </w:t>
      </w:r>
      <w:r>
        <w:rPr/>
        <w:t>Rowan,</w:t>
      </w:r>
      <w:r>
        <w:rPr>
          <w:spacing w:val="36"/>
        </w:rPr>
        <w:t> </w:t>
      </w:r>
      <w:r>
        <w:rPr/>
        <w:t>who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/>
        <w:t>been</w:t>
      </w:r>
      <w:r>
        <w:rPr>
          <w:spacing w:val="33"/>
        </w:rPr>
        <w:t> </w:t>
      </w:r>
      <w:r>
        <w:rPr/>
        <w:t>involved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textile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apparel</w:t>
      </w:r>
      <w:r>
        <w:rPr>
          <w:spacing w:val="35"/>
        </w:rPr>
        <w:t> </w:t>
      </w:r>
      <w:r>
        <w:rPr/>
        <w:t>industries</w:t>
      </w:r>
      <w:r>
        <w:rPr>
          <w:spacing w:val="36"/>
        </w:rPr>
        <w:t> </w:t>
      </w:r>
      <w:r>
        <w:rPr/>
        <w:t>for</w:t>
      </w:r>
      <w:r>
        <w:rPr>
          <w:spacing w:val="1"/>
        </w:rPr>
        <w:t> </w:t>
      </w:r>
      <w:r>
        <w:rPr/>
        <w:t>38</w:t>
      </w:r>
      <w:r>
        <w:rPr>
          <w:spacing w:val="23"/>
        </w:rPr>
        <w:t> </w:t>
      </w:r>
      <w:r>
        <w:rPr/>
        <w:t>years,</w:t>
      </w:r>
      <w:r>
        <w:rPr>
          <w:spacing w:val="25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senior</w:t>
      </w:r>
      <w:r>
        <w:rPr>
          <w:spacing w:val="24"/>
        </w:rPr>
        <w:t> </w:t>
      </w:r>
      <w:r>
        <w:rPr/>
        <w:t>executive</w:t>
      </w:r>
      <w:r>
        <w:rPr>
          <w:spacing w:val="25"/>
        </w:rPr>
        <w:t> </w:t>
      </w:r>
      <w:r>
        <w:rPr/>
        <w:t>positions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nearly</w:t>
      </w:r>
      <w:r>
        <w:rPr>
          <w:spacing w:val="24"/>
        </w:rPr>
        <w:t> </w:t>
      </w:r>
      <w:r>
        <w:rPr/>
        <w:t>26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those</w:t>
      </w:r>
      <w:r>
        <w:rPr>
          <w:spacing w:val="25"/>
        </w:rPr>
        <w:t> </w:t>
      </w:r>
      <w:r>
        <w:rPr/>
        <w:t>years.</w:t>
      </w:r>
      <w:r>
        <w:rPr>
          <w:spacing w:val="24"/>
        </w:rPr>
        <w:t> </w:t>
      </w:r>
      <w:r>
        <w:rPr/>
        <w:t>Rowan</w:t>
      </w:r>
      <w:r>
        <w:rPr>
          <w:spacing w:val="24"/>
        </w:rPr>
        <w:t> </w:t>
      </w:r>
      <w:r>
        <w:rPr/>
        <w:t>began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career</w:t>
      </w:r>
      <w:r>
        <w:rPr>
          <w:spacing w:val="-4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DuPont</w:t>
      </w:r>
      <w:r>
        <w:rPr>
          <w:spacing w:val="1"/>
        </w:rPr>
        <w:t> </w:t>
      </w:r>
      <w:r>
        <w:rPr/>
        <w:t>Corporation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later</w:t>
      </w:r>
      <w:r>
        <w:rPr>
          <w:spacing w:val="44"/>
        </w:rPr>
        <w:t> </w:t>
      </w:r>
      <w:r>
        <w:rPr/>
        <w:t>joined</w:t>
      </w:r>
      <w:r>
        <w:rPr>
          <w:spacing w:val="44"/>
        </w:rPr>
        <w:t> </w:t>
      </w:r>
      <w:r>
        <w:rPr/>
        <w:t>Aileen,</w:t>
      </w:r>
      <w:r>
        <w:rPr>
          <w:spacing w:val="44"/>
        </w:rPr>
        <w:t> </w:t>
      </w:r>
      <w:r>
        <w:rPr/>
        <w:t>Inc.,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manufacturer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women’s</w:t>
      </w:r>
      <w:r>
        <w:rPr>
          <w:spacing w:val="44"/>
        </w:rPr>
        <w:t> </w:t>
      </w:r>
      <w:r>
        <w:rPr/>
        <w:t>apparel,</w:t>
      </w:r>
      <w:r>
        <w:rPr>
          <w:spacing w:val="44"/>
        </w:rPr>
        <w:t> </w:t>
      </w:r>
      <w:r>
        <w:rPr/>
        <w:t>where</w:t>
      </w:r>
      <w:r>
        <w:rPr>
          <w:spacing w:val="-42"/>
        </w:rPr>
        <w:t> </w:t>
      </w:r>
      <w:r>
        <w:rPr/>
        <w:t>he</w:t>
      </w:r>
      <w:r>
        <w:rPr>
          <w:spacing w:val="7"/>
        </w:rPr>
        <w:t> </w:t>
      </w:r>
      <w:r>
        <w:rPr/>
        <w:t>subsequently</w:t>
      </w:r>
      <w:r>
        <w:rPr>
          <w:spacing w:val="7"/>
        </w:rPr>
        <w:t> </w:t>
      </w:r>
      <w:r>
        <w:rPr/>
        <w:t>became</w:t>
      </w:r>
      <w:r>
        <w:rPr>
          <w:spacing w:val="7"/>
        </w:rPr>
        <w:t> </w:t>
      </w:r>
      <w:r>
        <w:rPr/>
        <w:t>president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chief</w:t>
      </w:r>
      <w:r>
        <w:rPr>
          <w:spacing w:val="8"/>
        </w:rPr>
        <w:t> </w:t>
      </w:r>
      <w:r>
        <w:rPr/>
        <w:t>operating</w:t>
      </w:r>
      <w:r>
        <w:rPr>
          <w:spacing w:val="7"/>
        </w:rPr>
        <w:t> </w:t>
      </w:r>
      <w:r>
        <w:rPr/>
        <w:t>officer.</w:t>
      </w:r>
    </w:p>
    <w:p>
      <w:pPr>
        <w:pStyle w:val="BodyText"/>
        <w:spacing w:before="10"/>
        <w:rPr>
          <w:sz w:val="30"/>
        </w:rPr>
      </w:pPr>
    </w:p>
    <w:p>
      <w:pPr>
        <w:tabs>
          <w:tab w:pos="860" w:val="left" w:leader="none"/>
        </w:tabs>
        <w:spacing w:before="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Berkshire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Partners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site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Hoovers.com.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7"/>
        </w:rPr>
      </w:pPr>
      <w:r>
        <w:rPr/>
        <w:pict>
          <v:rect style="position:absolute;margin-left:70.5pt;margin-top:18.330215pt;width:453pt;height:.47998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8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2448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spacing w:before="12"/>
        <w:rPr>
          <w:rFonts w:ascii="Palatino Linotype"/>
          <w:b/>
          <w:sz w:val="33"/>
        </w:rPr>
      </w:pPr>
    </w:p>
    <w:p>
      <w:pPr>
        <w:spacing w:before="0"/>
        <w:ind w:left="500" w:right="0" w:firstLine="0"/>
        <w:jc w:val="both"/>
        <w:rPr>
          <w:sz w:val="20"/>
        </w:rPr>
      </w:pPr>
      <w:r>
        <w:rPr>
          <w:rFonts w:ascii="Palatino Linotype"/>
          <w:b/>
          <w:sz w:val="20"/>
        </w:rPr>
        <w:t>Exhibit</w:t>
      </w:r>
      <w:r>
        <w:rPr>
          <w:rFonts w:ascii="Palatino Linotype"/>
          <w:b/>
          <w:spacing w:val="2"/>
          <w:sz w:val="20"/>
        </w:rPr>
        <w:t> </w:t>
      </w:r>
      <w:r>
        <w:rPr>
          <w:rFonts w:ascii="Palatino Linotype"/>
          <w:b/>
          <w:sz w:val="20"/>
        </w:rPr>
        <w:t>3   </w:t>
      </w:r>
      <w:r>
        <w:rPr>
          <w:rFonts w:ascii="Palatino Linotype"/>
          <w:b/>
          <w:spacing w:val="6"/>
          <w:sz w:val="20"/>
        </w:rPr>
        <w:t> </w:t>
      </w:r>
      <w:r>
        <w:rPr>
          <w:sz w:val="20"/>
        </w:rPr>
        <w:t>Investcorp</w:t>
      </w:r>
      <w:r>
        <w:rPr>
          <w:spacing w:val="9"/>
          <w:sz w:val="20"/>
        </w:rPr>
        <w:t> </w:t>
      </w:r>
      <w:r>
        <w:rPr>
          <w:sz w:val="20"/>
        </w:rPr>
        <w:t>Profile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54" w:lineRule="auto"/>
        <w:ind w:left="500" w:right="135" w:firstLine="288"/>
        <w:jc w:val="both"/>
      </w:pPr>
      <w:r>
        <w:rPr>
          <w:w w:val="105"/>
        </w:rPr>
        <w:t>Investcorp is a leading global investment group with offices in New York, London, and Bahrain.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1"/>
          <w:w w:val="105"/>
        </w:rPr>
        <w:t> </w:t>
      </w:r>
      <w:r>
        <w:rPr>
          <w:w w:val="105"/>
        </w:rPr>
        <w:t>1982,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completed</w:t>
      </w:r>
      <w:r>
        <w:rPr>
          <w:spacing w:val="1"/>
          <w:w w:val="105"/>
        </w:rPr>
        <w:t> </w:t>
      </w:r>
      <w:r>
        <w:rPr>
          <w:w w:val="105"/>
        </w:rPr>
        <w:t>transactions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North</w:t>
      </w:r>
      <w:r>
        <w:rPr>
          <w:spacing w:val="1"/>
          <w:w w:val="105"/>
        </w:rPr>
        <w:t> </w:t>
      </w:r>
      <w:r>
        <w:rPr>
          <w:w w:val="105"/>
        </w:rPr>
        <w:t>America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Western</w:t>
      </w:r>
      <w:r>
        <w:rPr>
          <w:spacing w:val="1"/>
          <w:w w:val="105"/>
        </w:rPr>
        <w:t> </w:t>
      </w:r>
      <w:r>
        <w:rPr>
          <w:w w:val="105"/>
        </w:rPr>
        <w:t>Europe,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1"/>
          <w:w w:val="105"/>
        </w:rPr>
        <w:t> </w:t>
      </w:r>
      <w:r>
        <w:rPr>
          <w:w w:val="105"/>
        </w:rPr>
        <w:t>acquisition value of approximately $19 billion. Investcorp and its clients currently have investments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U.S.</w:t>
      </w:r>
      <w:r>
        <w:rPr>
          <w:spacing w:val="1"/>
          <w:w w:val="105"/>
        </w:rPr>
        <w:t> </w:t>
      </w:r>
      <w:r>
        <w:rPr>
          <w:w w:val="105"/>
        </w:rPr>
        <w:t>companies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Stratus</w:t>
      </w:r>
      <w:r>
        <w:rPr>
          <w:spacing w:val="1"/>
          <w:w w:val="105"/>
        </w:rPr>
        <w:t> </w:t>
      </w:r>
      <w:r>
        <w:rPr>
          <w:w w:val="105"/>
        </w:rPr>
        <w:t>Technologies,</w:t>
      </w:r>
      <w:r>
        <w:rPr>
          <w:spacing w:val="1"/>
          <w:w w:val="105"/>
        </w:rPr>
        <w:t> </w:t>
      </w:r>
      <w:r>
        <w:rPr>
          <w:w w:val="105"/>
        </w:rPr>
        <w:t>Jostens,</w:t>
      </w:r>
      <w:r>
        <w:rPr>
          <w:spacing w:val="1"/>
          <w:w w:val="105"/>
        </w:rPr>
        <w:t> </w:t>
      </w:r>
      <w:r>
        <w:rPr>
          <w:w w:val="105"/>
        </w:rPr>
        <w:t>Inc.,</w:t>
      </w:r>
      <w:r>
        <w:rPr>
          <w:spacing w:val="1"/>
          <w:w w:val="105"/>
        </w:rPr>
        <w:t> </w:t>
      </w:r>
      <w:r>
        <w:rPr>
          <w:w w:val="105"/>
        </w:rPr>
        <w:t>Werner</w:t>
      </w:r>
      <w:r>
        <w:rPr>
          <w:spacing w:val="1"/>
          <w:w w:val="105"/>
        </w:rPr>
        <w:t> </w:t>
      </w:r>
      <w:r>
        <w:rPr>
          <w:w w:val="105"/>
        </w:rPr>
        <w:t>Holdings,</w:t>
      </w:r>
      <w:r>
        <w:rPr>
          <w:spacing w:val="1"/>
          <w:w w:val="105"/>
        </w:rPr>
        <w:t> </w:t>
      </w:r>
      <w:r>
        <w:rPr>
          <w:w w:val="105"/>
        </w:rPr>
        <w:t>TelePacific</w:t>
      </w:r>
      <w:r>
        <w:rPr>
          <w:spacing w:val="1"/>
          <w:w w:val="105"/>
        </w:rPr>
        <w:t> </w:t>
      </w:r>
      <w:r>
        <w:rPr>
          <w:w w:val="105"/>
        </w:rPr>
        <w:t>Communications, and Independent Wireless One. U.S. investments that have been taken public by</w:t>
      </w:r>
      <w:r>
        <w:rPr>
          <w:spacing w:val="1"/>
          <w:w w:val="105"/>
        </w:rPr>
        <w:t> </w:t>
      </w:r>
      <w:r>
        <w:rPr>
          <w:w w:val="105"/>
        </w:rPr>
        <w:t>Investcorp include Prime Service, Tiffany &amp; Co., Circle K Corporation, Saks Fifth Avenue, and CSK</w:t>
      </w:r>
      <w:r>
        <w:rPr>
          <w:spacing w:val="1"/>
          <w:w w:val="105"/>
        </w:rPr>
        <w:t> </w:t>
      </w:r>
      <w:r>
        <w:rPr>
          <w:w w:val="105"/>
        </w:rPr>
        <w:t>Auto</w:t>
      </w:r>
      <w:r>
        <w:rPr>
          <w:spacing w:val="3"/>
          <w:w w:val="105"/>
        </w:rPr>
        <w:t> </w:t>
      </w:r>
      <w:r>
        <w:rPr>
          <w:w w:val="105"/>
        </w:rPr>
        <w:t>Corporation.</w:t>
      </w:r>
    </w:p>
    <w:p>
      <w:pPr>
        <w:pStyle w:val="ListParagraph"/>
        <w:numPr>
          <w:ilvl w:val="0"/>
          <w:numId w:val="2"/>
        </w:numPr>
        <w:tabs>
          <w:tab w:pos="1149" w:val="left" w:leader="none"/>
        </w:tabs>
        <w:spacing w:line="254" w:lineRule="auto" w:before="178" w:after="0"/>
        <w:ind w:left="1148" w:right="135" w:hanging="360"/>
        <w:jc w:val="both"/>
        <w:rPr>
          <w:sz w:val="14"/>
        </w:rPr>
      </w:pPr>
      <w:r>
        <w:rPr>
          <w:w w:val="105"/>
          <w:sz w:val="20"/>
        </w:rPr>
        <w:t>Acquisitions are typically funded with a combination of debt and equity. Unlike other private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equity firms, Investcorp underwrites the equity portion of these investments using its own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capital.</w:t>
      </w:r>
      <w:r>
        <w:rPr>
          <w:w w:val="105"/>
          <w:position w:val="6"/>
          <w:sz w:val="14"/>
        </w:rPr>
        <w:t>a</w:t>
      </w:r>
    </w:p>
    <w:p>
      <w:pPr>
        <w:pStyle w:val="ListParagraph"/>
        <w:numPr>
          <w:ilvl w:val="0"/>
          <w:numId w:val="2"/>
        </w:numPr>
        <w:tabs>
          <w:tab w:pos="1149" w:val="left" w:leader="none"/>
        </w:tabs>
        <w:spacing w:line="254" w:lineRule="auto" w:before="117" w:after="0"/>
        <w:ind w:left="1148" w:right="135" w:hanging="360"/>
        <w:jc w:val="both"/>
        <w:rPr>
          <w:sz w:val="20"/>
        </w:rPr>
      </w:pPr>
      <w:r>
        <w:rPr>
          <w:w w:val="105"/>
          <w:sz w:val="20"/>
        </w:rPr>
        <w:t>Investcorp had a shareholder capital base of $1.2 billion and total assets of $4.1 billion,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$1.8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billion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liquid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funds.</w:t>
      </w:r>
    </w:p>
    <w:p>
      <w:pPr>
        <w:pStyle w:val="BodyText"/>
        <w:spacing w:before="5"/>
        <w:rPr>
          <w:sz w:val="30"/>
        </w:rPr>
      </w:pPr>
    </w:p>
    <w:p>
      <w:pPr>
        <w:spacing w:line="256" w:lineRule="auto" w:before="1"/>
        <w:ind w:left="1220" w:right="136" w:hanging="720"/>
        <w:jc w:val="both"/>
        <w:rPr>
          <w:sz w:val="16"/>
        </w:rPr>
      </w:pPr>
      <w:r>
        <w:rPr>
          <w:spacing w:val="-1"/>
          <w:w w:val="105"/>
          <w:sz w:val="16"/>
        </w:rPr>
        <w:t>Source:</w:t>
      </w:r>
      <w:r>
        <w:rPr>
          <w:w w:val="105"/>
          <w:sz w:val="16"/>
        </w:rPr>
        <w:t> </w:t>
      </w:r>
      <w:r>
        <w:rPr>
          <w:spacing w:val="-1"/>
          <w:w w:val="105"/>
          <w:sz w:val="16"/>
        </w:rPr>
        <w:t>Adapted from Berkshire Partners Web site, “Press Releases,” </w:t>
      </w:r>
      <w:hyperlink r:id="rId9">
        <w:r>
          <w:rPr>
            <w:spacing w:val="-1"/>
            <w:w w:val="105"/>
            <w:sz w:val="16"/>
          </w:rPr>
          <w:t>http://www.berkshirepartners.com/5_1_17_press.shtml,</w:t>
        </w:r>
      </w:hyperlink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accessed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September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2004;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Investcorp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site,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“About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Investcorp,”</w:t>
      </w:r>
      <w:r>
        <w:rPr>
          <w:spacing w:val="1"/>
          <w:w w:val="105"/>
          <w:sz w:val="16"/>
        </w:rPr>
        <w:t> </w:t>
      </w:r>
      <w:hyperlink r:id="rId10">
        <w:r>
          <w:rPr>
            <w:w w:val="105"/>
            <w:sz w:val="16"/>
          </w:rPr>
          <w:t>http://www.investcorp.com/</w:t>
        </w:r>
      </w:hyperlink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Template1a.aspx?pageid=AI6.0,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accessed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September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BodyText"/>
        <w:spacing w:before="5"/>
        <w:rPr>
          <w:sz w:val="23"/>
        </w:rPr>
      </w:pPr>
    </w:p>
    <w:p>
      <w:pPr>
        <w:spacing w:line="254" w:lineRule="auto" w:before="0"/>
        <w:ind w:left="500" w:right="136" w:firstLine="0"/>
        <w:jc w:val="both"/>
        <w:rPr>
          <w:sz w:val="16"/>
        </w:rPr>
      </w:pPr>
      <w:r>
        <w:rPr>
          <w:w w:val="105"/>
          <w:position w:val="6"/>
          <w:sz w:val="14"/>
        </w:rPr>
        <w:t>a</w:t>
      </w:r>
      <w:r>
        <w:rPr>
          <w:w w:val="105"/>
          <w:sz w:val="16"/>
        </w:rPr>
        <w:t>Subsequent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acquisition,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Investcorp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offers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equity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client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base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individuals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institutions.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firm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believes</w:t>
      </w:r>
      <w:r>
        <w:rPr>
          <w:spacing w:val="-34"/>
          <w:w w:val="105"/>
          <w:sz w:val="16"/>
        </w:rPr>
        <w:t> </w:t>
      </w:r>
      <w:r>
        <w:rPr>
          <w:w w:val="105"/>
          <w:sz w:val="16"/>
        </w:rPr>
        <w:t>that because each investment is placed separately with its clients, it must account for the success of every investment on 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individual basis,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thus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focusing attention 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 performance of every one of its portfolio companies.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88.5pt;margin-top:15.675078pt;width:453pt;height:.47998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9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1424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5"/>
        <w:rPr>
          <w:rFonts w:ascii="Palatino Linotype"/>
          <w:b/>
          <w:sz w:val="28"/>
        </w:rPr>
      </w:pPr>
    </w:p>
    <w:p>
      <w:pPr>
        <w:pStyle w:val="BodyText"/>
        <w:tabs>
          <w:tab w:pos="1195" w:val="left" w:leader="none"/>
        </w:tabs>
        <w:spacing w:before="75"/>
        <w:ind w:left="140"/>
      </w:pPr>
      <w:r>
        <w:rPr>
          <w:rFonts w:ascii="Palatino Linotype" w:hAnsi="Palatino Linotype"/>
          <w:b/>
          <w:w w:val="105"/>
        </w:rPr>
        <w:t>Exhibit</w:t>
      </w:r>
      <w:r>
        <w:rPr>
          <w:rFonts w:ascii="Palatino Linotype" w:hAnsi="Palatino Linotype"/>
          <w:b/>
          <w:spacing w:val="-13"/>
          <w:w w:val="105"/>
        </w:rPr>
        <w:t> </w:t>
      </w:r>
      <w:r>
        <w:rPr>
          <w:rFonts w:ascii="Palatino Linotype" w:hAnsi="Palatino Linotype"/>
          <w:b/>
          <w:w w:val="105"/>
        </w:rPr>
        <w:t>4</w:t>
        <w:tab/>
      </w:r>
      <w:r>
        <w:rPr>
          <w:w w:val="105"/>
        </w:rPr>
        <w:t>Carter’s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thousands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dollars)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7"/>
        <w:gridCol w:w="898"/>
        <w:gridCol w:w="938"/>
        <w:gridCol w:w="939"/>
        <w:gridCol w:w="940"/>
        <w:gridCol w:w="914"/>
        <w:gridCol w:w="1141"/>
        <w:gridCol w:w="1176"/>
      </w:tblGrid>
      <w:tr>
        <w:trPr>
          <w:trHeight w:val="700" w:hRule="atLeast"/>
        </w:trPr>
        <w:tc>
          <w:tcPr>
            <w:tcW w:w="7046" w:type="dxa"/>
            <w:gridSpan w:val="6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99"/>
              <w:ind w:left="153" w:right="158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pacing w:val="-1"/>
                <w:sz w:val="16"/>
              </w:rPr>
              <w:t>Six Months</w:t>
            </w:r>
            <w:r>
              <w:rPr>
                <w:rFonts w:ascii="Palatino Linotype"/>
                <w:b/>
                <w:spacing w:val="-37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Ended</w:t>
            </w:r>
            <w:r>
              <w:rPr>
                <w:rFonts w:ascii="Palatino Linotype"/>
                <w:b/>
                <w:spacing w:val="1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June</w:t>
            </w:r>
            <w:r>
              <w:rPr>
                <w:rFonts w:ascii="Palatino Linotype"/>
                <w:b/>
                <w:spacing w:val="-1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30,</w:t>
            </w:r>
          </w:p>
        </w:tc>
        <w:tc>
          <w:tcPr>
            <w:tcW w:w="11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24"/>
              </w:rPr>
            </w:pPr>
          </w:p>
          <w:p>
            <w:pPr>
              <w:pStyle w:val="TableParagraph"/>
              <w:spacing w:line="194" w:lineRule="exact" w:before="0"/>
              <w:ind w:left="140" w:right="172" w:firstLine="4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Six Months</w:t>
            </w:r>
            <w:r>
              <w:rPr>
                <w:rFonts w:ascii="Palatino Linotype"/>
                <w:b/>
                <w:spacing w:val="-37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Ended</w:t>
            </w:r>
            <w:r>
              <w:rPr>
                <w:rFonts w:ascii="Palatino Linotype"/>
                <w:b/>
                <w:spacing w:val="-6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June</w:t>
            </w:r>
          </w:p>
        </w:tc>
      </w:tr>
      <w:tr>
        <w:trPr>
          <w:trHeight w:val="190" w:hRule="atLeast"/>
        </w:trPr>
        <w:tc>
          <w:tcPr>
            <w:tcW w:w="2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280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1996</w:t>
            </w:r>
          </w:p>
        </w:tc>
        <w:tc>
          <w:tcPr>
            <w:tcW w:w="9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319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1997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318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1998</w:t>
            </w: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318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1999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316"/>
              <w:jc w:val="left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2000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left="389" w:right="392"/>
              <w:jc w:val="center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2000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 w:before="0"/>
              <w:ind w:right="327"/>
              <w:rPr>
                <w:rFonts w:ascii="Palatino Linotype"/>
                <w:b/>
                <w:sz w:val="16"/>
              </w:rPr>
            </w:pPr>
            <w:r>
              <w:rPr>
                <w:rFonts w:ascii="Palatino Linotype"/>
                <w:b/>
                <w:sz w:val="16"/>
              </w:rPr>
              <w:t>30,</w:t>
            </w:r>
            <w:r>
              <w:rPr>
                <w:rFonts w:ascii="Palatino Linotype"/>
                <w:b/>
                <w:spacing w:val="-2"/>
                <w:sz w:val="16"/>
              </w:rPr>
              <w:t> </w:t>
            </w:r>
            <w:r>
              <w:rPr>
                <w:rFonts w:ascii="Palatino Linotype"/>
                <w:b/>
                <w:sz w:val="16"/>
              </w:rPr>
              <w:t>2001</w:t>
            </w:r>
          </w:p>
        </w:tc>
      </w:tr>
      <w:tr>
        <w:trPr>
          <w:trHeight w:val="431" w:hRule="atLeast"/>
        </w:trPr>
        <w:tc>
          <w:tcPr>
            <w:tcW w:w="24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Wholesale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sales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179"/>
              <w:rPr>
                <w:sz w:val="16"/>
              </w:rPr>
            </w:pPr>
            <w:r>
              <w:rPr>
                <w:sz w:val="16"/>
              </w:rPr>
              <w:t>188,991</w:t>
            </w:r>
          </w:p>
        </w:tc>
        <w:tc>
          <w:tcPr>
            <w:tcW w:w="9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180"/>
              <w:rPr>
                <w:sz w:val="16"/>
              </w:rPr>
            </w:pPr>
            <w:r>
              <w:rPr>
                <w:sz w:val="16"/>
              </w:rPr>
              <w:t>219,535</w:t>
            </w:r>
          </w:p>
        </w:tc>
        <w:tc>
          <w:tcPr>
            <w:tcW w:w="9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181"/>
              <w:rPr>
                <w:sz w:val="16"/>
              </w:rPr>
            </w:pPr>
            <w:r>
              <w:rPr>
                <w:sz w:val="16"/>
              </w:rPr>
              <w:t>236,486</w:t>
            </w:r>
          </w:p>
        </w:tc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183"/>
              <w:rPr>
                <w:sz w:val="16"/>
              </w:rPr>
            </w:pPr>
            <w:r>
              <w:rPr>
                <w:sz w:val="16"/>
              </w:rPr>
              <w:t>231,284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159"/>
              <w:rPr>
                <w:sz w:val="16"/>
              </w:rPr>
            </w:pPr>
            <w:r>
              <w:rPr>
                <w:sz w:val="16"/>
              </w:rPr>
              <w:t>256,094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290"/>
              <w:rPr>
                <w:sz w:val="16"/>
              </w:rPr>
            </w:pPr>
            <w:r>
              <w:rPr>
                <w:sz w:val="16"/>
              </w:rPr>
              <w:t>105,300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17"/>
              </w:rPr>
            </w:pPr>
          </w:p>
          <w:p>
            <w:pPr>
              <w:pStyle w:val="TableParagraph"/>
              <w:spacing w:before="1"/>
              <w:ind w:right="395"/>
              <w:rPr>
                <w:sz w:val="16"/>
              </w:rPr>
            </w:pPr>
            <w:r>
              <w:rPr>
                <w:sz w:val="16"/>
              </w:rPr>
              <w:t>123,655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Retail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sales</w:t>
            </w:r>
          </w:p>
        </w:tc>
        <w:tc>
          <w:tcPr>
            <w:tcW w:w="89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129,244</w:t>
            </w:r>
          </w:p>
        </w:tc>
        <w:tc>
          <w:tcPr>
            <w:tcW w:w="93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143,419</w:t>
            </w:r>
          </w:p>
        </w:tc>
        <w:tc>
          <w:tcPr>
            <w:tcW w:w="939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171,696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sz w:val="16"/>
              </w:rPr>
              <w:t>183,312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sz w:val="16"/>
              </w:rPr>
            </w:pPr>
            <w:r>
              <w:rPr>
                <w:sz w:val="16"/>
              </w:rPr>
              <w:t>215,280</w:t>
            </w:r>
          </w:p>
        </w:tc>
        <w:tc>
          <w:tcPr>
            <w:tcW w:w="1141" w:type="dxa"/>
          </w:tcPr>
          <w:p>
            <w:pPr>
              <w:pStyle w:val="TableParagraph"/>
              <w:ind w:right="290"/>
              <w:rPr>
                <w:sz w:val="16"/>
              </w:rPr>
            </w:pPr>
            <w:r>
              <w:rPr>
                <w:sz w:val="16"/>
              </w:rPr>
              <w:t>88,374</w:t>
            </w:r>
          </w:p>
        </w:tc>
        <w:tc>
          <w:tcPr>
            <w:tcW w:w="1176" w:type="dxa"/>
          </w:tcPr>
          <w:p>
            <w:pPr>
              <w:pStyle w:val="TableParagraph"/>
              <w:ind w:right="395"/>
              <w:rPr>
                <w:sz w:val="16"/>
              </w:rPr>
            </w:pPr>
            <w:r>
              <w:rPr>
                <w:sz w:val="16"/>
              </w:rPr>
              <w:t>97,370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net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</w:p>
        </w:tc>
        <w:tc>
          <w:tcPr>
            <w:tcW w:w="898" w:type="dxa"/>
          </w:tcPr>
          <w:p>
            <w:pPr>
              <w:pStyle w:val="TableParagraph"/>
              <w:ind w:right="1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318,235</w:t>
            </w:r>
          </w:p>
        </w:tc>
        <w:tc>
          <w:tcPr>
            <w:tcW w:w="938" w:type="dxa"/>
          </w:tcPr>
          <w:p>
            <w:pPr>
              <w:pStyle w:val="TableParagraph"/>
              <w:ind w:right="1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362,954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408,182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414,596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471,374</w:t>
            </w:r>
          </w:p>
        </w:tc>
        <w:tc>
          <w:tcPr>
            <w:tcW w:w="1141" w:type="dxa"/>
          </w:tcPr>
          <w:p>
            <w:pPr>
              <w:pStyle w:val="TableParagraph"/>
              <w:ind w:right="2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193,674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221,025</w:t>
            </w:r>
          </w:p>
        </w:tc>
      </w:tr>
      <w:tr>
        <w:trPr>
          <w:trHeight w:val="26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goods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sold</w:t>
            </w:r>
          </w:p>
        </w:tc>
        <w:tc>
          <w:tcPr>
            <w:tcW w:w="89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200,798</w:t>
            </w:r>
          </w:p>
        </w:tc>
        <w:tc>
          <w:tcPr>
            <w:tcW w:w="93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227,332</w:t>
            </w:r>
          </w:p>
        </w:tc>
        <w:tc>
          <w:tcPr>
            <w:tcW w:w="939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256,482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sz w:val="16"/>
              </w:rPr>
              <w:t>271,844</w:t>
            </w:r>
          </w:p>
        </w:tc>
        <w:tc>
          <w:tcPr>
            <w:tcW w:w="914" w:type="dxa"/>
          </w:tcPr>
          <w:p>
            <w:pPr>
              <w:pStyle w:val="TableParagraph"/>
              <w:ind w:right="159"/>
              <w:rPr>
                <w:sz w:val="16"/>
              </w:rPr>
            </w:pPr>
            <w:r>
              <w:rPr>
                <w:sz w:val="16"/>
              </w:rPr>
              <w:t>293,340</w:t>
            </w:r>
          </w:p>
        </w:tc>
        <w:tc>
          <w:tcPr>
            <w:tcW w:w="1141" w:type="dxa"/>
          </w:tcPr>
          <w:p>
            <w:pPr>
              <w:pStyle w:val="TableParagraph"/>
              <w:ind w:right="290"/>
              <w:rPr>
                <w:sz w:val="16"/>
              </w:rPr>
            </w:pPr>
            <w:r>
              <w:rPr>
                <w:sz w:val="16"/>
              </w:rPr>
              <w:t>121,521</w:t>
            </w:r>
          </w:p>
        </w:tc>
        <w:tc>
          <w:tcPr>
            <w:tcW w:w="1176" w:type="dxa"/>
          </w:tcPr>
          <w:p>
            <w:pPr>
              <w:pStyle w:val="TableParagraph"/>
              <w:ind w:right="395"/>
              <w:rPr>
                <w:sz w:val="16"/>
              </w:rPr>
            </w:pPr>
            <w:r>
              <w:rPr>
                <w:sz w:val="16"/>
              </w:rPr>
              <w:t>140,996</w:t>
            </w:r>
          </w:p>
        </w:tc>
      </w:tr>
      <w:tr>
        <w:trPr>
          <w:trHeight w:val="35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Gross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profit</w:t>
            </w:r>
          </w:p>
        </w:tc>
        <w:tc>
          <w:tcPr>
            <w:tcW w:w="898" w:type="dxa"/>
          </w:tcPr>
          <w:p>
            <w:pPr>
              <w:pStyle w:val="TableParagraph"/>
              <w:ind w:right="1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117,437</w:t>
            </w:r>
          </w:p>
        </w:tc>
        <w:tc>
          <w:tcPr>
            <w:tcW w:w="938" w:type="dxa"/>
          </w:tcPr>
          <w:p>
            <w:pPr>
              <w:pStyle w:val="TableParagraph"/>
              <w:ind w:right="1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135,622</w:t>
            </w:r>
          </w:p>
        </w:tc>
        <w:tc>
          <w:tcPr>
            <w:tcW w:w="939" w:type="dxa"/>
          </w:tcPr>
          <w:p>
            <w:pPr>
              <w:pStyle w:val="TableParagraph"/>
              <w:ind w:right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151,700</w:t>
            </w:r>
          </w:p>
        </w:tc>
        <w:tc>
          <w:tcPr>
            <w:tcW w:w="940" w:type="dxa"/>
          </w:tcPr>
          <w:p>
            <w:pPr>
              <w:pStyle w:val="TableParagraph"/>
              <w:ind w:right="1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142,752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178,034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72,153</w:t>
            </w:r>
          </w:p>
        </w:tc>
        <w:tc>
          <w:tcPr>
            <w:tcW w:w="1176" w:type="dxa"/>
          </w:tcPr>
          <w:p>
            <w:pPr>
              <w:pStyle w:val="TableParagraph"/>
              <w:ind w:right="3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80,029</w:t>
            </w:r>
          </w:p>
        </w:tc>
      </w:tr>
      <w:tr>
        <w:trPr>
          <w:trHeight w:val="569" w:hRule="atLeast"/>
        </w:trPr>
        <w:tc>
          <w:tcPr>
            <w:tcW w:w="2417" w:type="dxa"/>
          </w:tcPr>
          <w:p>
            <w:pPr>
              <w:pStyle w:val="TableParagraph"/>
              <w:spacing w:line="220" w:lineRule="atLeast" w:before="89"/>
              <w:ind w:left="190" w:right="951" w:hanging="144"/>
              <w:jc w:val="left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administrative</w:t>
            </w:r>
          </w:p>
        </w:tc>
        <w:tc>
          <w:tcPr>
            <w:tcW w:w="898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179"/>
              <w:rPr>
                <w:sz w:val="16"/>
              </w:rPr>
            </w:pPr>
            <w:r>
              <w:rPr>
                <w:sz w:val="16"/>
              </w:rPr>
              <w:t>96,905</w:t>
            </w:r>
          </w:p>
        </w:tc>
        <w:tc>
          <w:tcPr>
            <w:tcW w:w="938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180"/>
              <w:rPr>
                <w:sz w:val="16"/>
              </w:rPr>
            </w:pPr>
            <w:r>
              <w:rPr>
                <w:sz w:val="16"/>
              </w:rPr>
              <w:t>112,531</w:t>
            </w: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182"/>
              <w:rPr>
                <w:sz w:val="16"/>
              </w:rPr>
            </w:pPr>
            <w:r>
              <w:rPr>
                <w:sz w:val="16"/>
              </w:rPr>
              <w:t>124,278</w:t>
            </w:r>
          </w:p>
        </w:tc>
        <w:tc>
          <w:tcPr>
            <w:tcW w:w="940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183"/>
              <w:rPr>
                <w:sz w:val="16"/>
              </w:rPr>
            </w:pPr>
            <w:r>
              <w:rPr>
                <w:sz w:val="16"/>
              </w:rPr>
              <w:t>120,773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159"/>
              <w:rPr>
                <w:sz w:val="16"/>
              </w:rPr>
            </w:pPr>
            <w:r>
              <w:rPr>
                <w:sz w:val="16"/>
              </w:rPr>
              <w:t>137,513</w:t>
            </w:r>
          </w:p>
        </w:tc>
        <w:tc>
          <w:tcPr>
            <w:tcW w:w="1141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291"/>
              <w:rPr>
                <w:sz w:val="16"/>
              </w:rPr>
            </w:pPr>
            <w:r>
              <w:rPr>
                <w:sz w:val="16"/>
              </w:rPr>
              <w:t>62,729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8"/>
              </w:rPr>
            </w:pPr>
          </w:p>
          <w:p>
            <w:pPr>
              <w:pStyle w:val="TableParagraph"/>
              <w:spacing w:before="134"/>
              <w:ind w:right="395"/>
              <w:rPr>
                <w:sz w:val="16"/>
              </w:rPr>
            </w:pPr>
            <w:r>
              <w:rPr>
                <w:sz w:val="16"/>
              </w:rPr>
              <w:t>68,827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Nonrecurring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charges</w:t>
            </w:r>
          </w:p>
        </w:tc>
        <w:tc>
          <w:tcPr>
            <w:tcW w:w="89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sz w:val="16"/>
              </w:rPr>
              <w:t>8,834</w:t>
            </w:r>
          </w:p>
        </w:tc>
        <w:tc>
          <w:tcPr>
            <w:tcW w:w="93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sz w:val="16"/>
              </w:rPr>
              <w:t>7,124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4,272</w:t>
            </w:r>
          </w:p>
        </w:tc>
      </w:tr>
      <w:tr>
        <w:trPr>
          <w:trHeight w:val="35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Operating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income</w:t>
            </w:r>
          </w:p>
        </w:tc>
        <w:tc>
          <w:tcPr>
            <w:tcW w:w="898" w:type="dxa"/>
          </w:tcPr>
          <w:p>
            <w:pPr>
              <w:pStyle w:val="TableParagraph"/>
              <w:ind w:right="1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11,698</w:t>
            </w:r>
          </w:p>
        </w:tc>
        <w:tc>
          <w:tcPr>
            <w:tcW w:w="938" w:type="dxa"/>
          </w:tcPr>
          <w:p>
            <w:pPr>
              <w:pStyle w:val="TableParagraph"/>
              <w:ind w:right="1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23,091</w:t>
            </w:r>
          </w:p>
        </w:tc>
        <w:tc>
          <w:tcPr>
            <w:tcW w:w="939" w:type="dxa"/>
          </w:tcPr>
          <w:p>
            <w:pPr>
              <w:pStyle w:val="TableParagraph"/>
              <w:ind w:right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27,422</w:t>
            </w:r>
          </w:p>
        </w:tc>
        <w:tc>
          <w:tcPr>
            <w:tcW w:w="940" w:type="dxa"/>
          </w:tcPr>
          <w:p>
            <w:pPr>
              <w:pStyle w:val="TableParagraph"/>
              <w:ind w:right="1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14,855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40,521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9,424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6,930</w:t>
            </w:r>
          </w:p>
        </w:tc>
      </w:tr>
      <w:tr>
        <w:trPr>
          <w:trHeight w:val="349" w:hRule="atLeast"/>
        </w:trPr>
        <w:tc>
          <w:tcPr>
            <w:tcW w:w="2417" w:type="dxa"/>
          </w:tcPr>
          <w:p>
            <w:pPr>
              <w:pStyle w:val="TableParagraph"/>
              <w:spacing w:before="125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</w:p>
        </w:tc>
        <w:tc>
          <w:tcPr>
            <w:tcW w:w="898" w:type="dxa"/>
          </w:tcPr>
          <w:p>
            <w:pPr>
              <w:pStyle w:val="TableParagraph"/>
              <w:spacing w:before="125"/>
              <w:ind w:right="17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38" w:type="dxa"/>
          </w:tcPr>
          <w:p>
            <w:pPr>
              <w:pStyle w:val="TableParagraph"/>
              <w:spacing w:before="125"/>
              <w:ind w:right="17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39" w:type="dxa"/>
          </w:tcPr>
          <w:p>
            <w:pPr>
              <w:pStyle w:val="TableParagraph"/>
              <w:spacing w:before="125"/>
              <w:ind w:right="18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40" w:type="dxa"/>
          </w:tcPr>
          <w:p>
            <w:pPr>
              <w:pStyle w:val="TableParagraph"/>
              <w:spacing w:before="125"/>
              <w:ind w:right="18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spacing w:before="125"/>
              <w:ind w:right="157"/>
              <w:rPr>
                <w:sz w:val="16"/>
              </w:rPr>
            </w:pPr>
            <w:r>
              <w:rPr>
                <w:sz w:val="16"/>
              </w:rPr>
              <w:t>-303</w:t>
            </w:r>
          </w:p>
        </w:tc>
        <w:tc>
          <w:tcPr>
            <w:tcW w:w="1141" w:type="dxa"/>
          </w:tcPr>
          <w:p>
            <w:pPr>
              <w:pStyle w:val="TableParagraph"/>
              <w:spacing w:before="125"/>
              <w:ind w:right="28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spacing w:before="125"/>
              <w:ind w:right="393"/>
              <w:rPr>
                <w:sz w:val="16"/>
              </w:rPr>
            </w:pPr>
            <w:r>
              <w:rPr>
                <w:sz w:val="16"/>
              </w:rPr>
              <w:t>-68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</w:t>
            </w:r>
          </w:p>
        </w:tc>
        <w:tc>
          <w:tcPr>
            <w:tcW w:w="898" w:type="dxa"/>
          </w:tcPr>
          <w:p>
            <w:pPr>
              <w:pStyle w:val="TableParagraph"/>
              <w:ind w:right="177"/>
              <w:rPr>
                <w:sz w:val="16"/>
              </w:rPr>
            </w:pPr>
            <w:r>
              <w:rPr>
                <w:sz w:val="16"/>
              </w:rPr>
              <w:t>9,706</w:t>
            </w:r>
          </w:p>
        </w:tc>
        <w:tc>
          <w:tcPr>
            <w:tcW w:w="93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sz w:val="16"/>
              </w:rPr>
              <w:t>17,571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18,525</w:t>
            </w:r>
          </w:p>
        </w:tc>
        <w:tc>
          <w:tcPr>
            <w:tcW w:w="940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17,748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sz w:val="16"/>
              </w:rPr>
            </w:pPr>
            <w:r>
              <w:rPr>
                <w:sz w:val="16"/>
              </w:rPr>
              <w:t>16,294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sz w:val="16"/>
              </w:rPr>
            </w:pPr>
            <w:r>
              <w:rPr>
                <w:sz w:val="16"/>
              </w:rPr>
              <w:t>7,919</w:t>
            </w:r>
          </w:p>
        </w:tc>
        <w:tc>
          <w:tcPr>
            <w:tcW w:w="1176" w:type="dxa"/>
          </w:tcPr>
          <w:p>
            <w:pPr>
              <w:pStyle w:val="TableParagraph"/>
              <w:ind w:right="393"/>
              <w:rPr>
                <w:sz w:val="16"/>
              </w:rPr>
            </w:pPr>
            <w:r>
              <w:rPr>
                <w:sz w:val="16"/>
              </w:rPr>
              <w:t>7,907</w:t>
            </w:r>
          </w:p>
        </w:tc>
      </w:tr>
      <w:tr>
        <w:trPr>
          <w:trHeight w:val="26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Earnings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taxes</w:t>
            </w:r>
          </w:p>
        </w:tc>
        <w:tc>
          <w:tcPr>
            <w:tcW w:w="89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sz w:val="16"/>
              </w:rPr>
              <w:t>1,992</w:t>
            </w:r>
          </w:p>
        </w:tc>
        <w:tc>
          <w:tcPr>
            <w:tcW w:w="93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5,520</w:t>
            </w:r>
          </w:p>
        </w:tc>
        <w:tc>
          <w:tcPr>
            <w:tcW w:w="939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8,897</w:t>
            </w:r>
          </w:p>
        </w:tc>
        <w:tc>
          <w:tcPr>
            <w:tcW w:w="940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-2,893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sz w:val="16"/>
              </w:rPr>
            </w:pPr>
            <w:r>
              <w:rPr>
                <w:sz w:val="16"/>
              </w:rPr>
              <w:t>24,530</w:t>
            </w:r>
          </w:p>
        </w:tc>
        <w:tc>
          <w:tcPr>
            <w:tcW w:w="1141" w:type="dxa"/>
          </w:tcPr>
          <w:p>
            <w:pPr>
              <w:pStyle w:val="TableParagraph"/>
              <w:ind w:right="290"/>
              <w:rPr>
                <w:sz w:val="16"/>
              </w:rPr>
            </w:pPr>
            <w:r>
              <w:rPr>
                <w:sz w:val="16"/>
              </w:rPr>
              <w:t>1,505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-909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Provision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taxes</w:t>
            </w:r>
          </w:p>
        </w:tc>
        <w:tc>
          <w:tcPr>
            <w:tcW w:w="89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2,097</w:t>
            </w:r>
          </w:p>
        </w:tc>
        <w:tc>
          <w:tcPr>
            <w:tcW w:w="93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2,429</w:t>
            </w:r>
          </w:p>
        </w:tc>
        <w:tc>
          <w:tcPr>
            <w:tcW w:w="939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3,616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sz w:val="16"/>
              </w:rPr>
              <w:t>-869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sz w:val="16"/>
              </w:rPr>
            </w:pPr>
            <w:r>
              <w:rPr>
                <w:sz w:val="16"/>
              </w:rPr>
              <w:t>9,731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-364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Extraordinary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items,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net 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tax</w:t>
            </w:r>
          </w:p>
        </w:tc>
        <w:tc>
          <w:tcPr>
            <w:tcW w:w="898" w:type="dxa"/>
          </w:tcPr>
          <w:p>
            <w:pPr>
              <w:pStyle w:val="TableParagraph"/>
              <w:ind w:right="177"/>
              <w:rPr>
                <w:sz w:val="16"/>
              </w:rPr>
            </w:pPr>
            <w:r>
              <w:rPr>
                <w:sz w:val="16"/>
              </w:rPr>
              <w:t>2,351</w:t>
            </w:r>
          </w:p>
        </w:tc>
        <w:tc>
          <w:tcPr>
            <w:tcW w:w="938" w:type="dxa"/>
          </w:tcPr>
          <w:p>
            <w:pPr>
              <w:pStyle w:val="TableParagraph"/>
              <w:ind w:right="17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39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40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914" w:type="dxa"/>
          </w:tcPr>
          <w:p>
            <w:pPr>
              <w:pStyle w:val="TableParagraph"/>
              <w:ind w:right="156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141" w:type="dxa"/>
          </w:tcPr>
          <w:p>
            <w:pPr>
              <w:pStyle w:val="TableParagraph"/>
              <w:ind w:right="287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176" w:type="dxa"/>
          </w:tcPr>
          <w:p>
            <w:pPr>
              <w:pStyle w:val="TableParagraph"/>
              <w:ind w:right="39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Net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Income</w:t>
            </w:r>
          </w:p>
        </w:tc>
        <w:tc>
          <w:tcPr>
            <w:tcW w:w="898" w:type="dxa"/>
          </w:tcPr>
          <w:p>
            <w:pPr>
              <w:pStyle w:val="TableParagraph"/>
              <w:ind w:right="1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-2,456</w:t>
            </w:r>
          </w:p>
        </w:tc>
        <w:tc>
          <w:tcPr>
            <w:tcW w:w="938" w:type="dxa"/>
          </w:tcPr>
          <w:p>
            <w:pPr>
              <w:pStyle w:val="TableParagraph"/>
              <w:ind w:right="1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3,091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5,281</w:t>
            </w:r>
          </w:p>
        </w:tc>
        <w:tc>
          <w:tcPr>
            <w:tcW w:w="940" w:type="dxa"/>
          </w:tcPr>
          <w:p>
            <w:pPr>
              <w:pStyle w:val="TableParagraph"/>
              <w:ind w:right="1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-2,024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14,445</w:t>
            </w:r>
          </w:p>
        </w:tc>
        <w:tc>
          <w:tcPr>
            <w:tcW w:w="1141" w:type="dxa"/>
          </w:tcPr>
          <w:p>
            <w:pPr>
              <w:pStyle w:val="TableParagraph"/>
              <w:ind w:right="2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544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-545</w:t>
            </w:r>
          </w:p>
        </w:tc>
      </w:tr>
      <w:tr>
        <w:trPr>
          <w:trHeight w:val="360" w:hRule="atLeast"/>
        </w:trPr>
        <w:tc>
          <w:tcPr>
            <w:tcW w:w="2417" w:type="dxa"/>
          </w:tcPr>
          <w:p>
            <w:pPr>
              <w:pStyle w:val="TableParagraph"/>
              <w:spacing w:before="125"/>
              <w:ind w:left="4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Data:</w:t>
            </w:r>
          </w:p>
        </w:tc>
        <w:tc>
          <w:tcPr>
            <w:tcW w:w="8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2417" w:type="dxa"/>
          </w:tcPr>
          <w:p>
            <w:pPr>
              <w:pStyle w:val="TableParagraph"/>
              <w:spacing w:before="45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EBITDA</w:t>
            </w:r>
          </w:p>
        </w:tc>
        <w:tc>
          <w:tcPr>
            <w:tcW w:w="898" w:type="dxa"/>
          </w:tcPr>
          <w:p>
            <w:pPr>
              <w:pStyle w:val="TableParagraph"/>
              <w:spacing w:before="45"/>
              <w:ind w:right="177"/>
              <w:rPr>
                <w:sz w:val="16"/>
              </w:rPr>
            </w:pPr>
            <w:r>
              <w:rPr>
                <w:sz w:val="16"/>
              </w:rPr>
              <w:t>29,558</w:t>
            </w:r>
          </w:p>
        </w:tc>
        <w:tc>
          <w:tcPr>
            <w:tcW w:w="938" w:type="dxa"/>
          </w:tcPr>
          <w:p>
            <w:pPr>
              <w:pStyle w:val="TableParagraph"/>
              <w:spacing w:before="45"/>
              <w:ind w:right="178"/>
              <w:rPr>
                <w:sz w:val="16"/>
              </w:rPr>
            </w:pPr>
            <w:r>
              <w:rPr>
                <w:sz w:val="16"/>
              </w:rPr>
              <w:t>36,926</w:t>
            </w:r>
          </w:p>
        </w:tc>
        <w:tc>
          <w:tcPr>
            <w:tcW w:w="939" w:type="dxa"/>
          </w:tcPr>
          <w:p>
            <w:pPr>
              <w:pStyle w:val="TableParagraph"/>
              <w:spacing w:before="45"/>
              <w:ind w:right="180"/>
              <w:rPr>
                <w:sz w:val="16"/>
              </w:rPr>
            </w:pPr>
            <w:r>
              <w:rPr>
                <w:sz w:val="16"/>
              </w:rPr>
              <w:t>43,021</w:t>
            </w:r>
          </w:p>
        </w:tc>
        <w:tc>
          <w:tcPr>
            <w:tcW w:w="940" w:type="dxa"/>
          </w:tcPr>
          <w:p>
            <w:pPr>
              <w:pStyle w:val="TableParagraph"/>
              <w:spacing w:before="45"/>
              <w:ind w:right="182"/>
              <w:rPr>
                <w:sz w:val="16"/>
              </w:rPr>
            </w:pPr>
            <w:r>
              <w:rPr>
                <w:sz w:val="16"/>
              </w:rPr>
              <w:t>38,834</w:t>
            </w:r>
          </w:p>
        </w:tc>
        <w:tc>
          <w:tcPr>
            <w:tcW w:w="914" w:type="dxa"/>
          </w:tcPr>
          <w:p>
            <w:pPr>
              <w:pStyle w:val="TableParagraph"/>
              <w:spacing w:before="45"/>
              <w:ind w:right="158"/>
              <w:rPr>
                <w:sz w:val="16"/>
              </w:rPr>
            </w:pPr>
            <w:r>
              <w:rPr>
                <w:sz w:val="16"/>
              </w:rPr>
              <w:t>58,041</w:t>
            </w:r>
          </w:p>
        </w:tc>
        <w:tc>
          <w:tcPr>
            <w:tcW w:w="1141" w:type="dxa"/>
          </w:tcPr>
          <w:p>
            <w:pPr>
              <w:pStyle w:val="TableParagraph"/>
              <w:spacing w:before="45"/>
              <w:ind w:right="289"/>
              <w:rPr>
                <w:sz w:val="16"/>
              </w:rPr>
            </w:pPr>
            <w:r>
              <w:rPr>
                <w:sz w:val="16"/>
              </w:rPr>
              <w:t>17,526</w:t>
            </w:r>
          </w:p>
        </w:tc>
        <w:tc>
          <w:tcPr>
            <w:tcW w:w="1176" w:type="dxa"/>
          </w:tcPr>
          <w:p>
            <w:pPr>
              <w:pStyle w:val="TableParagraph"/>
              <w:spacing w:before="45"/>
              <w:ind w:right="394"/>
              <w:rPr>
                <w:sz w:val="16"/>
              </w:rPr>
            </w:pPr>
            <w:r>
              <w:rPr>
                <w:sz w:val="16"/>
              </w:rPr>
              <w:t>20,627</w:t>
            </w:r>
          </w:p>
        </w:tc>
      </w:tr>
      <w:tr>
        <w:trPr>
          <w:trHeight w:val="270" w:hRule="atLeast"/>
        </w:trPr>
        <w:tc>
          <w:tcPr>
            <w:tcW w:w="2417" w:type="dxa"/>
          </w:tcPr>
          <w:p>
            <w:pPr>
              <w:pStyle w:val="TableParagraph"/>
              <w:spacing w:before="45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expenditures</w:t>
            </w:r>
          </w:p>
        </w:tc>
        <w:tc>
          <w:tcPr>
            <w:tcW w:w="898" w:type="dxa"/>
          </w:tcPr>
          <w:p>
            <w:pPr>
              <w:pStyle w:val="TableParagraph"/>
              <w:spacing w:before="45"/>
              <w:ind w:right="178"/>
              <w:rPr>
                <w:sz w:val="16"/>
              </w:rPr>
            </w:pPr>
            <w:r>
              <w:rPr>
                <w:sz w:val="16"/>
              </w:rPr>
              <w:t>7,756</w:t>
            </w:r>
          </w:p>
        </w:tc>
        <w:tc>
          <w:tcPr>
            <w:tcW w:w="938" w:type="dxa"/>
          </w:tcPr>
          <w:p>
            <w:pPr>
              <w:pStyle w:val="TableParagraph"/>
              <w:spacing w:before="45"/>
              <w:ind w:right="179"/>
              <w:rPr>
                <w:sz w:val="16"/>
              </w:rPr>
            </w:pPr>
            <w:r>
              <w:rPr>
                <w:sz w:val="16"/>
              </w:rPr>
              <w:t>18,625</w:t>
            </w:r>
          </w:p>
        </w:tc>
        <w:tc>
          <w:tcPr>
            <w:tcW w:w="939" w:type="dxa"/>
          </w:tcPr>
          <w:p>
            <w:pPr>
              <w:pStyle w:val="TableParagraph"/>
              <w:spacing w:before="45"/>
              <w:ind w:right="180"/>
              <w:rPr>
                <w:sz w:val="16"/>
              </w:rPr>
            </w:pPr>
            <w:r>
              <w:rPr>
                <w:sz w:val="16"/>
              </w:rPr>
              <w:t>22,262</w:t>
            </w:r>
          </w:p>
        </w:tc>
        <w:tc>
          <w:tcPr>
            <w:tcW w:w="940" w:type="dxa"/>
          </w:tcPr>
          <w:p>
            <w:pPr>
              <w:pStyle w:val="TableParagraph"/>
              <w:spacing w:before="45"/>
              <w:ind w:right="182"/>
              <w:rPr>
                <w:sz w:val="16"/>
              </w:rPr>
            </w:pPr>
            <w:r>
              <w:rPr>
                <w:sz w:val="16"/>
              </w:rPr>
              <w:t>8,957</w:t>
            </w:r>
          </w:p>
        </w:tc>
        <w:tc>
          <w:tcPr>
            <w:tcW w:w="914" w:type="dxa"/>
          </w:tcPr>
          <w:p>
            <w:pPr>
              <w:pStyle w:val="TableParagraph"/>
              <w:spacing w:before="45"/>
              <w:ind w:right="157"/>
              <w:rPr>
                <w:sz w:val="16"/>
              </w:rPr>
            </w:pPr>
            <w:r>
              <w:rPr>
                <w:sz w:val="16"/>
              </w:rPr>
              <w:t>20,185</w:t>
            </w:r>
          </w:p>
        </w:tc>
        <w:tc>
          <w:tcPr>
            <w:tcW w:w="1141" w:type="dxa"/>
          </w:tcPr>
          <w:p>
            <w:pPr>
              <w:pStyle w:val="TableParagraph"/>
              <w:spacing w:before="45"/>
              <w:ind w:right="289"/>
              <w:rPr>
                <w:sz w:val="16"/>
              </w:rPr>
            </w:pPr>
            <w:r>
              <w:rPr>
                <w:sz w:val="16"/>
              </w:rPr>
              <w:t>5,908</w:t>
            </w:r>
          </w:p>
        </w:tc>
        <w:tc>
          <w:tcPr>
            <w:tcW w:w="1176" w:type="dxa"/>
          </w:tcPr>
          <w:p>
            <w:pPr>
              <w:pStyle w:val="TableParagraph"/>
              <w:spacing w:before="45"/>
              <w:ind w:right="394"/>
              <w:rPr>
                <w:sz w:val="16"/>
              </w:rPr>
            </w:pPr>
            <w:r>
              <w:rPr>
                <w:sz w:val="16"/>
              </w:rPr>
              <w:t>3,549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Working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capital,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net</w:t>
            </w:r>
          </w:p>
        </w:tc>
        <w:tc>
          <w:tcPr>
            <w:tcW w:w="898" w:type="dxa"/>
          </w:tcPr>
          <w:p>
            <w:pPr>
              <w:pStyle w:val="TableParagraph"/>
              <w:ind w:right="179"/>
              <w:rPr>
                <w:sz w:val="16"/>
              </w:rPr>
            </w:pPr>
            <w:r>
              <w:rPr>
                <w:sz w:val="16"/>
              </w:rPr>
              <w:t>70,792</w:t>
            </w:r>
          </w:p>
        </w:tc>
        <w:tc>
          <w:tcPr>
            <w:tcW w:w="93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87,482</w:t>
            </w:r>
          </w:p>
        </w:tc>
        <w:tc>
          <w:tcPr>
            <w:tcW w:w="939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99,480</w:t>
            </w:r>
          </w:p>
        </w:tc>
        <w:tc>
          <w:tcPr>
            <w:tcW w:w="940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sz w:val="16"/>
              </w:rPr>
              <w:t>81,508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sz w:val="16"/>
              </w:rPr>
            </w:pPr>
            <w:r>
              <w:rPr>
                <w:sz w:val="16"/>
              </w:rPr>
              <w:t>84,336</w:t>
            </w:r>
          </w:p>
        </w:tc>
        <w:tc>
          <w:tcPr>
            <w:tcW w:w="1141" w:type="dxa"/>
          </w:tcPr>
          <w:p>
            <w:pPr>
              <w:pStyle w:val="TableParagraph"/>
              <w:ind w:right="290"/>
              <w:rPr>
                <w:sz w:val="16"/>
              </w:rPr>
            </w:pPr>
            <w:r>
              <w:rPr>
                <w:sz w:val="16"/>
              </w:rPr>
              <w:t>93,550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81,470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Property,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plant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&amp;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equipment,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net</w:t>
            </w:r>
          </w:p>
        </w:tc>
        <w:tc>
          <w:tcPr>
            <w:tcW w:w="898" w:type="dxa"/>
          </w:tcPr>
          <w:p>
            <w:pPr>
              <w:pStyle w:val="TableParagraph"/>
              <w:ind w:right="177"/>
              <w:rPr>
                <w:sz w:val="16"/>
              </w:rPr>
            </w:pPr>
            <w:r>
              <w:rPr>
                <w:sz w:val="16"/>
              </w:rPr>
              <w:t>48,221</w:t>
            </w:r>
          </w:p>
        </w:tc>
        <w:tc>
          <w:tcPr>
            <w:tcW w:w="93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sz w:val="16"/>
              </w:rPr>
              <w:t>53,011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59,674</w:t>
            </w:r>
          </w:p>
        </w:tc>
        <w:tc>
          <w:tcPr>
            <w:tcW w:w="940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51,776</w:t>
            </w:r>
          </w:p>
        </w:tc>
        <w:tc>
          <w:tcPr>
            <w:tcW w:w="914" w:type="dxa"/>
          </w:tcPr>
          <w:p>
            <w:pPr>
              <w:pStyle w:val="TableParagraph"/>
              <w:ind w:right="158"/>
              <w:rPr>
                <w:sz w:val="16"/>
              </w:rPr>
            </w:pPr>
            <w:r>
              <w:rPr>
                <w:sz w:val="16"/>
              </w:rPr>
              <w:t>54,441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sz w:val="16"/>
              </w:rPr>
            </w:pPr>
            <w:r>
              <w:rPr>
                <w:sz w:val="16"/>
              </w:rPr>
              <w:t>49,483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48,565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Depreciation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amortization</w:t>
            </w:r>
          </w:p>
        </w:tc>
        <w:tc>
          <w:tcPr>
            <w:tcW w:w="89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9,026</w:t>
            </w:r>
          </w:p>
        </w:tc>
        <w:tc>
          <w:tcPr>
            <w:tcW w:w="938" w:type="dxa"/>
          </w:tcPr>
          <w:p>
            <w:pPr>
              <w:pStyle w:val="TableParagraph"/>
              <w:ind w:right="181"/>
              <w:rPr>
                <w:sz w:val="16"/>
              </w:rPr>
            </w:pPr>
            <w:r>
              <w:rPr>
                <w:sz w:val="16"/>
              </w:rPr>
              <w:t>13,835</w:t>
            </w:r>
          </w:p>
        </w:tc>
        <w:tc>
          <w:tcPr>
            <w:tcW w:w="939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15,599</w:t>
            </w:r>
          </w:p>
        </w:tc>
        <w:tc>
          <w:tcPr>
            <w:tcW w:w="940" w:type="dxa"/>
          </w:tcPr>
          <w:p>
            <w:pPr>
              <w:pStyle w:val="TableParagraph"/>
              <w:ind w:right="184"/>
              <w:rPr>
                <w:sz w:val="16"/>
              </w:rPr>
            </w:pPr>
            <w:r>
              <w:rPr>
                <w:sz w:val="16"/>
              </w:rPr>
              <w:t>16,855</w:t>
            </w:r>
          </w:p>
        </w:tc>
        <w:tc>
          <w:tcPr>
            <w:tcW w:w="914" w:type="dxa"/>
          </w:tcPr>
          <w:p>
            <w:pPr>
              <w:pStyle w:val="TableParagraph"/>
              <w:ind w:right="159"/>
              <w:rPr>
                <w:sz w:val="16"/>
              </w:rPr>
            </w:pPr>
            <w:r>
              <w:rPr>
                <w:sz w:val="16"/>
              </w:rPr>
              <w:t>17,520</w:t>
            </w:r>
          </w:p>
        </w:tc>
        <w:tc>
          <w:tcPr>
            <w:tcW w:w="1141" w:type="dxa"/>
          </w:tcPr>
          <w:p>
            <w:pPr>
              <w:pStyle w:val="TableParagraph"/>
              <w:ind w:right="291"/>
              <w:rPr>
                <w:sz w:val="16"/>
              </w:rPr>
            </w:pPr>
            <w:r>
              <w:rPr>
                <w:sz w:val="16"/>
              </w:rPr>
              <w:t>8,102</w:t>
            </w:r>
          </w:p>
        </w:tc>
        <w:tc>
          <w:tcPr>
            <w:tcW w:w="1176" w:type="dxa"/>
          </w:tcPr>
          <w:p>
            <w:pPr>
              <w:pStyle w:val="TableParagraph"/>
              <w:ind w:right="395"/>
              <w:rPr>
                <w:sz w:val="16"/>
              </w:rPr>
            </w:pPr>
            <w:r>
              <w:rPr>
                <w:sz w:val="16"/>
              </w:rPr>
              <w:t>9,425</w:t>
            </w:r>
          </w:p>
        </w:tc>
      </w:tr>
      <w:tr>
        <w:trPr>
          <w:trHeight w:val="260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debt</w:t>
            </w:r>
          </w:p>
        </w:tc>
        <w:tc>
          <w:tcPr>
            <w:tcW w:w="898" w:type="dxa"/>
          </w:tcPr>
          <w:p>
            <w:pPr>
              <w:pStyle w:val="TableParagraph"/>
              <w:ind w:right="177"/>
              <w:rPr>
                <w:sz w:val="16"/>
              </w:rPr>
            </w:pPr>
            <w:r>
              <w:rPr>
                <w:sz w:val="16"/>
              </w:rPr>
              <w:t>145,000</w:t>
            </w:r>
          </w:p>
        </w:tc>
        <w:tc>
          <w:tcPr>
            <w:tcW w:w="938" w:type="dxa"/>
          </w:tcPr>
          <w:p>
            <w:pPr>
              <w:pStyle w:val="TableParagraph"/>
              <w:ind w:right="178"/>
              <w:rPr>
                <w:sz w:val="16"/>
              </w:rPr>
            </w:pPr>
            <w:r>
              <w:rPr>
                <w:sz w:val="16"/>
              </w:rPr>
              <w:t>157,100</w:t>
            </w:r>
          </w:p>
        </w:tc>
        <w:tc>
          <w:tcPr>
            <w:tcW w:w="939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167,600</w:t>
            </w:r>
          </w:p>
        </w:tc>
        <w:tc>
          <w:tcPr>
            <w:tcW w:w="940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142,300</w:t>
            </w:r>
          </w:p>
        </w:tc>
        <w:tc>
          <w:tcPr>
            <w:tcW w:w="914" w:type="dxa"/>
          </w:tcPr>
          <w:p>
            <w:pPr>
              <w:pStyle w:val="TableParagraph"/>
              <w:ind w:right="157"/>
              <w:rPr>
                <w:sz w:val="16"/>
              </w:rPr>
            </w:pPr>
            <w:r>
              <w:rPr>
                <w:sz w:val="16"/>
              </w:rPr>
              <w:t>141,400</w:t>
            </w:r>
          </w:p>
        </w:tc>
        <w:tc>
          <w:tcPr>
            <w:tcW w:w="1141" w:type="dxa"/>
          </w:tcPr>
          <w:p>
            <w:pPr>
              <w:pStyle w:val="TableParagraph"/>
              <w:ind w:right="289"/>
              <w:rPr>
                <w:sz w:val="16"/>
              </w:rPr>
            </w:pPr>
            <w:r>
              <w:rPr>
                <w:sz w:val="16"/>
              </w:rPr>
              <w:t>156,250</w:t>
            </w:r>
          </w:p>
        </w:tc>
        <w:tc>
          <w:tcPr>
            <w:tcW w:w="1176" w:type="dxa"/>
          </w:tcPr>
          <w:p>
            <w:pPr>
              <w:pStyle w:val="TableParagraph"/>
              <w:ind w:right="394"/>
              <w:rPr>
                <w:sz w:val="16"/>
              </w:rPr>
            </w:pPr>
            <w:r>
              <w:rPr>
                <w:sz w:val="16"/>
              </w:rPr>
              <w:t>156,700</w:t>
            </w:r>
          </w:p>
        </w:tc>
      </w:tr>
      <w:tr>
        <w:trPr>
          <w:trHeight w:val="259" w:hRule="atLeast"/>
        </w:trPr>
        <w:tc>
          <w:tcPr>
            <w:tcW w:w="2417" w:type="dxa"/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Redeemable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preferred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stock</w:t>
            </w:r>
          </w:p>
        </w:tc>
        <w:tc>
          <w:tcPr>
            <w:tcW w:w="89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18,234</w:t>
            </w:r>
          </w:p>
        </w:tc>
        <w:tc>
          <w:tcPr>
            <w:tcW w:w="938" w:type="dxa"/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18,462</w:t>
            </w:r>
          </w:p>
        </w:tc>
        <w:tc>
          <w:tcPr>
            <w:tcW w:w="939" w:type="dxa"/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18,682</w:t>
            </w:r>
          </w:p>
        </w:tc>
        <w:tc>
          <w:tcPr>
            <w:tcW w:w="940" w:type="dxa"/>
          </w:tcPr>
          <w:p>
            <w:pPr>
              <w:pStyle w:val="TableParagraph"/>
              <w:ind w:right="184"/>
              <w:rPr>
                <w:sz w:val="16"/>
              </w:rPr>
            </w:pPr>
            <w:r>
              <w:rPr>
                <w:sz w:val="16"/>
              </w:rPr>
              <w:t>18,902</w:t>
            </w:r>
          </w:p>
        </w:tc>
        <w:tc>
          <w:tcPr>
            <w:tcW w:w="914" w:type="dxa"/>
          </w:tcPr>
          <w:p>
            <w:pPr>
              <w:pStyle w:val="TableParagraph"/>
              <w:ind w:right="160"/>
              <w:rPr>
                <w:sz w:val="16"/>
              </w:rPr>
            </w:pPr>
            <w:r>
              <w:rPr>
                <w:sz w:val="16"/>
              </w:rPr>
              <w:t>19,116</w:t>
            </w:r>
          </w:p>
        </w:tc>
        <w:tc>
          <w:tcPr>
            <w:tcW w:w="1141" w:type="dxa"/>
          </w:tcPr>
          <w:p>
            <w:pPr>
              <w:pStyle w:val="TableParagraph"/>
              <w:ind w:right="292"/>
              <w:rPr>
                <w:sz w:val="16"/>
              </w:rPr>
            </w:pPr>
            <w:r>
              <w:rPr>
                <w:sz w:val="16"/>
              </w:rPr>
              <w:t>19,016</w:t>
            </w:r>
          </w:p>
        </w:tc>
        <w:tc>
          <w:tcPr>
            <w:tcW w:w="1176" w:type="dxa"/>
          </w:tcPr>
          <w:p>
            <w:pPr>
              <w:pStyle w:val="TableParagraph"/>
              <w:ind w:right="396"/>
              <w:rPr>
                <w:sz w:val="16"/>
              </w:rPr>
            </w:pPr>
            <w:r>
              <w:rPr>
                <w:sz w:val="16"/>
              </w:rPr>
              <w:t>19,236</w:t>
            </w:r>
          </w:p>
        </w:tc>
      </w:tr>
      <w:tr>
        <w:trPr>
          <w:trHeight w:val="409" w:hRule="atLeast"/>
        </w:trPr>
        <w:tc>
          <w:tcPr>
            <w:tcW w:w="241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6"/>
              <w:jc w:val="left"/>
              <w:rPr>
                <w:sz w:val="16"/>
              </w:rPr>
            </w:pPr>
            <w:r>
              <w:rPr>
                <w:sz w:val="16"/>
              </w:rPr>
              <w:t>Common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stockholders’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equity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57,488</w:t>
            </w:r>
          </w:p>
        </w:tc>
        <w:tc>
          <w:tcPr>
            <w:tcW w:w="938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0"/>
              <w:rPr>
                <w:sz w:val="16"/>
              </w:rPr>
            </w:pPr>
            <w:r>
              <w:rPr>
                <w:sz w:val="16"/>
              </w:rPr>
              <w:t>56,721</w:t>
            </w:r>
          </w:p>
        </w:tc>
        <w:tc>
          <w:tcPr>
            <w:tcW w:w="93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2"/>
              <w:rPr>
                <w:sz w:val="16"/>
              </w:rPr>
            </w:pPr>
            <w:r>
              <w:rPr>
                <w:sz w:val="16"/>
              </w:rPr>
              <w:t>58,739</w:t>
            </w: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84"/>
              <w:rPr>
                <w:sz w:val="16"/>
              </w:rPr>
            </w:pPr>
            <w:r>
              <w:rPr>
                <w:sz w:val="16"/>
              </w:rPr>
              <w:t>53,615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59"/>
              <w:rPr>
                <w:sz w:val="16"/>
              </w:rPr>
            </w:pPr>
            <w:r>
              <w:rPr>
                <w:sz w:val="16"/>
              </w:rPr>
              <w:t>65,397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91"/>
              <w:rPr>
                <w:sz w:val="16"/>
              </w:rPr>
            </w:pPr>
            <w:r>
              <w:rPr>
                <w:sz w:val="16"/>
              </w:rPr>
              <w:t>52,832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95"/>
              <w:rPr>
                <w:sz w:val="16"/>
              </w:rPr>
            </w:pPr>
            <w:r>
              <w:rPr>
                <w:sz w:val="16"/>
              </w:rPr>
              <w:t>63,525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tabs>
          <w:tab w:pos="860" w:val="left" w:leader="none"/>
        </w:tabs>
        <w:spacing w:before="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  <w:r>
        <w:rPr/>
        <w:pict>
          <v:rect style="position:absolute;margin-left:70.5pt;margin-top:17.944439pt;width:453pt;height:.47998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10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70400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spacing w:before="12"/>
        <w:rPr>
          <w:rFonts w:ascii="Palatino Linotype"/>
          <w:b/>
          <w:sz w:val="33"/>
        </w:rPr>
      </w:pPr>
    </w:p>
    <w:p>
      <w:pPr>
        <w:tabs>
          <w:tab w:pos="1555" w:val="left" w:leader="none"/>
        </w:tabs>
        <w:spacing w:before="0"/>
        <w:ind w:left="500" w:right="0" w:firstLine="0"/>
        <w:jc w:val="lef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Exhibit</w:t>
      </w:r>
      <w:r>
        <w:rPr>
          <w:rFonts w:ascii="Palatino Linotype" w:hAnsi="Palatino Linotype"/>
          <w:b/>
          <w:spacing w:val="-13"/>
          <w:w w:val="105"/>
          <w:sz w:val="20"/>
        </w:rPr>
        <w:t> </w:t>
      </w:r>
      <w:r>
        <w:rPr>
          <w:rFonts w:ascii="Palatino Linotype" w:hAnsi="Palatino Linotype"/>
          <w:b/>
          <w:w w:val="105"/>
          <w:sz w:val="20"/>
        </w:rPr>
        <w:t>5</w:t>
        <w:tab/>
      </w:r>
      <w:r>
        <w:rPr>
          <w:w w:val="105"/>
          <w:sz w:val="20"/>
        </w:rPr>
        <w:t>Carter’s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Growth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Strategy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149" w:val="left" w:leader="none"/>
        </w:tabs>
        <w:spacing w:line="249" w:lineRule="auto" w:before="0" w:after="0"/>
        <w:ind w:left="1148" w:right="136" w:hanging="36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Capitalize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on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leading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market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position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sz w:val="20"/>
        </w:rPr>
        <w:t>Noting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top</w:t>
      </w:r>
      <w:r>
        <w:rPr>
          <w:spacing w:val="1"/>
          <w:sz w:val="20"/>
        </w:rPr>
        <w:t> </w:t>
      </w:r>
      <w:r>
        <w:rPr>
          <w:sz w:val="20"/>
        </w:rPr>
        <w:t>eight</w:t>
      </w:r>
      <w:r>
        <w:rPr>
          <w:spacing w:val="1"/>
          <w:sz w:val="20"/>
        </w:rPr>
        <w:t> </w:t>
      </w:r>
      <w:r>
        <w:rPr>
          <w:sz w:val="20"/>
        </w:rPr>
        <w:t>wholesale</w:t>
      </w:r>
      <w:r>
        <w:rPr>
          <w:spacing w:val="1"/>
          <w:sz w:val="20"/>
        </w:rPr>
        <w:t> </w:t>
      </w:r>
      <w:r>
        <w:rPr>
          <w:sz w:val="20"/>
        </w:rPr>
        <w:t>customers</w:t>
      </w:r>
      <w:r>
        <w:rPr>
          <w:spacing w:val="1"/>
          <w:sz w:val="20"/>
        </w:rPr>
        <w:t> </w:t>
      </w:r>
      <w:r>
        <w:rPr>
          <w:sz w:val="20"/>
        </w:rPr>
        <w:t>represented</w:t>
      </w:r>
      <w:r>
        <w:rPr>
          <w:spacing w:val="33"/>
          <w:sz w:val="20"/>
        </w:rPr>
        <w:t> </w:t>
      </w:r>
      <w:r>
        <w:rPr>
          <w:sz w:val="20"/>
        </w:rPr>
        <w:t>74%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wholesale</w:t>
      </w:r>
      <w:r>
        <w:rPr>
          <w:spacing w:val="34"/>
          <w:sz w:val="20"/>
        </w:rPr>
        <w:t> </w:t>
      </w:r>
      <w:r>
        <w:rPr>
          <w:sz w:val="20"/>
        </w:rPr>
        <w:t>revenue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that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company</w:t>
      </w:r>
      <w:r>
        <w:rPr>
          <w:spacing w:val="33"/>
          <w:sz w:val="20"/>
        </w:rPr>
        <w:t> </w:t>
      </w:r>
      <w:r>
        <w:rPr>
          <w:sz w:val="20"/>
        </w:rPr>
        <w:t>was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leading</w:t>
      </w:r>
      <w:r>
        <w:rPr>
          <w:spacing w:val="33"/>
          <w:sz w:val="20"/>
        </w:rPr>
        <w:t> </w:t>
      </w:r>
      <w:r>
        <w:rPr>
          <w:sz w:val="20"/>
        </w:rPr>
        <w:t>retailer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baby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young</w:t>
      </w:r>
      <w:r>
        <w:rPr>
          <w:spacing w:val="1"/>
          <w:sz w:val="20"/>
        </w:rPr>
        <w:t> </w:t>
      </w:r>
      <w:r>
        <w:rPr>
          <w:sz w:val="20"/>
        </w:rPr>
        <w:t>children’s</w:t>
      </w:r>
      <w:r>
        <w:rPr>
          <w:spacing w:val="1"/>
          <w:sz w:val="20"/>
        </w:rPr>
        <w:t> </w:t>
      </w:r>
      <w:r>
        <w:rPr>
          <w:sz w:val="20"/>
        </w:rPr>
        <w:t>apparel</w:t>
      </w:r>
      <w:r>
        <w:rPr>
          <w:spacing w:val="1"/>
          <w:sz w:val="20"/>
        </w:rPr>
        <w:t> </w:t>
      </w:r>
      <w:r>
        <w:rPr>
          <w:sz w:val="20"/>
        </w:rPr>
        <w:t>market,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intended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“build</w:t>
      </w:r>
      <w:r>
        <w:rPr>
          <w:spacing w:val="44"/>
          <w:sz w:val="20"/>
        </w:rPr>
        <w:t> </w:t>
      </w:r>
      <w:r>
        <w:rPr>
          <w:sz w:val="20"/>
        </w:rPr>
        <w:t>on</w:t>
      </w:r>
      <w:r>
        <w:rPr>
          <w:spacing w:val="44"/>
          <w:sz w:val="20"/>
        </w:rPr>
        <w:t> </w:t>
      </w:r>
      <w:r>
        <w:rPr>
          <w:sz w:val="20"/>
        </w:rPr>
        <w:t>relationships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major</w:t>
      </w:r>
      <w:r>
        <w:rPr>
          <w:spacing w:val="12"/>
          <w:sz w:val="20"/>
        </w:rPr>
        <w:t> </w:t>
      </w:r>
      <w:r>
        <w:rPr>
          <w:sz w:val="20"/>
        </w:rPr>
        <w:t>customers,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develop</w:t>
      </w:r>
      <w:r>
        <w:rPr>
          <w:spacing w:val="11"/>
          <w:sz w:val="20"/>
        </w:rPr>
        <w:t> </w:t>
      </w:r>
      <w:r>
        <w:rPr>
          <w:sz w:val="20"/>
        </w:rPr>
        <w:t>our</w:t>
      </w:r>
      <w:r>
        <w:rPr>
          <w:spacing w:val="11"/>
          <w:sz w:val="20"/>
        </w:rPr>
        <w:t> </w:t>
      </w:r>
      <w:r>
        <w:rPr>
          <w:sz w:val="20"/>
        </w:rPr>
        <w:t>network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profitable</w:t>
      </w:r>
      <w:r>
        <w:rPr>
          <w:spacing w:val="11"/>
          <w:sz w:val="20"/>
        </w:rPr>
        <w:t> </w:t>
      </w:r>
      <w:r>
        <w:rPr>
          <w:sz w:val="20"/>
        </w:rPr>
        <w:t>retail</w:t>
      </w:r>
      <w:r>
        <w:rPr>
          <w:spacing w:val="11"/>
          <w:sz w:val="20"/>
        </w:rPr>
        <w:t> </w:t>
      </w:r>
      <w:r>
        <w:rPr>
          <w:sz w:val="20"/>
        </w:rPr>
        <w:t>outlet</w:t>
      </w:r>
      <w:r>
        <w:rPr>
          <w:spacing w:val="11"/>
          <w:sz w:val="20"/>
        </w:rPr>
        <w:t> </w:t>
      </w:r>
      <w:r>
        <w:rPr>
          <w:sz w:val="20"/>
        </w:rPr>
        <w:t>stores.”</w:t>
      </w:r>
    </w:p>
    <w:p>
      <w:pPr>
        <w:pStyle w:val="ListParagraph"/>
        <w:numPr>
          <w:ilvl w:val="0"/>
          <w:numId w:val="3"/>
        </w:numPr>
        <w:tabs>
          <w:tab w:pos="1148" w:val="left" w:leader="none"/>
        </w:tabs>
        <w:spacing w:line="240" w:lineRule="auto" w:before="171" w:after="0"/>
        <w:ind w:left="1147" w:right="138" w:hanging="360"/>
        <w:jc w:val="both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Diversify distribution channels</w:t>
      </w:r>
      <w:r>
        <w:rPr>
          <w:rFonts w:ascii="Palatino Linotype" w:hAnsi="Palatino Linotype"/>
          <w:b/>
          <w:spacing w:val="1"/>
          <w:w w:val="105"/>
          <w:sz w:val="20"/>
        </w:rPr>
        <w:t> </w:t>
      </w:r>
      <w:r>
        <w:rPr>
          <w:w w:val="105"/>
          <w:sz w:val="20"/>
        </w:rPr>
        <w:t>Management estimated the discount market for baby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young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children’s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apparel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approximately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$5.3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billion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annually.</w:t>
      </w:r>
    </w:p>
    <w:p>
      <w:pPr>
        <w:pStyle w:val="ListParagraph"/>
        <w:numPr>
          <w:ilvl w:val="0"/>
          <w:numId w:val="3"/>
        </w:numPr>
        <w:tabs>
          <w:tab w:pos="1148" w:val="left" w:leader="none"/>
        </w:tabs>
        <w:spacing w:line="249" w:lineRule="auto" w:before="183" w:after="0"/>
        <w:ind w:left="1147" w:right="134" w:hanging="36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Continue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to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extend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Carter’s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into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the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two-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to</w:t>
      </w:r>
      <w:r>
        <w:rPr>
          <w:rFonts w:ascii="Palatino Linotype" w:hAnsi="Palatino Linotype"/>
          <w:b/>
          <w:spacing w:val="1"/>
          <w:sz w:val="20"/>
        </w:rPr>
        <w:t> </w:t>
      </w:r>
      <w:r>
        <w:rPr>
          <w:rFonts w:ascii="Palatino Linotype" w:hAnsi="Palatino Linotype"/>
          <w:b/>
          <w:sz w:val="20"/>
        </w:rPr>
        <w:t>six-year-old</w:t>
      </w:r>
      <w:r>
        <w:rPr>
          <w:rFonts w:ascii="Palatino Linotype" w:hAnsi="Palatino Linotype"/>
          <w:b/>
          <w:spacing w:val="50"/>
          <w:sz w:val="20"/>
        </w:rPr>
        <w:t> </w:t>
      </w:r>
      <w:r>
        <w:rPr>
          <w:rFonts w:ascii="Palatino Linotype" w:hAnsi="Palatino Linotype"/>
          <w:b/>
          <w:sz w:val="20"/>
        </w:rPr>
        <w:t>playwear</w:t>
      </w:r>
      <w:r>
        <w:rPr>
          <w:rFonts w:ascii="Palatino Linotype" w:hAnsi="Palatino Linotype"/>
          <w:b/>
          <w:spacing w:val="50"/>
          <w:sz w:val="20"/>
        </w:rPr>
        <w:t> </w:t>
      </w:r>
      <w:r>
        <w:rPr>
          <w:rFonts w:ascii="Palatino Linotype" w:hAnsi="Palatino Linotype"/>
          <w:b/>
          <w:sz w:val="20"/>
        </w:rPr>
        <w:t>market</w:t>
      </w:r>
      <w:r>
        <w:rPr>
          <w:rFonts w:ascii="Palatino Linotype" w:hAnsi="Palatino Linotype"/>
          <w:b/>
          <w:spacing w:val="51"/>
          <w:sz w:val="20"/>
        </w:rPr>
        <w:t> </w:t>
      </w:r>
      <w:r>
        <w:rPr>
          <w:sz w:val="20"/>
        </w:rPr>
        <w:t>Carter’s</w:t>
      </w:r>
      <w:r>
        <w:rPr>
          <w:spacing w:val="1"/>
          <w:sz w:val="20"/>
        </w:rPr>
        <w:t> </w:t>
      </w:r>
      <w:r>
        <w:rPr>
          <w:sz w:val="20"/>
        </w:rPr>
        <w:t>estimated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size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combined</w:t>
      </w:r>
      <w:r>
        <w:rPr>
          <w:spacing w:val="1"/>
          <w:sz w:val="20"/>
        </w:rPr>
        <w:t> </w:t>
      </w:r>
      <w:r>
        <w:rPr>
          <w:sz w:val="20"/>
        </w:rPr>
        <w:t>baby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young</w:t>
      </w:r>
      <w:r>
        <w:rPr>
          <w:spacing w:val="44"/>
          <w:sz w:val="20"/>
        </w:rPr>
        <w:t> </w:t>
      </w:r>
      <w:r>
        <w:rPr>
          <w:sz w:val="20"/>
        </w:rPr>
        <w:t>children’s</w:t>
      </w:r>
      <w:r>
        <w:rPr>
          <w:spacing w:val="44"/>
          <w:sz w:val="20"/>
        </w:rPr>
        <w:t> </w:t>
      </w:r>
      <w:r>
        <w:rPr>
          <w:sz w:val="20"/>
        </w:rPr>
        <w:t>playwear</w:t>
      </w:r>
      <w:r>
        <w:rPr>
          <w:spacing w:val="44"/>
          <w:sz w:val="20"/>
        </w:rPr>
        <w:t> </w:t>
      </w:r>
      <w:r>
        <w:rPr>
          <w:sz w:val="20"/>
        </w:rPr>
        <w:t>segments</w:t>
      </w:r>
      <w:r>
        <w:rPr>
          <w:spacing w:val="44"/>
          <w:sz w:val="20"/>
        </w:rPr>
        <w:t> </w:t>
      </w:r>
      <w:r>
        <w:rPr>
          <w:sz w:val="20"/>
        </w:rPr>
        <w:t>at</w:t>
      </w:r>
      <w:r>
        <w:rPr>
          <w:spacing w:val="44"/>
          <w:sz w:val="20"/>
        </w:rPr>
        <w:t> </w:t>
      </w:r>
      <w:r>
        <w:rPr>
          <w:sz w:val="20"/>
        </w:rPr>
        <w:t>$9.5</w:t>
      </w:r>
      <w:r>
        <w:rPr>
          <w:spacing w:val="1"/>
          <w:sz w:val="20"/>
        </w:rPr>
        <w:t> </w:t>
      </w:r>
      <w:r>
        <w:rPr>
          <w:sz w:val="20"/>
        </w:rPr>
        <w:t>billion</w:t>
      </w:r>
      <w:r>
        <w:rPr>
          <w:spacing w:val="33"/>
          <w:sz w:val="20"/>
        </w:rPr>
        <w:t> </w:t>
      </w:r>
      <w:r>
        <w:rPr>
          <w:sz w:val="20"/>
        </w:rPr>
        <w:t>annually.</w:t>
      </w:r>
      <w:r>
        <w:rPr>
          <w:spacing w:val="34"/>
          <w:sz w:val="20"/>
        </w:rPr>
        <w:t> </w:t>
      </w:r>
      <w:r>
        <w:rPr>
          <w:sz w:val="20"/>
        </w:rPr>
        <w:t>Management</w:t>
      </w:r>
      <w:r>
        <w:rPr>
          <w:spacing w:val="34"/>
          <w:sz w:val="20"/>
        </w:rPr>
        <w:t> </w:t>
      </w:r>
      <w:r>
        <w:rPr>
          <w:sz w:val="20"/>
        </w:rPr>
        <w:t>also</w:t>
      </w:r>
      <w:r>
        <w:rPr>
          <w:spacing w:val="33"/>
          <w:sz w:val="20"/>
        </w:rPr>
        <w:t> </w:t>
      </w:r>
      <w:r>
        <w:rPr>
          <w:sz w:val="20"/>
        </w:rPr>
        <w:t>observed</w:t>
      </w:r>
      <w:r>
        <w:rPr>
          <w:spacing w:val="34"/>
          <w:sz w:val="20"/>
        </w:rPr>
        <w:t> </w:t>
      </w:r>
      <w:r>
        <w:rPr>
          <w:sz w:val="20"/>
        </w:rPr>
        <w:t>that</w:t>
      </w:r>
      <w:r>
        <w:rPr>
          <w:spacing w:val="34"/>
          <w:sz w:val="20"/>
        </w:rPr>
        <w:t> </w:t>
      </w:r>
      <w:r>
        <w:rPr>
          <w:sz w:val="20"/>
        </w:rPr>
        <w:t>no</w:t>
      </w:r>
      <w:r>
        <w:rPr>
          <w:spacing w:val="34"/>
          <w:sz w:val="20"/>
        </w:rPr>
        <w:t> </w:t>
      </w:r>
      <w:r>
        <w:rPr>
          <w:sz w:val="20"/>
        </w:rPr>
        <w:t>single</w:t>
      </w:r>
      <w:r>
        <w:rPr>
          <w:spacing w:val="33"/>
          <w:sz w:val="20"/>
        </w:rPr>
        <w:t> </w:t>
      </w:r>
      <w:r>
        <w:rPr>
          <w:sz w:val="20"/>
        </w:rPr>
        <w:t>competitor</w:t>
      </w:r>
      <w:r>
        <w:rPr>
          <w:spacing w:val="34"/>
          <w:sz w:val="20"/>
        </w:rPr>
        <w:t> </w:t>
      </w:r>
      <w:r>
        <w:rPr>
          <w:sz w:val="20"/>
        </w:rPr>
        <w:t>represented</w:t>
      </w:r>
      <w:r>
        <w:rPr>
          <w:spacing w:val="34"/>
          <w:sz w:val="20"/>
        </w:rPr>
        <w:t> </w:t>
      </w:r>
      <w:r>
        <w:rPr>
          <w:sz w:val="20"/>
        </w:rPr>
        <w:t>more</w:t>
      </w:r>
      <w:r>
        <w:rPr>
          <w:spacing w:val="34"/>
          <w:sz w:val="20"/>
        </w:rPr>
        <w:t> </w:t>
      </w:r>
      <w:r>
        <w:rPr>
          <w:sz w:val="20"/>
        </w:rPr>
        <w:t>than</w:t>
      </w:r>
      <w:r>
        <w:rPr>
          <w:spacing w:val="-42"/>
          <w:sz w:val="20"/>
        </w:rPr>
        <w:t> </w:t>
      </w:r>
      <w:r>
        <w:rPr>
          <w:sz w:val="20"/>
        </w:rPr>
        <w:t>7%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baby</w:t>
      </w:r>
      <w:r>
        <w:rPr>
          <w:spacing w:val="10"/>
          <w:sz w:val="20"/>
        </w:rPr>
        <w:t> </w:t>
      </w:r>
      <w:r>
        <w:rPr>
          <w:sz w:val="20"/>
        </w:rPr>
        <w:t>playwear</w:t>
      </w:r>
      <w:r>
        <w:rPr>
          <w:spacing w:val="10"/>
          <w:sz w:val="20"/>
        </w:rPr>
        <w:t> </w:t>
      </w:r>
      <w:r>
        <w:rPr>
          <w:sz w:val="20"/>
        </w:rPr>
        <w:t>market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5%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young</w:t>
      </w:r>
      <w:r>
        <w:rPr>
          <w:spacing w:val="10"/>
          <w:sz w:val="20"/>
        </w:rPr>
        <w:t> </w:t>
      </w:r>
      <w:r>
        <w:rPr>
          <w:sz w:val="20"/>
        </w:rPr>
        <w:t>children’s</w:t>
      </w:r>
      <w:r>
        <w:rPr>
          <w:spacing w:val="10"/>
          <w:sz w:val="20"/>
        </w:rPr>
        <w:t> </w:t>
      </w:r>
      <w:r>
        <w:rPr>
          <w:sz w:val="20"/>
        </w:rPr>
        <w:t>playwear</w:t>
      </w:r>
      <w:r>
        <w:rPr>
          <w:spacing w:val="10"/>
          <w:sz w:val="20"/>
        </w:rPr>
        <w:t> </w:t>
      </w:r>
      <w:r>
        <w:rPr>
          <w:sz w:val="20"/>
        </w:rPr>
        <w:t>market.</w:t>
      </w:r>
    </w:p>
    <w:p>
      <w:pPr>
        <w:pStyle w:val="ListParagraph"/>
        <w:numPr>
          <w:ilvl w:val="0"/>
          <w:numId w:val="3"/>
        </w:numPr>
        <w:tabs>
          <w:tab w:pos="1148" w:val="left" w:leader="none"/>
        </w:tabs>
        <w:spacing w:line="249" w:lineRule="auto" w:before="171" w:after="0"/>
        <w:ind w:left="1147" w:right="138" w:hanging="360"/>
        <w:jc w:val="both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Increase operating efficiencies</w:t>
      </w:r>
      <w:r>
        <w:rPr>
          <w:rFonts w:ascii="Palatino Linotype" w:hAnsi="Palatino Linotype"/>
          <w:b/>
          <w:spacing w:val="1"/>
          <w:w w:val="105"/>
          <w:sz w:val="20"/>
        </w:rPr>
        <w:t> </w:t>
      </w:r>
      <w:r>
        <w:rPr>
          <w:w w:val="105"/>
          <w:sz w:val="20"/>
        </w:rPr>
        <w:t>2003 was the target date for 100% offshore sourcing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manufacturing.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addition,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development cycle by implementing initiatives to shorten each stage of the development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calendar.</w:t>
      </w:r>
    </w:p>
    <w:p>
      <w:pPr>
        <w:pStyle w:val="BodyText"/>
        <w:spacing w:before="4"/>
        <w:rPr>
          <w:sz w:val="27"/>
        </w:rPr>
      </w:pPr>
    </w:p>
    <w:p>
      <w:pPr>
        <w:tabs>
          <w:tab w:pos="1220" w:val="left" w:leader="none"/>
        </w:tabs>
        <w:spacing w:before="0"/>
        <w:ind w:left="50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555" w:val="left" w:leader="none"/>
        </w:tabs>
        <w:ind w:left="500"/>
      </w:pPr>
      <w:r>
        <w:rPr>
          <w:rFonts w:ascii="Palatino Linotype"/>
          <w:b/>
          <w:w w:val="105"/>
        </w:rPr>
        <w:t>Exhibit</w:t>
      </w:r>
      <w:r>
        <w:rPr>
          <w:rFonts w:ascii="Palatino Linotype"/>
          <w:b/>
          <w:spacing w:val="-13"/>
          <w:w w:val="105"/>
        </w:rPr>
        <w:t> </w:t>
      </w:r>
      <w:r>
        <w:rPr>
          <w:rFonts w:ascii="Palatino Linotype"/>
          <w:b/>
          <w:w w:val="105"/>
        </w:rPr>
        <w:t>6</w:t>
        <w:tab/>
      </w:r>
      <w:r>
        <w:rPr>
          <w:w w:val="105"/>
        </w:rPr>
        <w:t>Goldman</w:t>
      </w:r>
      <w:r>
        <w:rPr>
          <w:spacing w:val="-3"/>
          <w:w w:val="105"/>
        </w:rPr>
        <w:t> </w:t>
      </w:r>
      <w:r>
        <w:rPr>
          <w:w w:val="105"/>
        </w:rPr>
        <w:t>Sachs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millions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dollars)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7"/>
        <w:gridCol w:w="1420"/>
        <w:gridCol w:w="1915"/>
        <w:gridCol w:w="2383"/>
      </w:tblGrid>
      <w:tr>
        <w:trPr>
          <w:trHeight w:val="340" w:hRule="atLeast"/>
        </w:trPr>
        <w:tc>
          <w:tcPr>
            <w:tcW w:w="32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108"/>
              <w:ind w:left="119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Tranche</w:t>
            </w:r>
          </w:p>
        </w:tc>
        <w:tc>
          <w:tcPr>
            <w:tcW w:w="1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108"/>
              <w:ind w:left="109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Amount</w:t>
            </w:r>
          </w:p>
        </w:tc>
        <w:tc>
          <w:tcPr>
            <w:tcW w:w="19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108"/>
              <w:ind w:left="630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Maturity</w:t>
            </w:r>
          </w:p>
        </w:tc>
        <w:tc>
          <w:tcPr>
            <w:tcW w:w="2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108"/>
              <w:ind w:right="36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Fully</w:t>
            </w:r>
            <w:r>
              <w:rPr>
                <w:rFonts w:ascii="Palatino Linotype"/>
                <w:b/>
                <w:spacing w:val="-1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Drawn</w:t>
            </w:r>
            <w:r>
              <w:rPr>
                <w:rFonts w:ascii="Palatino Linotype"/>
                <w:b/>
                <w:spacing w:val="-1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Cost</w:t>
            </w:r>
          </w:p>
        </w:tc>
      </w:tr>
      <w:tr>
        <w:trPr>
          <w:trHeight w:val="444" w:hRule="atLeast"/>
        </w:trPr>
        <w:tc>
          <w:tcPr>
            <w:tcW w:w="3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64"/>
              <w:ind w:left="47"/>
              <w:jc w:val="left"/>
              <w:rPr>
                <w:rFonts w:ascii="Cambria"/>
                <w:sz w:val="14"/>
              </w:rPr>
            </w:pPr>
            <w:r>
              <w:rPr>
                <w:sz w:val="18"/>
              </w:rPr>
              <w:t>Revolver</w:t>
            </w:r>
            <w:r>
              <w:rPr>
                <w:rFonts w:ascii="Cambria"/>
                <w:position w:val="6"/>
                <w:sz w:val="14"/>
              </w:rPr>
              <w:t>a</w:t>
            </w:r>
          </w:p>
        </w:tc>
        <w:tc>
          <w:tcPr>
            <w:tcW w:w="14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325"/>
              <w:jc w:val="left"/>
              <w:rPr>
                <w:sz w:val="18"/>
              </w:rPr>
            </w:pPr>
            <w:r>
              <w:rPr>
                <w:sz w:val="18"/>
              </w:rPr>
              <w:t>60.0</w:t>
            </w:r>
          </w:p>
        </w:tc>
        <w:tc>
          <w:tcPr>
            <w:tcW w:w="19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64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years</w:t>
            </w:r>
          </w:p>
        </w:tc>
        <w:tc>
          <w:tcPr>
            <w:tcW w:w="2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555"/>
              <w:jc w:val="left"/>
              <w:rPr>
                <w:sz w:val="18"/>
              </w:rPr>
            </w:pPr>
            <w:r>
              <w:rPr>
                <w:sz w:val="18"/>
              </w:rPr>
              <w:t>LIBOR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3.00%</w:t>
            </w:r>
          </w:p>
        </w:tc>
      </w:tr>
      <w:tr>
        <w:trPr>
          <w:trHeight w:val="300" w:hRule="atLeast"/>
        </w:trPr>
        <w:tc>
          <w:tcPr>
            <w:tcW w:w="3277" w:type="dxa"/>
          </w:tcPr>
          <w:p>
            <w:pPr>
              <w:pStyle w:val="TableParagraph"/>
              <w:spacing w:before="4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>Term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  <w:tc>
          <w:tcPr>
            <w:tcW w:w="1420" w:type="dxa"/>
          </w:tcPr>
          <w:p>
            <w:pPr>
              <w:pStyle w:val="TableParagraph"/>
              <w:spacing w:before="43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125.0</w:t>
            </w:r>
          </w:p>
        </w:tc>
        <w:tc>
          <w:tcPr>
            <w:tcW w:w="1915" w:type="dxa"/>
          </w:tcPr>
          <w:p>
            <w:pPr>
              <w:pStyle w:val="TableParagraph"/>
              <w:spacing w:before="43"/>
              <w:ind w:left="64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years</w:t>
            </w:r>
          </w:p>
        </w:tc>
        <w:tc>
          <w:tcPr>
            <w:tcW w:w="2383" w:type="dxa"/>
          </w:tcPr>
          <w:p>
            <w:pPr>
              <w:pStyle w:val="TableParagraph"/>
              <w:spacing w:before="43"/>
              <w:ind w:left="555"/>
              <w:jc w:val="left"/>
              <w:rPr>
                <w:sz w:val="18"/>
              </w:rPr>
            </w:pPr>
            <w:r>
              <w:rPr>
                <w:sz w:val="18"/>
              </w:rPr>
              <w:t>LIBOR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3.75%</w:t>
            </w:r>
          </w:p>
        </w:tc>
      </w:tr>
      <w:tr>
        <w:trPr>
          <w:trHeight w:val="369" w:hRule="atLeast"/>
        </w:trPr>
        <w:tc>
          <w:tcPr>
            <w:tcW w:w="3277" w:type="dxa"/>
          </w:tcPr>
          <w:p>
            <w:pPr>
              <w:pStyle w:val="TableParagraph"/>
              <w:spacing w:before="4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Facility</w:t>
            </w:r>
          </w:p>
        </w:tc>
        <w:tc>
          <w:tcPr>
            <w:tcW w:w="1420" w:type="dxa"/>
          </w:tcPr>
          <w:p>
            <w:pPr>
              <w:pStyle w:val="TableParagraph"/>
              <w:spacing w:before="43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185.0</w:t>
            </w:r>
          </w:p>
        </w:tc>
        <w:tc>
          <w:tcPr>
            <w:tcW w:w="19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3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>Senior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subordinated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notes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224"/>
              <w:jc w:val="left"/>
              <w:rPr>
                <w:sz w:val="18"/>
              </w:rPr>
            </w:pPr>
            <w:r>
              <w:rPr>
                <w:sz w:val="18"/>
              </w:rPr>
              <w:t>175.0</w:t>
            </w:r>
          </w:p>
        </w:tc>
        <w:tc>
          <w:tcPr>
            <w:tcW w:w="1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3"/>
              <w:ind w:left="642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years</w:t>
            </w:r>
          </w:p>
        </w:tc>
        <w:tc>
          <w:tcPr>
            <w:tcW w:w="23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3"/>
              <w:ind w:right="470"/>
              <w:rPr>
                <w:sz w:val="18"/>
              </w:rPr>
            </w:pPr>
            <w:r>
              <w:rPr>
                <w:sz w:val="18"/>
              </w:rPr>
              <w:t>10.875%</w:t>
            </w:r>
          </w:p>
        </w:tc>
      </w:tr>
      <w:tr>
        <w:trPr>
          <w:trHeight w:val="528" w:hRule="atLeast"/>
        </w:trPr>
        <w:tc>
          <w:tcPr>
            <w:tcW w:w="32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23"/>
              </w:rPr>
            </w:pPr>
          </w:p>
          <w:p>
            <w:pPr>
              <w:pStyle w:val="TableParagraph"/>
              <w:tabs>
                <w:tab w:pos="725" w:val="left" w:leader="none"/>
              </w:tabs>
              <w:spacing w:before="0"/>
              <w:ind w:left="4"/>
              <w:jc w:val="left"/>
              <w:rPr>
                <w:rFonts w:ascii="Cambria"/>
                <w:sz w:val="16"/>
              </w:rPr>
            </w:pPr>
            <w:r>
              <w:rPr>
                <w:rFonts w:ascii="Cambria"/>
                <w:w w:val="105"/>
                <w:sz w:val="16"/>
              </w:rPr>
              <w:t>Source:</w:t>
              <w:tab/>
              <w:t>Adapted</w:t>
            </w:r>
            <w:r>
              <w:rPr>
                <w:rFonts w:ascii="Cambria"/>
                <w:spacing w:val="-1"/>
                <w:w w:val="105"/>
                <w:sz w:val="16"/>
              </w:rPr>
              <w:t> </w:t>
            </w:r>
            <w:r>
              <w:rPr>
                <w:rFonts w:ascii="Cambria"/>
                <w:w w:val="105"/>
                <w:sz w:val="16"/>
              </w:rPr>
              <w:t>from</w:t>
            </w:r>
            <w:r>
              <w:rPr>
                <w:rFonts w:ascii="Cambria"/>
                <w:spacing w:val="-1"/>
                <w:w w:val="105"/>
                <w:sz w:val="16"/>
              </w:rPr>
              <w:t> </w:t>
            </w:r>
            <w:r>
              <w:rPr>
                <w:rFonts w:ascii="Cambria"/>
                <w:w w:val="105"/>
                <w:sz w:val="16"/>
              </w:rPr>
              <w:t>company materials.</w:t>
            </w:r>
          </w:p>
        </w:tc>
        <w:tc>
          <w:tcPr>
            <w:tcW w:w="14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132"/>
        <w:ind w:left="500" w:right="0" w:firstLine="0"/>
        <w:jc w:val="left"/>
        <w:rPr>
          <w:sz w:val="16"/>
        </w:rPr>
      </w:pPr>
      <w:r>
        <w:rPr>
          <w:position w:val="6"/>
          <w:sz w:val="14"/>
        </w:rPr>
        <w:t>a</w:t>
      </w:r>
      <w:r>
        <w:rPr>
          <w:sz w:val="16"/>
        </w:rPr>
        <w:t>Projected</w:t>
      </w:r>
      <w:r>
        <w:rPr>
          <w:spacing w:val="12"/>
          <w:sz w:val="16"/>
        </w:rPr>
        <w:t> </w:t>
      </w:r>
      <w:r>
        <w:rPr>
          <w:sz w:val="16"/>
        </w:rPr>
        <w:t>$17.5</w:t>
      </w:r>
      <w:r>
        <w:rPr>
          <w:spacing w:val="12"/>
          <w:sz w:val="16"/>
        </w:rPr>
        <w:t> </w:t>
      </w:r>
      <w:r>
        <w:rPr>
          <w:sz w:val="16"/>
        </w:rPr>
        <w:t>million</w:t>
      </w:r>
      <w:r>
        <w:rPr>
          <w:spacing w:val="11"/>
          <w:sz w:val="16"/>
        </w:rPr>
        <w:t> </w:t>
      </w:r>
      <w:r>
        <w:rPr>
          <w:sz w:val="16"/>
        </w:rPr>
        <w:t>funded</w:t>
      </w:r>
      <w:r>
        <w:rPr>
          <w:spacing w:val="12"/>
          <w:sz w:val="16"/>
        </w:rPr>
        <w:t> </w:t>
      </w:r>
      <w:r>
        <w:rPr>
          <w:sz w:val="16"/>
        </w:rPr>
        <w:t>at</w:t>
      </w:r>
      <w:r>
        <w:rPr>
          <w:spacing w:val="11"/>
          <w:sz w:val="16"/>
        </w:rPr>
        <w:t> </w:t>
      </w:r>
      <w:r>
        <w:rPr>
          <w:sz w:val="16"/>
        </w:rPr>
        <w:t>close,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which</w:t>
      </w:r>
      <w:r>
        <w:rPr>
          <w:spacing w:val="13"/>
          <w:sz w:val="16"/>
        </w:rPr>
        <w:t> </w:t>
      </w:r>
      <w:r>
        <w:rPr>
          <w:sz w:val="16"/>
        </w:rPr>
        <w:t>$12.5</w:t>
      </w:r>
      <w:r>
        <w:rPr>
          <w:spacing w:val="12"/>
          <w:sz w:val="16"/>
        </w:rPr>
        <w:t> </w:t>
      </w:r>
      <w:r>
        <w:rPr>
          <w:sz w:val="16"/>
        </w:rPr>
        <w:t>million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z w:val="16"/>
        </w:rPr>
        <w:t>related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seasonal</w:t>
      </w:r>
      <w:r>
        <w:rPr>
          <w:spacing w:val="12"/>
          <w:sz w:val="16"/>
        </w:rPr>
        <w:t> </w:t>
      </w:r>
      <w:r>
        <w:rPr>
          <w:sz w:val="16"/>
        </w:rPr>
        <w:t>working</w:t>
      </w:r>
      <w:r>
        <w:rPr>
          <w:spacing w:val="13"/>
          <w:sz w:val="16"/>
        </w:rPr>
        <w:t> </w:t>
      </w:r>
      <w:r>
        <w:rPr>
          <w:sz w:val="16"/>
        </w:rPr>
        <w:t>capital.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88.5pt;margin-top:10.115547pt;width:453pt;height:.47998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9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11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6255" w:val="left" w:leader="none"/>
        </w:tabs>
        <w:spacing w:before="55"/>
        <w:ind w:left="14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68864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205-058</w:t>
        <w:tab/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 Carter's</w:t>
      </w:r>
    </w:p>
    <w:p>
      <w:pPr>
        <w:pStyle w:val="BodyText"/>
        <w:spacing w:before="5"/>
        <w:rPr>
          <w:rFonts w:ascii="Palatino Linotype"/>
          <w:b/>
          <w:sz w:val="28"/>
        </w:rPr>
      </w:pPr>
    </w:p>
    <w:p>
      <w:pPr>
        <w:pStyle w:val="BodyText"/>
        <w:tabs>
          <w:tab w:pos="1296" w:val="left" w:leader="none"/>
        </w:tabs>
        <w:spacing w:before="75"/>
        <w:ind w:left="140"/>
      </w:pPr>
      <w:r>
        <w:rPr>
          <w:rFonts w:ascii="Palatino Linotype"/>
          <w:b/>
          <w:spacing w:val="-1"/>
          <w:w w:val="105"/>
        </w:rPr>
        <w:t>Exhibit</w:t>
      </w:r>
      <w:r>
        <w:rPr>
          <w:rFonts w:ascii="Palatino Linotype"/>
          <w:b/>
          <w:spacing w:val="-12"/>
          <w:w w:val="105"/>
        </w:rPr>
        <w:t> </w:t>
      </w:r>
      <w:r>
        <w:rPr>
          <w:rFonts w:ascii="Palatino Linotype"/>
          <w:b/>
          <w:w w:val="105"/>
        </w:rPr>
        <w:t>7a</w:t>
        <w:tab/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thousands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dollars)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7"/>
        <w:gridCol w:w="1529"/>
        <w:gridCol w:w="1177"/>
        <w:gridCol w:w="1178"/>
        <w:gridCol w:w="1176"/>
        <w:gridCol w:w="1177"/>
        <w:gridCol w:w="1152"/>
      </w:tblGrid>
      <w:tr>
        <w:trPr>
          <w:trHeight w:val="341" w:hRule="atLeast"/>
        </w:trPr>
        <w:tc>
          <w:tcPr>
            <w:tcW w:w="166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657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2001E</w:t>
            </w:r>
          </w:p>
        </w:tc>
        <w:tc>
          <w:tcPr>
            <w:tcW w:w="117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306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2002P</w:t>
            </w:r>
          </w:p>
        </w:tc>
        <w:tc>
          <w:tcPr>
            <w:tcW w:w="117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308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2003P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306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2004P</w:t>
            </w:r>
          </w:p>
        </w:tc>
        <w:tc>
          <w:tcPr>
            <w:tcW w:w="117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308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2005P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107"/>
              <w:ind w:left="309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2006P</w:t>
            </w:r>
          </w:p>
        </w:tc>
      </w:tr>
      <w:tr>
        <w:trPr>
          <w:trHeight w:val="401" w:hRule="atLeast"/>
        </w:trPr>
        <w:tc>
          <w:tcPr>
            <w:tcW w:w="16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Net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Sales</w:t>
            </w:r>
          </w:p>
        </w:tc>
        <w:tc>
          <w:tcPr>
            <w:tcW w:w="15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5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537,300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1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618,800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711,600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817,300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938,800</w:t>
            </w:r>
          </w:p>
        </w:tc>
        <w:tc>
          <w:tcPr>
            <w:tcW w:w="1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line="196" w:lineRule="exact" w:before="1"/>
              <w:ind w:left="1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985,740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growth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13.8%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15.2%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89"/>
              <w:rPr>
                <w:sz w:val="18"/>
              </w:rPr>
            </w:pPr>
            <w:r>
              <w:rPr>
                <w:sz w:val="18"/>
              </w:rPr>
              <w:t>15.0%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88"/>
              <w:rPr>
                <w:sz w:val="18"/>
              </w:rPr>
            </w:pPr>
            <w:r>
              <w:rPr>
                <w:sz w:val="18"/>
              </w:rPr>
              <w:t>14.9%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88"/>
              <w:rPr>
                <w:sz w:val="18"/>
              </w:rPr>
            </w:pPr>
            <w:r>
              <w:rPr>
                <w:sz w:val="18"/>
              </w:rPr>
              <w:t>14.9%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2"/>
              <w:rPr>
                <w:sz w:val="18"/>
              </w:rPr>
            </w:pPr>
            <w:r>
              <w:rPr>
                <w:sz w:val="18"/>
              </w:rPr>
              <w:t>5.0%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line="196" w:lineRule="exact" w:before="113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Gross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Profit</w:t>
            </w:r>
          </w:p>
        </w:tc>
        <w:tc>
          <w:tcPr>
            <w:tcW w:w="1529" w:type="dxa"/>
          </w:tcPr>
          <w:p>
            <w:pPr>
              <w:pStyle w:val="TableParagraph"/>
              <w:spacing w:line="196" w:lineRule="exact" w:before="113"/>
              <w:ind w:left="5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221,900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260,900</w:t>
            </w:r>
          </w:p>
        </w:tc>
        <w:tc>
          <w:tcPr>
            <w:tcW w:w="1178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302,400</w:t>
            </w:r>
          </w:p>
        </w:tc>
        <w:tc>
          <w:tcPr>
            <w:tcW w:w="1176" w:type="dxa"/>
          </w:tcPr>
          <w:p>
            <w:pPr>
              <w:pStyle w:val="TableParagraph"/>
              <w:spacing w:line="196" w:lineRule="exact" w:before="113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348,300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400,400</w:t>
            </w:r>
          </w:p>
        </w:tc>
        <w:tc>
          <w:tcPr>
            <w:tcW w:w="1152" w:type="dxa"/>
          </w:tcPr>
          <w:p>
            <w:pPr>
              <w:pStyle w:val="TableParagraph"/>
              <w:spacing w:line="196" w:lineRule="exact" w:before="113"/>
              <w:ind w:left="1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420,420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Margin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3"/>
              <w:rPr>
                <w:sz w:val="18"/>
              </w:rPr>
            </w:pPr>
            <w:r>
              <w:rPr>
                <w:sz w:val="18"/>
              </w:rPr>
              <w:t>41.3%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3"/>
              <w:rPr>
                <w:sz w:val="18"/>
              </w:rPr>
            </w:pPr>
            <w:r>
              <w:rPr>
                <w:sz w:val="18"/>
              </w:rPr>
              <w:t>42.2%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42.5%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42.6%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42.7%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5"/>
              <w:rPr>
                <w:sz w:val="18"/>
              </w:rPr>
            </w:pPr>
            <w:r>
              <w:rPr>
                <w:sz w:val="18"/>
              </w:rPr>
              <w:t>42.7%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line="196" w:lineRule="exact" w:before="113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SG&amp;A</w:t>
            </w:r>
          </w:p>
        </w:tc>
        <w:tc>
          <w:tcPr>
            <w:tcW w:w="1529" w:type="dxa"/>
          </w:tcPr>
          <w:p>
            <w:pPr>
              <w:pStyle w:val="TableParagraph"/>
              <w:spacing w:line="196" w:lineRule="exact" w:before="113"/>
              <w:ind w:left="5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146,800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172,200</w:t>
            </w:r>
          </w:p>
        </w:tc>
        <w:tc>
          <w:tcPr>
            <w:tcW w:w="1178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193,300</w:t>
            </w:r>
          </w:p>
        </w:tc>
        <w:tc>
          <w:tcPr>
            <w:tcW w:w="1176" w:type="dxa"/>
          </w:tcPr>
          <w:p>
            <w:pPr>
              <w:pStyle w:val="TableParagraph"/>
              <w:spacing w:line="196" w:lineRule="exact" w:before="113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214,100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238,800</w:t>
            </w:r>
          </w:p>
        </w:tc>
        <w:tc>
          <w:tcPr>
            <w:tcW w:w="1152" w:type="dxa"/>
          </w:tcPr>
          <w:p>
            <w:pPr>
              <w:pStyle w:val="TableParagraph"/>
              <w:spacing w:line="196" w:lineRule="exact" w:before="113"/>
              <w:ind w:left="1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250,740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sales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27.3%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27.8%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27.2%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26.2%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25.4%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5"/>
              <w:rPr>
                <w:sz w:val="18"/>
              </w:rPr>
            </w:pPr>
            <w:r>
              <w:rPr>
                <w:sz w:val="18"/>
              </w:rPr>
              <w:t>25.4%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line="196" w:lineRule="exact" w:before="113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EBITDA</w:t>
            </w:r>
          </w:p>
        </w:tc>
        <w:tc>
          <w:tcPr>
            <w:tcW w:w="1529" w:type="dxa"/>
          </w:tcPr>
          <w:p>
            <w:pPr>
              <w:pStyle w:val="TableParagraph"/>
              <w:spacing w:line="196" w:lineRule="exact" w:before="113"/>
              <w:ind w:left="64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75,100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2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88,700</w:t>
            </w:r>
          </w:p>
        </w:tc>
        <w:tc>
          <w:tcPr>
            <w:tcW w:w="1178" w:type="dxa"/>
          </w:tcPr>
          <w:p>
            <w:pPr>
              <w:pStyle w:val="TableParagraph"/>
              <w:spacing w:line="196" w:lineRule="exact" w:before="113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109,100</w:t>
            </w:r>
          </w:p>
        </w:tc>
        <w:tc>
          <w:tcPr>
            <w:tcW w:w="1176" w:type="dxa"/>
          </w:tcPr>
          <w:p>
            <w:pPr>
              <w:pStyle w:val="TableParagraph"/>
              <w:spacing w:line="196" w:lineRule="exact" w:before="113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134,200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161,600</w:t>
            </w:r>
          </w:p>
        </w:tc>
        <w:tc>
          <w:tcPr>
            <w:tcW w:w="1152" w:type="dxa"/>
          </w:tcPr>
          <w:p>
            <w:pPr>
              <w:pStyle w:val="TableParagraph"/>
              <w:spacing w:line="196" w:lineRule="exact" w:before="113"/>
              <w:ind w:left="1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169,680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sales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14.0%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14.3%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15.3%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16.4%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17.2%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5"/>
              <w:rPr>
                <w:sz w:val="18"/>
              </w:rPr>
            </w:pPr>
            <w:r>
              <w:rPr>
                <w:sz w:val="18"/>
              </w:rPr>
              <w:t>17.2%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line="196" w:lineRule="exact" w:before="113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EBIT</w:t>
            </w:r>
          </w:p>
        </w:tc>
        <w:tc>
          <w:tcPr>
            <w:tcW w:w="1529" w:type="dxa"/>
          </w:tcPr>
          <w:p>
            <w:pPr>
              <w:pStyle w:val="TableParagraph"/>
              <w:spacing w:line="196" w:lineRule="exact" w:before="113"/>
              <w:ind w:left="6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55,100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2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67,600</w:t>
            </w:r>
          </w:p>
        </w:tc>
        <w:tc>
          <w:tcPr>
            <w:tcW w:w="1178" w:type="dxa"/>
          </w:tcPr>
          <w:p>
            <w:pPr>
              <w:pStyle w:val="TableParagraph"/>
              <w:spacing w:line="196" w:lineRule="exact" w:before="113"/>
              <w:ind w:left="2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87,300</w:t>
            </w:r>
          </w:p>
        </w:tc>
        <w:tc>
          <w:tcPr>
            <w:tcW w:w="1176" w:type="dxa"/>
          </w:tcPr>
          <w:p>
            <w:pPr>
              <w:pStyle w:val="TableParagraph"/>
              <w:spacing w:line="196" w:lineRule="exact" w:before="113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109,800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1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133,500</w:t>
            </w:r>
          </w:p>
        </w:tc>
        <w:tc>
          <w:tcPr>
            <w:tcW w:w="1152" w:type="dxa"/>
          </w:tcPr>
          <w:p>
            <w:pPr>
              <w:pStyle w:val="TableParagraph"/>
              <w:spacing w:line="196" w:lineRule="exact" w:before="113"/>
              <w:ind w:left="1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140,175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sales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10.3%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10.9%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12.3%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13.4%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14.2%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5"/>
              <w:rPr>
                <w:sz w:val="18"/>
              </w:rPr>
            </w:pPr>
            <w:r>
              <w:rPr>
                <w:sz w:val="18"/>
              </w:rPr>
              <w:t>14.2%</w:t>
            </w:r>
          </w:p>
        </w:tc>
      </w:tr>
      <w:tr>
        <w:trPr>
          <w:trHeight w:val="330" w:hRule="atLeast"/>
        </w:trPr>
        <w:tc>
          <w:tcPr>
            <w:tcW w:w="1667" w:type="dxa"/>
          </w:tcPr>
          <w:p>
            <w:pPr>
              <w:pStyle w:val="TableParagraph"/>
              <w:spacing w:line="196" w:lineRule="exact" w:before="113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Capex</w:t>
            </w:r>
          </w:p>
        </w:tc>
        <w:tc>
          <w:tcPr>
            <w:tcW w:w="1529" w:type="dxa"/>
          </w:tcPr>
          <w:p>
            <w:pPr>
              <w:pStyle w:val="TableParagraph"/>
              <w:spacing w:line="196" w:lineRule="exact" w:before="113"/>
              <w:ind w:left="6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20,500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2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19,500</w:t>
            </w:r>
          </w:p>
        </w:tc>
        <w:tc>
          <w:tcPr>
            <w:tcW w:w="1178" w:type="dxa"/>
          </w:tcPr>
          <w:p>
            <w:pPr>
              <w:pStyle w:val="TableParagraph"/>
              <w:spacing w:line="196" w:lineRule="exact" w:before="113"/>
              <w:ind w:left="2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21,000</w:t>
            </w:r>
          </w:p>
        </w:tc>
        <w:tc>
          <w:tcPr>
            <w:tcW w:w="1176" w:type="dxa"/>
          </w:tcPr>
          <w:p>
            <w:pPr>
              <w:pStyle w:val="TableParagraph"/>
              <w:spacing w:line="196" w:lineRule="exact" w:before="113"/>
              <w:ind w:left="2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21,500</w:t>
            </w:r>
          </w:p>
        </w:tc>
        <w:tc>
          <w:tcPr>
            <w:tcW w:w="1177" w:type="dxa"/>
          </w:tcPr>
          <w:p>
            <w:pPr>
              <w:pStyle w:val="TableParagraph"/>
              <w:spacing w:line="196" w:lineRule="exact" w:before="113"/>
              <w:ind w:left="2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22,500</w:t>
            </w:r>
          </w:p>
        </w:tc>
        <w:tc>
          <w:tcPr>
            <w:tcW w:w="1152" w:type="dxa"/>
          </w:tcPr>
          <w:p>
            <w:pPr>
              <w:pStyle w:val="TableParagraph"/>
              <w:spacing w:line="196" w:lineRule="exact" w:before="113"/>
              <w:ind w:left="2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22,500</w:t>
            </w:r>
          </w:p>
        </w:tc>
      </w:tr>
      <w:tr>
        <w:trPr>
          <w:trHeight w:val="260" w:hRule="atLeast"/>
        </w:trPr>
        <w:tc>
          <w:tcPr>
            <w:tcW w:w="1667" w:type="dxa"/>
          </w:tcPr>
          <w:p>
            <w:pPr>
              <w:pStyle w:val="TableParagraph"/>
              <w:spacing w:before="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sales</w:t>
            </w:r>
          </w:p>
        </w:tc>
        <w:tc>
          <w:tcPr>
            <w:tcW w:w="1529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3.8%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3.2%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ind w:right="192"/>
              <w:rPr>
                <w:sz w:val="18"/>
              </w:rPr>
            </w:pPr>
            <w:r>
              <w:rPr>
                <w:sz w:val="18"/>
              </w:rPr>
              <w:t>3.0%</w:t>
            </w:r>
          </w:p>
        </w:tc>
        <w:tc>
          <w:tcPr>
            <w:tcW w:w="1176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2.6%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ind w:right="191"/>
              <w:rPr>
                <w:sz w:val="18"/>
              </w:rPr>
            </w:pPr>
            <w:r>
              <w:rPr>
                <w:sz w:val="18"/>
              </w:rPr>
              <w:t>2.4%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ind w:right="165"/>
              <w:rPr>
                <w:sz w:val="18"/>
              </w:rPr>
            </w:pPr>
            <w:r>
              <w:rPr>
                <w:sz w:val="18"/>
              </w:rPr>
              <w:t>2.3%</w:t>
            </w:r>
          </w:p>
        </w:tc>
      </w:tr>
    </w:tbl>
    <w:p>
      <w:pPr>
        <w:pStyle w:val="BodyText"/>
        <w:spacing w:before="7"/>
        <w:rPr>
          <w:sz w:val="11"/>
        </w:rPr>
      </w:pPr>
      <w:r>
        <w:rPr/>
        <w:pict>
          <v:rect style="position:absolute;margin-left:71.760002pt;margin-top:8.792252pt;width:450.659021pt;height:.479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1"/>
        </w:rPr>
      </w:pPr>
    </w:p>
    <w:p>
      <w:pPr>
        <w:tabs>
          <w:tab w:pos="860" w:val="left" w:leader="none"/>
        </w:tabs>
        <w:spacing w:before="1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318" w:val="left" w:leader="none"/>
        </w:tabs>
        <w:ind w:left="140"/>
      </w:pPr>
      <w:r>
        <w:rPr>
          <w:rFonts w:ascii="Palatino Linotype"/>
          <w:b/>
        </w:rPr>
        <w:t>Exhibit</w:t>
      </w:r>
      <w:r>
        <w:rPr>
          <w:rFonts w:ascii="Palatino Linotype"/>
          <w:b/>
          <w:spacing w:val="-1"/>
        </w:rPr>
        <w:t> </w:t>
      </w:r>
      <w:r>
        <w:rPr>
          <w:rFonts w:ascii="Palatino Linotype"/>
          <w:b/>
        </w:rPr>
        <w:t>7b</w:t>
        <w:tab/>
      </w:r>
      <w:r>
        <w:rPr/>
        <w:t>Revenue</w:t>
      </w:r>
      <w:r>
        <w:rPr>
          <w:spacing w:val="22"/>
        </w:rPr>
        <w:t> </w:t>
      </w:r>
      <w:r>
        <w:rPr/>
        <w:t>Projections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Channel</w:t>
      </w:r>
      <w:r>
        <w:rPr>
          <w:spacing w:val="22"/>
        </w:rPr>
        <w:t> </w:t>
      </w:r>
      <w:r>
        <w:rPr/>
        <w:t>(in</w:t>
      </w:r>
      <w:r>
        <w:rPr>
          <w:spacing w:val="22"/>
        </w:rPr>
        <w:t> </w:t>
      </w:r>
      <w:r>
        <w:rPr/>
        <w:t>millions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dollars)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1111"/>
        <w:gridCol w:w="1056"/>
        <w:gridCol w:w="1108"/>
        <w:gridCol w:w="1139"/>
        <w:gridCol w:w="1158"/>
        <w:gridCol w:w="1069"/>
      </w:tblGrid>
      <w:tr>
        <w:trPr>
          <w:trHeight w:val="771" w:hRule="atLeast"/>
        </w:trPr>
        <w:tc>
          <w:tcPr>
            <w:tcW w:w="240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line="218" w:lineRule="exact" w:before="0"/>
              <w:ind w:right="30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2000A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line="218" w:lineRule="exact" w:before="0"/>
              <w:ind w:right="27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2005E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 w:before="100"/>
              <w:ind w:left="312"/>
              <w:jc w:val="left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2005E–</w:t>
            </w:r>
          </w:p>
          <w:p>
            <w:pPr>
              <w:pStyle w:val="TableParagraph"/>
              <w:spacing w:line="217" w:lineRule="exact" w:before="0"/>
              <w:ind w:left="342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2000A</w:t>
            </w:r>
          </w:p>
          <w:p>
            <w:pPr>
              <w:pStyle w:val="TableParagraph"/>
              <w:spacing w:line="205" w:lineRule="exact" w:before="0"/>
              <w:ind w:left="277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Change</w:t>
            </w:r>
          </w:p>
        </w:tc>
        <w:tc>
          <w:tcPr>
            <w:tcW w:w="113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0" w:lineRule="exact" w:before="100"/>
              <w:ind w:left="203" w:firstLine="198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%</w:t>
            </w:r>
            <w:r>
              <w:rPr>
                <w:rFonts w:ascii="Palatino Linotype"/>
                <w:b/>
                <w:spacing w:val="-1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of</w:t>
            </w:r>
          </w:p>
          <w:p>
            <w:pPr>
              <w:pStyle w:val="TableParagraph"/>
              <w:spacing w:line="216" w:lineRule="exact" w:before="0"/>
              <w:ind w:left="268" w:right="146" w:hanging="65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Projected</w:t>
            </w:r>
            <w:r>
              <w:rPr>
                <w:rFonts w:ascii="Palatino Linotype"/>
                <w:b/>
                <w:spacing w:val="-42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Growth</w:t>
            </w:r>
          </w:p>
        </w:tc>
        <w:tc>
          <w:tcPr>
            <w:tcW w:w="11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Cambria"/>
                <w:sz w:val="27"/>
              </w:rPr>
            </w:pPr>
          </w:p>
          <w:p>
            <w:pPr>
              <w:pStyle w:val="TableParagraph"/>
              <w:spacing w:line="216" w:lineRule="exact" w:before="0"/>
              <w:ind w:left="279" w:right="200" w:hanging="111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Projected</w:t>
            </w:r>
            <w:r>
              <w:rPr>
                <w:rFonts w:ascii="Palatino Linotype"/>
                <w:b/>
                <w:spacing w:val="-42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CAGR</w:t>
            </w:r>
          </w:p>
        </w:tc>
        <w:tc>
          <w:tcPr>
            <w:tcW w:w="106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27"/>
              </w:rPr>
            </w:pPr>
          </w:p>
          <w:p>
            <w:pPr>
              <w:pStyle w:val="TableParagraph"/>
              <w:spacing w:line="229" w:lineRule="exact" w:before="0"/>
              <w:ind w:left="274"/>
              <w:jc w:val="left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96–00</w:t>
            </w:r>
          </w:p>
          <w:p>
            <w:pPr>
              <w:pStyle w:val="TableParagraph"/>
              <w:spacing w:line="205" w:lineRule="exact" w:before="0"/>
              <w:ind w:left="225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CAGR</w:t>
            </w:r>
          </w:p>
        </w:tc>
      </w:tr>
      <w:tr>
        <w:trPr>
          <w:trHeight w:val="444" w:hRule="atLeast"/>
        </w:trPr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Kohl’s</w:t>
            </w:r>
          </w:p>
        </w:tc>
        <w:tc>
          <w:tcPr>
            <w:tcW w:w="1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right="328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right="281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left="350" w:right="266"/>
              <w:jc w:val="center"/>
              <w:rPr>
                <w:sz w:val="18"/>
              </w:rPr>
            </w:pPr>
            <w:r>
              <w:rPr>
                <w:sz w:val="18"/>
              </w:rPr>
              <w:t>102.0</w:t>
            </w:r>
          </w:p>
        </w:tc>
        <w:tc>
          <w:tcPr>
            <w:tcW w:w="11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right="232"/>
              <w:rPr>
                <w:sz w:val="18"/>
              </w:rPr>
            </w:pPr>
            <w:r>
              <w:rPr>
                <w:sz w:val="18"/>
              </w:rPr>
              <w:t>21.9%</w:t>
            </w:r>
          </w:p>
        </w:tc>
        <w:tc>
          <w:tcPr>
            <w:tcW w:w="11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right="328"/>
              <w:rPr>
                <w:sz w:val="18"/>
              </w:rPr>
            </w:pPr>
            <w:r>
              <w:rPr>
                <w:sz w:val="18"/>
              </w:rPr>
              <w:t>31.4%</w:t>
            </w:r>
          </w:p>
        </w:tc>
        <w:tc>
          <w:tcPr>
            <w:tcW w:w="10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16"/>
              </w:rPr>
            </w:pPr>
          </w:p>
          <w:p>
            <w:pPr>
              <w:pStyle w:val="TableParagraph"/>
              <w:spacing w:before="1"/>
              <w:ind w:right="293"/>
              <w:rPr>
                <w:sz w:val="18"/>
              </w:rPr>
            </w:pPr>
            <w:r>
              <w:rPr>
                <w:sz w:val="18"/>
              </w:rPr>
              <w:t>56.1%</w:t>
            </w:r>
          </w:p>
        </w:tc>
      </w:tr>
      <w:tr>
        <w:trPr>
          <w:trHeight w:val="287" w:hRule="atLeast"/>
        </w:trPr>
        <w:tc>
          <w:tcPr>
            <w:tcW w:w="2406" w:type="dxa"/>
          </w:tcPr>
          <w:p>
            <w:pPr>
              <w:pStyle w:val="TableParagraph"/>
              <w:spacing w:before="4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Kids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R/Babies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</w:t>
            </w:r>
          </w:p>
        </w:tc>
        <w:tc>
          <w:tcPr>
            <w:tcW w:w="1111" w:type="dxa"/>
          </w:tcPr>
          <w:p>
            <w:pPr>
              <w:pStyle w:val="TableParagraph"/>
              <w:spacing w:before="43"/>
              <w:ind w:right="328"/>
              <w:rPr>
                <w:sz w:val="18"/>
              </w:rPr>
            </w:pPr>
            <w:r>
              <w:rPr>
                <w:sz w:val="18"/>
              </w:rPr>
              <w:t>36.8</w:t>
            </w:r>
          </w:p>
        </w:tc>
        <w:tc>
          <w:tcPr>
            <w:tcW w:w="1056" w:type="dxa"/>
          </w:tcPr>
          <w:p>
            <w:pPr>
              <w:pStyle w:val="TableParagraph"/>
              <w:spacing w:before="43"/>
              <w:ind w:right="281"/>
              <w:rPr>
                <w:sz w:val="18"/>
              </w:rPr>
            </w:pPr>
            <w:r>
              <w:rPr>
                <w:sz w:val="18"/>
              </w:rPr>
              <w:t>61.8</w:t>
            </w:r>
          </w:p>
        </w:tc>
        <w:tc>
          <w:tcPr>
            <w:tcW w:w="1108" w:type="dxa"/>
          </w:tcPr>
          <w:p>
            <w:pPr>
              <w:pStyle w:val="TableParagraph"/>
              <w:spacing w:before="43"/>
              <w:ind w:left="350" w:right="166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43"/>
              <w:ind w:right="233"/>
              <w:rPr>
                <w:sz w:val="18"/>
              </w:rPr>
            </w:pPr>
            <w:r>
              <w:rPr>
                <w:sz w:val="18"/>
              </w:rPr>
              <w:t>5.4%</w:t>
            </w:r>
          </w:p>
        </w:tc>
        <w:tc>
          <w:tcPr>
            <w:tcW w:w="1158" w:type="dxa"/>
          </w:tcPr>
          <w:p>
            <w:pPr>
              <w:pStyle w:val="TableParagraph"/>
              <w:spacing w:before="43"/>
              <w:ind w:right="329"/>
              <w:rPr>
                <w:sz w:val="18"/>
              </w:rPr>
            </w:pPr>
            <w:r>
              <w:rPr>
                <w:sz w:val="18"/>
              </w:rPr>
              <w:t>10.9%</w:t>
            </w:r>
          </w:p>
        </w:tc>
        <w:tc>
          <w:tcPr>
            <w:tcW w:w="1069" w:type="dxa"/>
          </w:tcPr>
          <w:p>
            <w:pPr>
              <w:pStyle w:val="TableParagraph"/>
              <w:spacing w:before="43"/>
              <w:ind w:right="294"/>
              <w:rPr>
                <w:sz w:val="18"/>
              </w:rPr>
            </w:pPr>
            <w:r>
              <w:rPr>
                <w:sz w:val="18"/>
              </w:rPr>
              <w:t>16.5%</w:t>
            </w:r>
          </w:p>
        </w:tc>
      </w:tr>
      <w:tr>
        <w:trPr>
          <w:trHeight w:val="300" w:hRule="atLeast"/>
        </w:trPr>
        <w:tc>
          <w:tcPr>
            <w:tcW w:w="2406" w:type="dxa"/>
          </w:tcPr>
          <w:p>
            <w:pPr>
              <w:pStyle w:val="TableParagraph"/>
              <w:spacing w:before="33"/>
              <w:ind w:left="81"/>
              <w:jc w:val="left"/>
              <w:rPr>
                <w:sz w:val="14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Wholesale</w:t>
            </w:r>
            <w:r>
              <w:rPr>
                <w:position w:val="6"/>
                <w:sz w:val="14"/>
              </w:rPr>
              <w:t>a</w:t>
            </w:r>
          </w:p>
        </w:tc>
        <w:tc>
          <w:tcPr>
            <w:tcW w:w="1111" w:type="dxa"/>
          </w:tcPr>
          <w:p>
            <w:pPr>
              <w:pStyle w:val="TableParagraph"/>
              <w:spacing w:before="55"/>
              <w:ind w:right="330"/>
              <w:rPr>
                <w:sz w:val="18"/>
              </w:rPr>
            </w:pPr>
            <w:r>
              <w:rPr>
                <w:sz w:val="18"/>
              </w:rPr>
              <w:t>181.2</w:t>
            </w:r>
          </w:p>
        </w:tc>
        <w:tc>
          <w:tcPr>
            <w:tcW w:w="1056" w:type="dxa"/>
          </w:tcPr>
          <w:p>
            <w:pPr>
              <w:pStyle w:val="TableParagraph"/>
              <w:spacing w:before="55"/>
              <w:ind w:right="281"/>
              <w:rPr>
                <w:sz w:val="18"/>
              </w:rPr>
            </w:pPr>
            <w:r>
              <w:rPr>
                <w:sz w:val="18"/>
              </w:rPr>
              <w:t>255.2</w:t>
            </w:r>
          </w:p>
        </w:tc>
        <w:tc>
          <w:tcPr>
            <w:tcW w:w="1108" w:type="dxa"/>
          </w:tcPr>
          <w:p>
            <w:pPr>
              <w:pStyle w:val="TableParagraph"/>
              <w:spacing w:before="55"/>
              <w:ind w:left="350" w:right="167"/>
              <w:jc w:val="center"/>
              <w:rPr>
                <w:sz w:val="18"/>
              </w:rPr>
            </w:pPr>
            <w:r>
              <w:rPr>
                <w:sz w:val="18"/>
              </w:rPr>
              <w:t>74.0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55"/>
              <w:ind w:right="232"/>
              <w:rPr>
                <w:sz w:val="18"/>
              </w:rPr>
            </w:pPr>
            <w:r>
              <w:rPr>
                <w:sz w:val="18"/>
              </w:rPr>
              <w:t>15.9%</w:t>
            </w:r>
          </w:p>
        </w:tc>
        <w:tc>
          <w:tcPr>
            <w:tcW w:w="1158" w:type="dxa"/>
          </w:tcPr>
          <w:p>
            <w:pPr>
              <w:pStyle w:val="TableParagraph"/>
              <w:spacing w:before="55"/>
              <w:ind w:right="328"/>
              <w:rPr>
                <w:sz w:val="18"/>
              </w:rPr>
            </w:pPr>
            <w:r>
              <w:rPr>
                <w:sz w:val="18"/>
              </w:rPr>
              <w:t>7.1%</w:t>
            </w:r>
          </w:p>
        </w:tc>
        <w:tc>
          <w:tcPr>
            <w:tcW w:w="1069" w:type="dxa"/>
          </w:tcPr>
          <w:p>
            <w:pPr>
              <w:pStyle w:val="TableParagraph"/>
              <w:spacing w:before="55"/>
              <w:ind w:right="293"/>
              <w:rPr>
                <w:sz w:val="18"/>
              </w:rPr>
            </w:pPr>
            <w:r>
              <w:rPr>
                <w:sz w:val="18"/>
              </w:rPr>
              <w:t>2.7%</w:t>
            </w:r>
          </w:p>
        </w:tc>
      </w:tr>
      <w:tr>
        <w:trPr>
          <w:trHeight w:val="312" w:hRule="atLeast"/>
        </w:trPr>
        <w:tc>
          <w:tcPr>
            <w:tcW w:w="2406" w:type="dxa"/>
          </w:tcPr>
          <w:p>
            <w:pPr>
              <w:pStyle w:val="TableParagraph"/>
              <w:spacing w:before="33"/>
              <w:ind w:left="81"/>
              <w:jc w:val="left"/>
              <w:rPr>
                <w:sz w:val="14"/>
              </w:rPr>
            </w:pPr>
            <w:r>
              <w:rPr>
                <w:sz w:val="18"/>
              </w:rPr>
              <w:t>Target</w:t>
            </w:r>
            <w:r>
              <w:rPr>
                <w:position w:val="6"/>
                <w:sz w:val="14"/>
              </w:rPr>
              <w:t>b</w:t>
            </w:r>
          </w:p>
        </w:tc>
        <w:tc>
          <w:tcPr>
            <w:tcW w:w="1111" w:type="dxa"/>
          </w:tcPr>
          <w:p>
            <w:pPr>
              <w:pStyle w:val="TableParagraph"/>
              <w:spacing w:before="55"/>
              <w:ind w:right="32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1056" w:type="dxa"/>
          </w:tcPr>
          <w:p>
            <w:pPr>
              <w:pStyle w:val="TableParagraph"/>
              <w:spacing w:before="55"/>
              <w:ind w:right="280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108" w:type="dxa"/>
          </w:tcPr>
          <w:p>
            <w:pPr>
              <w:pStyle w:val="TableParagraph"/>
              <w:spacing w:before="55"/>
              <w:ind w:left="350" w:right="166"/>
              <w:jc w:val="center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55"/>
              <w:ind w:right="232"/>
              <w:rPr>
                <w:sz w:val="18"/>
              </w:rPr>
            </w:pPr>
            <w:r>
              <w:rPr>
                <w:sz w:val="18"/>
              </w:rPr>
              <w:t>20.6%</w:t>
            </w:r>
          </w:p>
        </w:tc>
        <w:tc>
          <w:tcPr>
            <w:tcW w:w="1158" w:type="dxa"/>
          </w:tcPr>
          <w:p>
            <w:pPr>
              <w:pStyle w:val="TableParagraph"/>
              <w:spacing w:before="55"/>
              <w:ind w:right="328"/>
              <w:rPr>
                <w:sz w:val="18"/>
              </w:rPr>
            </w:pPr>
            <w:r>
              <w:rPr>
                <w:sz w:val="18"/>
              </w:rPr>
              <w:t>90.4%</w:t>
            </w:r>
          </w:p>
        </w:tc>
        <w:tc>
          <w:tcPr>
            <w:tcW w:w="1069" w:type="dxa"/>
          </w:tcPr>
          <w:p>
            <w:pPr>
              <w:pStyle w:val="TableParagraph"/>
              <w:spacing w:before="55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rPr>
          <w:trHeight w:val="300" w:hRule="atLeast"/>
        </w:trPr>
        <w:tc>
          <w:tcPr>
            <w:tcW w:w="2406" w:type="dxa"/>
          </w:tcPr>
          <w:p>
            <w:pPr>
              <w:pStyle w:val="TableParagraph"/>
              <w:spacing w:before="4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Outlet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Stores</w:t>
            </w:r>
          </w:p>
        </w:tc>
        <w:tc>
          <w:tcPr>
            <w:tcW w:w="1111" w:type="dxa"/>
          </w:tcPr>
          <w:p>
            <w:pPr>
              <w:pStyle w:val="TableParagraph"/>
              <w:spacing w:before="43"/>
              <w:ind w:right="328"/>
              <w:rPr>
                <w:sz w:val="18"/>
              </w:rPr>
            </w:pPr>
            <w:r>
              <w:rPr>
                <w:sz w:val="18"/>
              </w:rPr>
              <w:t>215.3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3"/>
              <w:ind w:right="279"/>
              <w:rPr>
                <w:sz w:val="18"/>
              </w:rPr>
            </w:pPr>
            <w:r>
              <w:rPr>
                <w:sz w:val="18"/>
              </w:rPr>
              <w:t>329.0</w:t>
            </w:r>
          </w:p>
        </w:tc>
        <w:tc>
          <w:tcPr>
            <w:tcW w:w="1108" w:type="dxa"/>
          </w:tcPr>
          <w:p>
            <w:pPr>
              <w:pStyle w:val="TableParagraph"/>
              <w:spacing w:before="43"/>
              <w:ind w:left="350" w:right="265"/>
              <w:jc w:val="center"/>
              <w:rPr>
                <w:sz w:val="18"/>
              </w:rPr>
            </w:pPr>
            <w:r>
              <w:rPr>
                <w:sz w:val="18"/>
              </w:rPr>
              <w:t>113.7</w:t>
            </w:r>
          </w:p>
        </w:tc>
        <w:tc>
          <w:tcPr>
            <w:tcW w:w="1139" w:type="dxa"/>
          </w:tcPr>
          <w:p>
            <w:pPr>
              <w:pStyle w:val="TableParagraph"/>
              <w:spacing w:before="43"/>
              <w:ind w:right="232"/>
              <w:rPr>
                <w:sz w:val="18"/>
              </w:rPr>
            </w:pPr>
            <w:r>
              <w:rPr>
                <w:sz w:val="18"/>
              </w:rPr>
              <w:t>24.4%</w:t>
            </w:r>
          </w:p>
        </w:tc>
        <w:tc>
          <w:tcPr>
            <w:tcW w:w="1158" w:type="dxa"/>
          </w:tcPr>
          <w:p>
            <w:pPr>
              <w:pStyle w:val="TableParagraph"/>
              <w:spacing w:before="43"/>
              <w:ind w:right="329"/>
              <w:rPr>
                <w:sz w:val="18"/>
              </w:rPr>
            </w:pPr>
            <w:r>
              <w:rPr>
                <w:sz w:val="18"/>
              </w:rPr>
              <w:t>8.9%</w:t>
            </w:r>
          </w:p>
        </w:tc>
        <w:tc>
          <w:tcPr>
            <w:tcW w:w="1069" w:type="dxa"/>
          </w:tcPr>
          <w:p>
            <w:pPr>
              <w:pStyle w:val="TableParagraph"/>
              <w:spacing w:before="43"/>
              <w:ind w:right="294"/>
              <w:rPr>
                <w:sz w:val="18"/>
              </w:rPr>
            </w:pPr>
            <w:r>
              <w:rPr>
                <w:sz w:val="18"/>
              </w:rPr>
              <w:t>13.6%</w:t>
            </w:r>
          </w:p>
        </w:tc>
      </w:tr>
      <w:tr>
        <w:trPr>
          <w:trHeight w:val="255" w:hRule="atLeast"/>
        </w:trPr>
        <w:tc>
          <w:tcPr>
            <w:tcW w:w="2406" w:type="dxa"/>
          </w:tcPr>
          <w:p>
            <w:pPr>
              <w:pStyle w:val="TableParagraph"/>
              <w:spacing w:line="192" w:lineRule="exact" w:before="43"/>
              <w:ind w:left="81"/>
              <w:jc w:val="left"/>
              <w:rPr>
                <w:sz w:val="18"/>
              </w:rPr>
            </w:pPr>
            <w:r>
              <w:rPr>
                <w:sz w:val="18"/>
              </w:rPr>
              <w:t>Full-Price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Retail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Stores</w:t>
            </w:r>
          </w:p>
        </w:tc>
        <w:tc>
          <w:tcPr>
            <w:tcW w:w="11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32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280"/>
              <w:rPr>
                <w:sz w:val="18"/>
              </w:rPr>
            </w:pPr>
            <w:r>
              <w:rPr>
                <w:sz w:val="18"/>
              </w:rPr>
              <w:t>56.0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350" w:right="166"/>
              <w:jc w:val="center"/>
              <w:rPr>
                <w:sz w:val="18"/>
              </w:rPr>
            </w:pPr>
            <w:r>
              <w:rPr>
                <w:sz w:val="18"/>
              </w:rPr>
              <w:t>56.0</w:t>
            </w:r>
          </w:p>
        </w:tc>
        <w:tc>
          <w:tcPr>
            <w:tcW w:w="11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231"/>
              <w:rPr>
                <w:sz w:val="18"/>
              </w:rPr>
            </w:pPr>
            <w:r>
              <w:rPr>
                <w:sz w:val="18"/>
              </w:rPr>
              <w:t>12.0%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379" w:right="619"/>
              <w:jc w:val="center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343"/>
              <w:jc w:val="left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rPr>
          <w:trHeight w:val="480" w:hRule="atLeast"/>
        </w:trPr>
        <w:tc>
          <w:tcPr>
            <w:tcW w:w="2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7"/>
              <w:ind w:left="8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right="3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472.3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right="2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939.0</w:t>
            </w: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left="350" w:right="26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466.7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right="2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100.0%</w:t>
            </w: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right="3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14.7%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right="2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10.4%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tabs>
          <w:tab w:pos="860" w:val="left" w:leader="none"/>
        </w:tabs>
        <w:spacing w:before="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140" w:right="0" w:firstLine="0"/>
        <w:jc w:val="left"/>
        <w:rPr>
          <w:sz w:val="16"/>
        </w:rPr>
      </w:pPr>
      <w:r>
        <w:rPr>
          <w:w w:val="105"/>
          <w:position w:val="6"/>
          <w:sz w:val="14"/>
        </w:rPr>
        <w:t>a</w:t>
      </w:r>
      <w:r>
        <w:rPr>
          <w:w w:val="105"/>
          <w:sz w:val="16"/>
        </w:rPr>
        <w:t>Includes JC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Penney,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Mervyn’s, Federated, May, Sears,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others. Also includes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off-price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some licensing.</w:t>
      </w:r>
    </w:p>
    <w:p>
      <w:pPr>
        <w:spacing w:before="131"/>
        <w:ind w:left="140" w:right="0" w:firstLine="0"/>
        <w:jc w:val="left"/>
        <w:rPr>
          <w:sz w:val="16"/>
        </w:rPr>
      </w:pPr>
      <w:r>
        <w:rPr>
          <w:position w:val="6"/>
          <w:sz w:val="14"/>
        </w:rPr>
        <w:t>b</w:t>
      </w:r>
      <w:r>
        <w:rPr>
          <w:sz w:val="16"/>
        </w:rPr>
        <w:t>Full</w:t>
      </w:r>
      <w:r>
        <w:rPr>
          <w:spacing w:val="7"/>
          <w:sz w:val="16"/>
        </w:rPr>
        <w:t> </w:t>
      </w:r>
      <w:r>
        <w:rPr>
          <w:sz w:val="16"/>
        </w:rPr>
        <w:t>target</w:t>
      </w:r>
      <w:r>
        <w:rPr>
          <w:spacing w:val="7"/>
          <w:sz w:val="16"/>
        </w:rPr>
        <w:t> </w:t>
      </w:r>
      <w:r>
        <w:rPr>
          <w:sz w:val="16"/>
        </w:rPr>
        <w:t>rollout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7"/>
          <w:sz w:val="16"/>
        </w:rPr>
        <w:t> </w:t>
      </w:r>
      <w:r>
        <w:rPr>
          <w:sz w:val="16"/>
        </w:rPr>
        <w:t>972</w:t>
      </w:r>
      <w:r>
        <w:rPr>
          <w:spacing w:val="8"/>
          <w:sz w:val="16"/>
        </w:rPr>
        <w:t> </w:t>
      </w:r>
      <w:r>
        <w:rPr>
          <w:sz w:val="16"/>
        </w:rPr>
        <w:t>stores</w:t>
      </w:r>
      <w:r>
        <w:rPr>
          <w:spacing w:val="6"/>
          <w:sz w:val="16"/>
        </w:rPr>
        <w:t> </w:t>
      </w:r>
      <w:r>
        <w:rPr>
          <w:sz w:val="16"/>
        </w:rPr>
        <w:t>completed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January</w:t>
      </w:r>
      <w:r>
        <w:rPr>
          <w:spacing w:val="8"/>
          <w:sz w:val="16"/>
        </w:rPr>
        <w:t> </w:t>
      </w:r>
      <w:r>
        <w:rPr>
          <w:sz w:val="16"/>
        </w:rPr>
        <w:t>2001.</w:t>
      </w:r>
      <w:r>
        <w:rPr>
          <w:spacing w:val="8"/>
          <w:sz w:val="16"/>
        </w:rPr>
        <w:t> </w:t>
      </w:r>
      <w:r>
        <w:rPr>
          <w:sz w:val="16"/>
        </w:rPr>
        <w:t>Management</w:t>
      </w:r>
      <w:r>
        <w:rPr>
          <w:spacing w:val="8"/>
          <w:sz w:val="16"/>
        </w:rPr>
        <w:t> </w:t>
      </w:r>
      <w:r>
        <w:rPr>
          <w:sz w:val="16"/>
        </w:rPr>
        <w:t>projected</w:t>
      </w:r>
      <w:r>
        <w:rPr>
          <w:spacing w:val="8"/>
          <w:sz w:val="16"/>
        </w:rPr>
        <w:t> </w:t>
      </w:r>
      <w:r>
        <w:rPr>
          <w:sz w:val="16"/>
        </w:rPr>
        <w:t>$25</w:t>
      </w:r>
      <w:r>
        <w:rPr>
          <w:spacing w:val="7"/>
          <w:sz w:val="16"/>
        </w:rPr>
        <w:t> </w:t>
      </w:r>
      <w:r>
        <w:rPr>
          <w:sz w:val="16"/>
        </w:rPr>
        <w:t>million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revenue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2001.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70.5pt;margin-top:9.904444pt;width:453pt;height:.47998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12</w:t>
      </w:r>
    </w:p>
    <w:p>
      <w:pPr>
        <w:spacing w:after="0" w:line="195" w:lineRule="exact"/>
        <w:jc w:val="lef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tabs>
          <w:tab w:pos="9500" w:val="right" w:leader="none"/>
        </w:tabs>
        <w:spacing w:before="55"/>
        <w:ind w:left="500" w:right="0" w:firstLine="0"/>
        <w:jc w:val="left"/>
        <w:rPr>
          <w:rFonts w:ascii="Palatino Linotype"/>
          <w:b/>
          <w:sz w:val="16"/>
        </w:rPr>
      </w:pPr>
      <w:r>
        <w:rPr/>
        <w:pict>
          <v:shape style="position:absolute;margin-left:-127.97326pt;margin-top:332.008489pt;width:818.45pt;height:90pt;mso-position-horizontal-relative:page;mso-position-vertical-relative:page;z-index:-16867840;rotation:308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>
          <w:rFonts w:ascii="Palatino Linotype"/>
          <w:b/>
          <w:sz w:val="16"/>
        </w:rPr>
        <w:t>Berkshire</w:t>
      </w:r>
      <w:r>
        <w:rPr>
          <w:rFonts w:ascii="Palatino Linotype"/>
          <w:b/>
          <w:spacing w:val="-2"/>
          <w:sz w:val="16"/>
        </w:rPr>
        <w:t> </w:t>
      </w:r>
      <w:r>
        <w:rPr>
          <w:rFonts w:ascii="Palatino Linotype"/>
          <w:b/>
          <w:sz w:val="16"/>
        </w:rPr>
        <w:t>Partners: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Bidding</w:t>
      </w:r>
      <w:r>
        <w:rPr>
          <w:rFonts w:ascii="Palatino Linotype"/>
          <w:b/>
          <w:spacing w:val="-1"/>
          <w:sz w:val="16"/>
        </w:rPr>
        <w:t> </w:t>
      </w:r>
      <w:r>
        <w:rPr>
          <w:rFonts w:ascii="Palatino Linotype"/>
          <w:b/>
          <w:sz w:val="16"/>
        </w:rPr>
        <w:t>for</w:t>
      </w:r>
      <w:r>
        <w:rPr>
          <w:rFonts w:ascii="Palatino Linotype"/>
          <w:b/>
          <w:spacing w:val="1"/>
          <w:sz w:val="16"/>
        </w:rPr>
        <w:t> </w:t>
      </w:r>
      <w:r>
        <w:rPr>
          <w:rFonts w:ascii="Palatino Linotype"/>
          <w:b/>
          <w:sz w:val="16"/>
        </w:rPr>
        <w:t>Carter's</w:t>
        <w:tab/>
        <w:t>205-058</w:t>
      </w:r>
    </w:p>
    <w:p>
      <w:pPr>
        <w:pStyle w:val="BodyText"/>
        <w:tabs>
          <w:tab w:pos="1644" w:val="left" w:leader="none"/>
        </w:tabs>
        <w:spacing w:before="458"/>
        <w:ind w:left="500"/>
      </w:pPr>
      <w:r>
        <w:rPr>
          <w:rFonts w:ascii="Palatino Linotype"/>
          <w:b/>
        </w:rPr>
        <w:t>Exhibit</w:t>
      </w:r>
      <w:r>
        <w:rPr>
          <w:rFonts w:ascii="Palatino Linotype"/>
          <w:b/>
          <w:spacing w:val="-1"/>
        </w:rPr>
        <w:t> </w:t>
      </w:r>
      <w:r>
        <w:rPr>
          <w:rFonts w:ascii="Palatino Linotype"/>
          <w:b/>
        </w:rPr>
        <w:t>7c</w:t>
        <w:tab/>
      </w:r>
      <w:r>
        <w:rPr/>
        <w:t>Revenue</w:t>
      </w:r>
      <w:r>
        <w:rPr>
          <w:spacing w:val="18"/>
        </w:rPr>
        <w:t> </w:t>
      </w:r>
      <w:r>
        <w:rPr/>
        <w:t>Projections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Product</w:t>
      </w:r>
      <w:r>
        <w:rPr>
          <w:spacing w:val="17"/>
        </w:rPr>
        <w:t> </w:t>
      </w:r>
      <w:r>
        <w:rPr/>
        <w:t>(in</w:t>
      </w:r>
      <w:r>
        <w:rPr>
          <w:spacing w:val="18"/>
        </w:rPr>
        <w:t> </w:t>
      </w:r>
      <w:r>
        <w:rPr/>
        <w:t>millions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dollars)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2"/>
        <w:gridCol w:w="1134"/>
        <w:gridCol w:w="1014"/>
        <w:gridCol w:w="1437"/>
        <w:gridCol w:w="1105"/>
        <w:gridCol w:w="1168"/>
        <w:gridCol w:w="1041"/>
      </w:tblGrid>
      <w:tr>
        <w:trPr>
          <w:trHeight w:val="771" w:hRule="atLeast"/>
        </w:trPr>
        <w:tc>
          <w:tcPr>
            <w:tcW w:w="209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533"/>
              <w:ind w:right="31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2000A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Cambria"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Cambria"/>
                <w:sz w:val="23"/>
              </w:rPr>
            </w:pPr>
          </w:p>
          <w:p>
            <w:pPr>
              <w:pStyle w:val="TableParagraph"/>
              <w:spacing w:line="218" w:lineRule="exact" w:before="0"/>
              <w:ind w:right="21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2005E</w:t>
            </w:r>
          </w:p>
        </w:tc>
        <w:tc>
          <w:tcPr>
            <w:tcW w:w="143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26"/>
              </w:rPr>
            </w:pPr>
          </w:p>
          <w:p>
            <w:pPr>
              <w:pStyle w:val="TableParagraph"/>
              <w:spacing w:line="230" w:lineRule="exact" w:before="0"/>
              <w:ind w:left="202" w:right="135"/>
              <w:jc w:val="center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2005E–2000A</w:t>
            </w:r>
          </w:p>
          <w:p>
            <w:pPr>
              <w:pStyle w:val="TableParagraph"/>
              <w:spacing w:line="205" w:lineRule="exact" w:before="0"/>
              <w:ind w:left="202" w:right="135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Change</w:t>
            </w:r>
          </w:p>
        </w:tc>
        <w:tc>
          <w:tcPr>
            <w:tcW w:w="110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 w:before="97"/>
              <w:ind w:left="155" w:right="176" w:hanging="1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% of</w:t>
            </w:r>
            <w:r>
              <w:rPr>
                <w:rFonts w:ascii="Palatino Linotype"/>
                <w:b/>
                <w:spacing w:val="1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Projected</w:t>
            </w:r>
            <w:r>
              <w:rPr>
                <w:rFonts w:ascii="Palatino Linotype"/>
                <w:b/>
                <w:spacing w:val="-42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Growth</w:t>
            </w:r>
          </w:p>
        </w:tc>
        <w:tc>
          <w:tcPr>
            <w:tcW w:w="116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rFonts w:ascii="Cambria"/>
                <w:sz w:val="26"/>
              </w:rPr>
            </w:pPr>
          </w:p>
          <w:p>
            <w:pPr>
              <w:pStyle w:val="TableParagraph"/>
              <w:spacing w:line="218" w:lineRule="exact" w:before="0"/>
              <w:ind w:left="290" w:right="199" w:hanging="111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Projected</w:t>
            </w:r>
            <w:r>
              <w:rPr>
                <w:rFonts w:ascii="Palatino Linotype"/>
                <w:b/>
                <w:spacing w:val="-42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CAGR</w:t>
            </w:r>
          </w:p>
        </w:tc>
        <w:tc>
          <w:tcPr>
            <w:tcW w:w="104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26"/>
              </w:rPr>
            </w:pPr>
          </w:p>
          <w:p>
            <w:pPr>
              <w:pStyle w:val="TableParagraph"/>
              <w:spacing w:line="230" w:lineRule="exact" w:before="0"/>
              <w:ind w:left="269"/>
              <w:jc w:val="left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>96–00</w:t>
            </w:r>
          </w:p>
          <w:p>
            <w:pPr>
              <w:pStyle w:val="TableParagraph"/>
              <w:spacing w:line="205" w:lineRule="exact" w:before="0"/>
              <w:ind w:left="219"/>
              <w:jc w:val="left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CAGR</w:t>
            </w:r>
          </w:p>
        </w:tc>
      </w:tr>
      <w:tr>
        <w:trPr>
          <w:trHeight w:val="443" w:hRule="atLeast"/>
        </w:trPr>
        <w:tc>
          <w:tcPr>
            <w:tcW w:w="20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Wholesale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Baby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right="343"/>
              <w:rPr>
                <w:sz w:val="18"/>
              </w:rPr>
            </w:pPr>
            <w:r>
              <w:rPr>
                <w:sz w:val="18"/>
              </w:rPr>
              <w:t>120.0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right="229"/>
              <w:rPr>
                <w:sz w:val="18"/>
              </w:rPr>
            </w:pPr>
            <w:r>
              <w:rPr>
                <w:sz w:val="18"/>
              </w:rPr>
              <w:t>177.0</w:t>
            </w:r>
          </w:p>
        </w:tc>
        <w:tc>
          <w:tcPr>
            <w:tcW w:w="14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right="454"/>
              <w:rPr>
                <w:sz w:val="18"/>
              </w:rPr>
            </w:pPr>
            <w:r>
              <w:rPr>
                <w:sz w:val="18"/>
              </w:rPr>
              <w:t>57.0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left="235" w:right="122"/>
              <w:jc w:val="center"/>
              <w:rPr>
                <w:sz w:val="18"/>
              </w:rPr>
            </w:pPr>
            <w:r>
              <w:rPr>
                <w:sz w:val="18"/>
              </w:rPr>
              <w:t>12.2%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right="326"/>
              <w:rPr>
                <w:sz w:val="18"/>
              </w:rPr>
            </w:pPr>
            <w:r>
              <w:rPr>
                <w:sz w:val="18"/>
              </w:rPr>
              <w:t>8.1%</w:t>
            </w:r>
          </w:p>
        </w:tc>
        <w:tc>
          <w:tcPr>
            <w:tcW w:w="1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15"/>
              </w:rPr>
            </w:pPr>
          </w:p>
          <w:p>
            <w:pPr>
              <w:pStyle w:val="TableParagraph"/>
              <w:spacing w:before="0"/>
              <w:ind w:right="261"/>
              <w:rPr>
                <w:sz w:val="18"/>
              </w:rPr>
            </w:pPr>
            <w:r>
              <w:rPr>
                <w:sz w:val="18"/>
              </w:rPr>
              <w:t>9.4%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Wholesale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Sleepwear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3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8"/>
              <w:rPr>
                <w:sz w:val="18"/>
              </w:rPr>
            </w:pPr>
            <w:r>
              <w:rPr>
                <w:sz w:val="18"/>
              </w:rPr>
              <w:t>130.0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38.1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23"/>
              <w:jc w:val="center"/>
              <w:rPr>
                <w:sz w:val="18"/>
              </w:rPr>
            </w:pPr>
            <w:r>
              <w:rPr>
                <w:sz w:val="18"/>
              </w:rPr>
              <w:t>8.2%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7.2%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11.5%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Wholesale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Playwear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3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8"/>
              <w:rPr>
                <w:sz w:val="18"/>
              </w:rPr>
            </w:pPr>
            <w:r>
              <w:rPr>
                <w:sz w:val="18"/>
              </w:rPr>
              <w:t>125.0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3"/>
              <w:rPr>
                <w:sz w:val="18"/>
              </w:rPr>
            </w:pPr>
            <w:r>
              <w:rPr>
                <w:sz w:val="18"/>
              </w:rPr>
              <w:t>100.9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122"/>
              <w:jc w:val="center"/>
              <w:rPr>
                <w:sz w:val="18"/>
              </w:rPr>
            </w:pPr>
            <w:r>
              <w:rPr>
                <w:sz w:val="18"/>
              </w:rPr>
              <w:t>21.6%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5"/>
              <w:rPr>
                <w:sz w:val="18"/>
              </w:rPr>
            </w:pPr>
            <w:r>
              <w:rPr>
                <w:sz w:val="18"/>
              </w:rPr>
              <w:t>39.0%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-1.3%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Off-Price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7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3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21"/>
              <w:jc w:val="center"/>
              <w:rPr>
                <w:sz w:val="18"/>
              </w:rPr>
            </w:pPr>
            <w:r>
              <w:rPr>
                <w:sz w:val="18"/>
              </w:rPr>
              <w:t>1.1%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5"/>
              <w:rPr>
                <w:sz w:val="18"/>
              </w:rPr>
            </w:pPr>
            <w:r>
              <w:rPr>
                <w:sz w:val="18"/>
              </w:rPr>
              <w:t>5.3%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59"/>
              <w:rPr>
                <w:sz w:val="18"/>
              </w:rPr>
            </w:pPr>
            <w:r>
              <w:rPr>
                <w:sz w:val="18"/>
              </w:rPr>
              <w:t>4.2%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Outlet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Baby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2"/>
              <w:rPr>
                <w:sz w:val="18"/>
              </w:rPr>
            </w:pPr>
            <w:r>
              <w:rPr>
                <w:sz w:val="18"/>
              </w:rPr>
              <w:t>40.7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7"/>
              <w:rPr>
                <w:sz w:val="18"/>
              </w:rPr>
            </w:pPr>
            <w:r>
              <w:rPr>
                <w:sz w:val="18"/>
              </w:rPr>
              <w:t>61.5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23"/>
              <w:jc w:val="center"/>
              <w:rPr>
                <w:sz w:val="18"/>
              </w:rPr>
            </w:pPr>
            <w:r>
              <w:rPr>
                <w:sz w:val="18"/>
              </w:rPr>
              <w:t>4.5%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8.6%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18.0%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Outlet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Sleepwear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3"/>
              <w:rPr>
                <w:sz w:val="18"/>
              </w:rPr>
            </w:pPr>
            <w:r>
              <w:rPr>
                <w:sz w:val="18"/>
              </w:rPr>
              <w:t>34.3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8"/>
              <w:rPr>
                <w:sz w:val="18"/>
              </w:rPr>
            </w:pPr>
            <w:r>
              <w:rPr>
                <w:sz w:val="18"/>
              </w:rPr>
              <w:t>48.7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23"/>
              <w:jc w:val="center"/>
              <w:rPr>
                <w:sz w:val="18"/>
              </w:rPr>
            </w:pPr>
            <w:r>
              <w:rPr>
                <w:sz w:val="18"/>
              </w:rPr>
              <w:t>3.1%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7.3%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11.7%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Outlet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Playwear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8"/>
              <w:rPr>
                <w:sz w:val="18"/>
              </w:rPr>
            </w:pPr>
            <w:r>
              <w:rPr>
                <w:sz w:val="18"/>
              </w:rPr>
              <w:t>148.3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64.4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122"/>
              <w:jc w:val="center"/>
              <w:rPr>
                <w:sz w:val="18"/>
              </w:rPr>
            </w:pPr>
            <w:r>
              <w:rPr>
                <w:sz w:val="18"/>
              </w:rPr>
              <w:t>13.8%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12.1%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11.1%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Outlet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2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7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23"/>
              <w:jc w:val="center"/>
              <w:rPr>
                <w:sz w:val="18"/>
              </w:rPr>
            </w:pPr>
            <w:r>
              <w:rPr>
                <w:sz w:val="18"/>
              </w:rPr>
              <w:t>3.1%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4.7%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right="261"/>
              <w:rPr>
                <w:sz w:val="18"/>
              </w:rPr>
            </w:pPr>
            <w:r>
              <w:rPr>
                <w:sz w:val="18"/>
              </w:rPr>
              <w:t>14.2%</w:t>
            </w:r>
          </w:p>
        </w:tc>
      </w:tr>
      <w:tr>
        <w:trPr>
          <w:trHeight w:val="300" w:hRule="atLeast"/>
        </w:trPr>
        <w:tc>
          <w:tcPr>
            <w:tcW w:w="2092" w:type="dxa"/>
          </w:tcPr>
          <w:p>
            <w:pPr>
              <w:pStyle w:val="TableParagraph"/>
              <w:spacing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(Baby)</w:t>
            </w:r>
          </w:p>
        </w:tc>
        <w:tc>
          <w:tcPr>
            <w:tcW w:w="1134" w:type="dxa"/>
          </w:tcPr>
          <w:p>
            <w:pPr>
              <w:pStyle w:val="TableParagraph"/>
              <w:spacing w:before="43"/>
              <w:ind w:right="344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1014" w:type="dxa"/>
          </w:tcPr>
          <w:p>
            <w:pPr>
              <w:pStyle w:val="TableParagraph"/>
              <w:spacing w:before="43"/>
              <w:ind w:right="228"/>
              <w:rPr>
                <w:sz w:val="18"/>
              </w:rPr>
            </w:pPr>
            <w:r>
              <w:rPr>
                <w:sz w:val="18"/>
              </w:rPr>
              <w:t>100.0</w:t>
            </w:r>
          </w:p>
        </w:tc>
        <w:tc>
          <w:tcPr>
            <w:tcW w:w="1437" w:type="dxa"/>
          </w:tcPr>
          <w:p>
            <w:pPr>
              <w:pStyle w:val="TableParagraph"/>
              <w:spacing w:before="43"/>
              <w:ind w:right="454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1105" w:type="dxa"/>
          </w:tcPr>
          <w:p>
            <w:pPr>
              <w:pStyle w:val="TableParagraph"/>
              <w:spacing w:before="43"/>
              <w:ind w:left="235" w:right="122"/>
              <w:jc w:val="center"/>
              <w:rPr>
                <w:sz w:val="18"/>
              </w:rPr>
            </w:pPr>
            <w:r>
              <w:rPr>
                <w:sz w:val="18"/>
              </w:rPr>
              <w:t>20.6%</w:t>
            </w:r>
          </w:p>
        </w:tc>
        <w:tc>
          <w:tcPr>
            <w:tcW w:w="1168" w:type="dxa"/>
          </w:tcPr>
          <w:p>
            <w:pPr>
              <w:pStyle w:val="TableParagraph"/>
              <w:spacing w:before="43"/>
              <w:ind w:right="326"/>
              <w:rPr>
                <w:sz w:val="18"/>
              </w:rPr>
            </w:pPr>
            <w:r>
              <w:rPr>
                <w:sz w:val="18"/>
              </w:rPr>
              <w:t>90.4%</w:t>
            </w:r>
          </w:p>
        </w:tc>
        <w:tc>
          <w:tcPr>
            <w:tcW w:w="1041" w:type="dxa"/>
          </w:tcPr>
          <w:p>
            <w:pPr>
              <w:pStyle w:val="TableParagraph"/>
              <w:spacing w:before="43"/>
              <w:ind w:left="329" w:right="551"/>
              <w:jc w:val="center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rPr>
          <w:trHeight w:val="255" w:hRule="atLeast"/>
        </w:trPr>
        <w:tc>
          <w:tcPr>
            <w:tcW w:w="2092" w:type="dxa"/>
          </w:tcPr>
          <w:p>
            <w:pPr>
              <w:pStyle w:val="TableParagraph"/>
              <w:spacing w:line="192" w:lineRule="exact" w:before="43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FullPrice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Retail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34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228"/>
              <w:rPr>
                <w:sz w:val="18"/>
              </w:rPr>
            </w:pPr>
            <w:r>
              <w:rPr>
                <w:sz w:val="18"/>
              </w:rPr>
              <w:t>56.0</w:t>
            </w: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right="453"/>
              <w:rPr>
                <w:sz w:val="18"/>
              </w:rPr>
            </w:pPr>
            <w:r>
              <w:rPr>
                <w:sz w:val="18"/>
              </w:rPr>
              <w:t>56.0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235" w:right="121"/>
              <w:jc w:val="center"/>
              <w:rPr>
                <w:sz w:val="18"/>
              </w:rPr>
            </w:pPr>
            <w:r>
              <w:rPr>
                <w:sz w:val="18"/>
              </w:rPr>
              <w:t>12.0%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392" w:right="616"/>
              <w:jc w:val="center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  <w:tc>
          <w:tcPr>
            <w:tcW w:w="10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3"/>
              <w:ind w:left="329" w:right="550"/>
              <w:jc w:val="center"/>
              <w:rPr>
                <w:sz w:val="18"/>
              </w:rPr>
            </w:pPr>
            <w:r>
              <w:rPr>
                <w:sz w:val="18"/>
              </w:rPr>
              <w:t>--</w:t>
            </w:r>
          </w:p>
        </w:tc>
      </w:tr>
      <w:tr>
        <w:trPr>
          <w:trHeight w:val="520" w:hRule="atLeast"/>
        </w:trPr>
        <w:tc>
          <w:tcPr>
            <w:tcW w:w="20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right="3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472.3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right="2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939.3</w:t>
            </w:r>
          </w:p>
        </w:tc>
        <w:tc>
          <w:tcPr>
            <w:tcW w:w="14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right="4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467.0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235" w:right="21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100.0%</w:t>
            </w: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right="3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14.7%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right="2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10.4%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tabs>
          <w:tab w:pos="1220" w:val="left" w:leader="none"/>
        </w:tabs>
        <w:spacing w:before="0"/>
        <w:ind w:left="500" w:right="0" w:firstLine="0"/>
        <w:jc w:val="left"/>
        <w:rPr>
          <w:sz w:val="16"/>
        </w:rPr>
      </w:pP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88.5pt;margin-top:9.886313pt;width:453pt;height:.47998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95" w:lineRule="exact" w:before="0"/>
        <w:ind w:left="0" w:right="139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13</w:t>
      </w:r>
    </w:p>
    <w:p>
      <w:pPr>
        <w:spacing w:after="0" w:line="195" w:lineRule="exact"/>
        <w:jc w:val="right"/>
        <w:rPr>
          <w:rFonts w:ascii="Arial"/>
          <w:sz w:val="18"/>
        </w:rPr>
        <w:sectPr>
          <w:pgSz w:w="12240" w:h="15840"/>
          <w:pgMar w:header="0" w:footer="501" w:top="920" w:bottom="700" w:left="1300" w:right="1300"/>
        </w:sectPr>
      </w:pPr>
    </w:p>
    <w:p>
      <w:pPr>
        <w:spacing w:before="62"/>
        <w:ind w:left="0" w:right="98" w:firstLine="0"/>
        <w:jc w:val="right"/>
        <w:rPr>
          <w:rFonts w:ascii="Palatino Linotype"/>
          <w:b/>
          <w:sz w:val="16"/>
        </w:rPr>
      </w:pPr>
      <w:r>
        <w:rPr>
          <w:rFonts w:ascii="Palatino Linotype"/>
          <w:b/>
          <w:spacing w:val="-1"/>
          <w:sz w:val="16"/>
        </w:rPr>
        <w:t>205-058</w:t>
      </w:r>
      <w:r>
        <w:rPr>
          <w:rFonts w:ascii="Palatino Linotype"/>
          <w:b/>
          <w:spacing w:val="60"/>
          <w:sz w:val="16"/>
        </w:rPr>
        <w:t> </w:t>
      </w:r>
      <w:r>
        <w:rPr>
          <w:rFonts w:ascii="Palatino Linotype"/>
          <w:b/>
          <w:spacing w:val="60"/>
          <w:sz w:val="16"/>
        </w:rPr>
        <w:t> </w:t>
      </w:r>
      <w:r>
        <w:rPr>
          <w:rFonts w:ascii="Palatino Linotype"/>
          <w:b/>
          <w:sz w:val="16"/>
        </w:rPr>
        <w:t>-14-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4"/>
        <w:rPr>
          <w:rFonts w:ascii="Palatino Linotype"/>
          <w:b/>
          <w:sz w:val="22"/>
        </w:rPr>
      </w:pPr>
    </w:p>
    <w:p>
      <w:pPr>
        <w:pStyle w:val="BodyText"/>
        <w:tabs>
          <w:tab w:pos="1155" w:val="left" w:leader="none"/>
        </w:tabs>
        <w:spacing w:before="75"/>
        <w:ind w:left="100"/>
      </w:pPr>
      <w:r>
        <w:rPr>
          <w:rFonts w:ascii="Palatino Linotype"/>
          <w:b/>
          <w:w w:val="105"/>
        </w:rPr>
        <w:t>Exhibit</w:t>
      </w:r>
      <w:r>
        <w:rPr>
          <w:rFonts w:ascii="Palatino Linotype"/>
          <w:b/>
          <w:spacing w:val="-13"/>
          <w:w w:val="105"/>
        </w:rPr>
        <w:t> </w:t>
      </w:r>
      <w:r>
        <w:rPr>
          <w:rFonts w:ascii="Palatino Linotype"/>
          <w:b/>
          <w:w w:val="105"/>
        </w:rPr>
        <w:t>8</w:t>
        <w:tab/>
      </w:r>
      <w:r>
        <w:rPr>
          <w:w w:val="105"/>
        </w:rPr>
        <w:t>Comparable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Data,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2001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millions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dollars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noted)</w:t>
      </w:r>
    </w:p>
    <w:p>
      <w:pPr>
        <w:pStyle w:val="BodyText"/>
        <w:spacing w:before="2"/>
      </w:pPr>
      <w:r>
        <w:rPr/>
        <w:pict>
          <v:rect style="position:absolute;margin-left:36.480pt;margin-top:13.814278pt;width:719.52pt;height:.72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footerReference w:type="default" r:id="rId11"/>
          <w:pgSz w:w="15840" w:h="12240" w:orient="landscape"/>
          <w:pgMar w:footer="0" w:header="0" w:top="640" w:bottom="280" w:left="620" w:right="620"/>
        </w:sectPr>
      </w:pPr>
    </w:p>
    <w:p>
      <w:pPr>
        <w:spacing w:before="74"/>
        <w:ind w:left="0" w:right="0" w:firstLine="0"/>
        <w:jc w:val="right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Stock</w:t>
      </w:r>
    </w:p>
    <w:p>
      <w:pPr>
        <w:spacing w:before="74"/>
        <w:ind w:left="0" w:right="38" w:firstLine="0"/>
        <w:jc w:val="right"/>
        <w:rPr>
          <w:rFonts w:ascii="Palatino Linotype"/>
          <w:b/>
          <w:sz w:val="16"/>
        </w:rPr>
      </w:pPr>
      <w:r>
        <w:rPr/>
        <w:br w:type="column"/>
      </w:r>
      <w:r>
        <w:rPr>
          <w:rFonts w:ascii="Palatino Linotype"/>
          <w:b/>
          <w:sz w:val="16"/>
        </w:rPr>
        <w:t>Earnings</w:t>
      </w:r>
    </w:p>
    <w:p>
      <w:pPr>
        <w:spacing w:before="74"/>
        <w:ind w:left="0" w:right="0" w:firstLine="0"/>
        <w:jc w:val="right"/>
        <w:rPr>
          <w:rFonts w:ascii="Palatino Linotype"/>
          <w:b/>
          <w:sz w:val="16"/>
        </w:rPr>
      </w:pPr>
      <w:r>
        <w:rPr/>
        <w:br w:type="column"/>
      </w:r>
      <w:r>
        <w:rPr>
          <w:rFonts w:ascii="Palatino Linotype"/>
          <w:b/>
          <w:sz w:val="16"/>
        </w:rPr>
        <w:t>Interest-</w:t>
      </w:r>
    </w:p>
    <w:p>
      <w:pPr>
        <w:spacing w:before="74"/>
        <w:ind w:left="1633" w:right="1200" w:firstLine="0"/>
        <w:jc w:val="center"/>
        <w:rPr>
          <w:rFonts w:ascii="Palatino Linotype"/>
          <w:b/>
          <w:sz w:val="16"/>
        </w:rPr>
      </w:pPr>
      <w:r>
        <w:rPr/>
        <w:br w:type="column"/>
      </w:r>
      <w:r>
        <w:rPr>
          <w:rFonts w:ascii="Palatino Linotype"/>
          <w:b/>
          <w:sz w:val="16"/>
        </w:rPr>
        <w:t>5-Year</w:t>
      </w:r>
    </w:p>
    <w:p>
      <w:pPr>
        <w:spacing w:after="0"/>
        <w:jc w:val="center"/>
        <w:rPr>
          <w:rFonts w:ascii="Palatino Linotype"/>
          <w:sz w:val="16"/>
        </w:rPr>
        <w:sectPr>
          <w:type w:val="continuous"/>
          <w:pgSz w:w="15840" w:h="12240" w:orient="landscape"/>
          <w:pgMar w:top="1020" w:bottom="700" w:left="620" w:right="620"/>
          <w:cols w:num="4" w:equalWidth="0">
            <w:col w:w="2675" w:space="40"/>
            <w:col w:w="2793" w:space="2838"/>
            <w:col w:w="2879" w:space="39"/>
            <w:col w:w="3336"/>
          </w:cols>
        </w:sectPr>
      </w:pPr>
    </w:p>
    <w:p>
      <w:pPr>
        <w:pStyle w:val="BodyText"/>
        <w:rPr>
          <w:rFonts w:ascii="Palatino Linotype"/>
          <w:b/>
        </w:rPr>
      </w:pPr>
      <w:r>
        <w:rPr/>
        <w:pict>
          <v:shape style="position:absolute;margin-left:5.469124pt;margin-top:236.251755pt;width:819.1pt;height:90pt;mso-position-horizontal-relative:page;mso-position-vertical-relative:page;z-index:-16866816;rotation:37" type="#_x0000_t136" fillcolor="#000000" stroked="f">
            <o:extrusion v:ext="view" autorotationcenter="t"/>
            <v:textpath style="font-family:&quot;Arial MT&quot;;font-size:90pt;v-text-kern:t;mso-text-shadow:auto" string="Do Not Copy or Post"/>
            <w10:wrap type="none"/>
          </v:shape>
        </w:pict>
      </w:r>
      <w:r>
        <w:rPr/>
        <w:pict>
          <v:shape style="position:absolute;margin-left:17.816601pt;margin-top:9.0505pt;width:18.25pt;height:593.9pt;mso-position-horizontal-relative:page;mso-position-vertical-relative:page;z-index:-16866304" type="#_x0000_t202" filled="false" stroked="false">
            <v:textbox inset="0,0,0,0" style="layout-flow:vertical">
              <w:txbxContent>
                <w:p>
                  <w:pPr>
                    <w:spacing w:line="249" w:lineRule="auto" w:before="15"/>
                    <w:ind w:left="4098" w:right="0" w:hanging="4079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pacing w:val="-1"/>
                      <w:sz w:val="14"/>
                    </w:rPr>
                    <w:t>This document is authorized for educator review use only by GOURISHANKAR HIREMATH, Gokhale Institute of Politics </w:t>
                  </w:r>
                  <w:r>
                    <w:rPr>
                      <w:rFonts w:ascii="Arial MT"/>
                      <w:sz w:val="14"/>
                    </w:rPr>
                    <w:t>and Economics until Jun 2021. Copying or posting is an infringement of</w:t>
                  </w:r>
                  <w:r>
                    <w:rPr>
                      <w:rFonts w:ascii="Arial MT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copyright.</w:t>
                  </w:r>
                  <w:r>
                    <w:rPr>
                      <w:rFonts w:ascii="Arial MT"/>
                      <w:spacing w:val="-10"/>
                      <w:sz w:val="14"/>
                    </w:rPr>
                    <w:t> </w:t>
                  </w:r>
                  <w:hyperlink r:id="rId12">
                    <w:r>
                      <w:rPr>
                        <w:rFonts w:ascii="Arial MT"/>
                        <w:sz w:val="14"/>
                      </w:rPr>
                      <w:t>Permissions@hbsp.harvard.edu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</w:hyperlink>
                  <w:r>
                    <w:rPr>
                      <w:rFonts w:ascii="Arial MT"/>
                      <w:sz w:val="14"/>
                    </w:rPr>
                    <w:t>or</w:t>
                  </w:r>
                  <w:r>
                    <w:rPr>
                      <w:rFonts w:ascii="Arial MT"/>
                      <w:spacing w:val="-1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617.783.7860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12"/>
        <w:rPr>
          <w:rFonts w:ascii="Palatino Linotype"/>
          <w:b/>
          <w:sz w:val="13"/>
        </w:rPr>
      </w:pPr>
    </w:p>
    <w:p>
      <w:pPr>
        <w:tabs>
          <w:tab w:pos="820" w:val="left" w:leader="none"/>
        </w:tabs>
        <w:spacing w:before="95"/>
        <w:ind w:left="100" w:right="0" w:firstLine="0"/>
        <w:jc w:val="left"/>
        <w:rPr>
          <w:sz w:val="16"/>
        </w:rPr>
      </w:pPr>
      <w:r>
        <w:rPr/>
        <w:pict>
          <v:shape style="position:absolute;margin-left:36.209999pt;margin-top:-108.517036pt;width:719.8pt;height:99.6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35"/>
                    <w:gridCol w:w="1009"/>
                    <w:gridCol w:w="860"/>
                    <w:gridCol w:w="844"/>
                    <w:gridCol w:w="1023"/>
                    <w:gridCol w:w="876"/>
                    <w:gridCol w:w="958"/>
                    <w:gridCol w:w="1035"/>
                    <w:gridCol w:w="910"/>
                    <w:gridCol w:w="992"/>
                    <w:gridCol w:w="905"/>
                    <w:gridCol w:w="1327"/>
                    <w:gridCol w:w="948"/>
                    <w:gridCol w:w="863"/>
                  </w:tblGrid>
                  <w:tr>
                    <w:trPr>
                      <w:trHeight w:val="474" w:hRule="atLeast"/>
                    </w:trPr>
                    <w:tc>
                      <w:tcPr>
                        <w:tcW w:w="183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284" w:right="210" w:firstLine="64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Price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6/13/01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222" w:right="201" w:firstLine="87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P/E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2001E</w:t>
                        </w:r>
                      </w:p>
                    </w:tc>
                    <w:tc>
                      <w:tcPr>
                        <w:tcW w:w="84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217" w:right="190" w:firstLine="87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P/E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2002E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327" w:right="227" w:hanging="120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Growth</w:t>
                        </w:r>
                        <w:r>
                          <w:rPr>
                            <w:rFonts w:ascii="Palatino Linotype"/>
                            <w:b/>
                            <w:spacing w:val="-38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Rate</w:t>
                        </w:r>
                      </w:p>
                    </w:tc>
                    <w:tc>
                      <w:tcPr>
                        <w:tcW w:w="87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71"/>
                          <w:ind w:left="285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IPO</w:t>
                        </w:r>
                      </w:p>
                      <w:p>
                        <w:pPr>
                          <w:pStyle w:val="TableParagraph"/>
                          <w:spacing w:line="179" w:lineRule="exact" w:before="0"/>
                          <w:ind w:left="258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Date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 w:before="0"/>
                          <w:ind w:left="322" w:right="178" w:hanging="50"/>
                          <w:jc w:val="left"/>
                          <w:rPr>
                            <w:rFonts w:ascii="Palatino Linotype"/>
                            <w:b/>
                            <w:sz w:val="14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Equity</w:t>
                        </w:r>
                        <w:r>
                          <w:rPr>
                            <w:rFonts w:ascii="Palatino Linotype"/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Beta</w:t>
                        </w:r>
                        <w:r>
                          <w:rPr>
                            <w:rFonts w:ascii="Palatino Linotype"/>
                            <w:b/>
                            <w:position w:val="6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0"/>
                          <w:ind w:right="190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Revenue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0"/>
                          <w:ind w:left="263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EBIT</w:t>
                        </w:r>
                      </w:p>
                    </w:tc>
                    <w:tc>
                      <w:tcPr>
                        <w:tcW w:w="9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0"/>
                          <w:ind w:left="166" w:right="156"/>
                          <w:jc w:val="center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EBITDA</w:t>
                        </w:r>
                      </w:p>
                    </w:tc>
                    <w:tc>
                      <w:tcPr>
                        <w:tcW w:w="90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289" w:right="130" w:hanging="102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Bearing</w:t>
                        </w:r>
                        <w:r>
                          <w:rPr>
                            <w:rFonts w:ascii="Palatino Linotype"/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Debt</w:t>
                        </w:r>
                      </w:p>
                    </w:tc>
                    <w:tc>
                      <w:tcPr>
                        <w:tcW w:w="132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163" w:right="118" w:firstLine="253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Market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16"/>
                          </w:rPr>
                          <w:t>Capitalization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141" w:right="129" w:firstLine="26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Average</w:t>
                        </w:r>
                        <w:r>
                          <w:rPr>
                            <w:rFonts w:ascii="Palatino Linotype"/>
                            <w:b/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Leverage</w:t>
                        </w:r>
                      </w:p>
                    </w:tc>
                    <w:tc>
                      <w:tcPr>
                        <w:tcW w:w="86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2" w:lineRule="exact" w:before="70"/>
                          <w:ind w:left="166" w:right="140" w:firstLine="138"/>
                          <w:jc w:val="left"/>
                          <w:rPr>
                            <w:rFonts w:ascii="Palatino Linotype"/>
                            <w:b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6"/>
                          </w:rPr>
                          <w:t>Net</w:t>
                        </w:r>
                        <w:r>
                          <w:rPr>
                            <w:rFonts w:ascii="Palatino Linotype"/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16"/>
                          </w:rPr>
                          <w:t>Income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18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Nike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$41.35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9" w:right="20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19.2x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8" w:right="20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15.8x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15%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1980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4" w:right="30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9,488.8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1,014.2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3" w:right="15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1,211.6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8" w:right="1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1,296.6</w:t>
                        </w:r>
                      </w:p>
                    </w:tc>
                    <w:tc>
                      <w:tcPr>
                        <w:tcW w:w="132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7,224.3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8.4%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rFonts w:ascii="Cambria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5" w:right="20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589.7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55"/>
                          <w:ind w:left="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Jones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Apparel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Group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5"/>
                          <w:ind w:right="2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$40.90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55"/>
                          <w:ind w:left="219" w:right="20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13.7x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55"/>
                          <w:ind w:left="208" w:right="2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12.0x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before="55"/>
                          <w:ind w:left="31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17%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55"/>
                          <w:ind w:left="2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1991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55"/>
                          <w:ind w:left="384" w:right="30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1.1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before="55"/>
                          <w:ind w:right="2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4,115.3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55"/>
                          <w:ind w:right="1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645.9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55"/>
                          <w:ind w:left="166" w:right="4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757.3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55"/>
                          <w:ind w:left="179" w:right="1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1,482.1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55"/>
                          <w:ind w:right="3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5,343.6</w:t>
                        </w:r>
                      </w:p>
                    </w:tc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before="55"/>
                          <w:ind w:right="2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17.1%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55"/>
                          <w:ind w:left="216" w:right="2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327.6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before="55"/>
                          <w:ind w:left="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Tommy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Hilfiger</w:t>
                        </w:r>
                      </w:p>
                    </w:tc>
                    <w:tc>
                      <w:tcPr>
                        <w:tcW w:w="1009" w:type="dxa"/>
                      </w:tcPr>
                      <w:p>
                        <w:pPr>
                          <w:pStyle w:val="TableParagraph"/>
                          <w:spacing w:before="55"/>
                          <w:ind w:right="2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$13.65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55"/>
                          <w:ind w:left="219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9.0x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55"/>
                          <w:ind w:left="208" w:right="1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7.9x</w:t>
                        </w:r>
                      </w:p>
                    </w:tc>
                    <w:tc>
                      <w:tcPr>
                        <w:tcW w:w="1023" w:type="dxa"/>
                      </w:tcPr>
                      <w:p>
                        <w:pPr>
                          <w:pStyle w:val="TableParagraph"/>
                          <w:spacing w:before="55"/>
                          <w:ind w:left="31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10%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55"/>
                          <w:ind w:left="2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1992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55"/>
                          <w:ind w:left="384" w:right="30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1.3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before="55"/>
                          <w:ind w:righ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1,836.7</w:t>
                        </w:r>
                      </w:p>
                    </w:tc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55"/>
                          <w:ind w:right="1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194.6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55"/>
                          <w:ind w:left="16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302.1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55"/>
                          <w:ind w:left="179"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567.0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55"/>
                          <w:ind w:right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1,245.7</w:t>
                        </w:r>
                      </w:p>
                    </w:tc>
                    <w:tc>
                      <w:tcPr>
                        <w:tcW w:w="948" w:type="dxa"/>
                      </w:tcPr>
                      <w:p>
                        <w:pPr>
                          <w:pStyle w:val="TableParagraph"/>
                          <w:spacing w:before="55"/>
                          <w:ind w:right="2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18.1%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55"/>
                          <w:ind w:left="216" w:right="20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130.2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83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Liz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Claiborne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2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$24.92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19" w:right="20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12.3x</w:t>
                        </w:r>
                      </w:p>
                    </w:tc>
                    <w:tc>
                      <w:tcPr>
                        <w:tcW w:w="84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08" w:right="20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10.9x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31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12%</w:t>
                        </w:r>
                      </w:p>
                    </w:tc>
                    <w:tc>
                      <w:tcPr>
                        <w:tcW w:w="876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1981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383" w:right="30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1.2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3,186.7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1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333.4</w:t>
                        </w:r>
                      </w:p>
                    </w:tc>
                    <w:tc>
                      <w:tcPr>
                        <w:tcW w:w="99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66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417.9</w:t>
                        </w:r>
                      </w:p>
                    </w:tc>
                    <w:tc>
                      <w:tcPr>
                        <w:tcW w:w="90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79"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519.6</w:t>
                        </w:r>
                      </w:p>
                    </w:tc>
                    <w:tc>
                      <w:tcPr>
                        <w:tcW w:w="132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2,650.2</w:t>
                        </w:r>
                      </w:p>
                    </w:tc>
                    <w:tc>
                      <w:tcPr>
                        <w:tcW w:w="94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2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4.4%</w:t>
                        </w:r>
                      </w:p>
                    </w:tc>
                    <w:tc>
                      <w:tcPr>
                        <w:tcW w:w="86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16" w:right="20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184.6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Source:</w:t>
        <w:tab/>
        <w:t>Adapted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company materials.</w:t>
      </w:r>
    </w:p>
    <w:p>
      <w:pPr>
        <w:spacing w:before="131"/>
        <w:ind w:left="100" w:right="0" w:firstLine="0"/>
        <w:jc w:val="left"/>
        <w:rPr>
          <w:sz w:val="16"/>
        </w:rPr>
      </w:pPr>
      <w:r>
        <w:rPr>
          <w:spacing w:val="-1"/>
          <w:w w:val="105"/>
          <w:position w:val="6"/>
          <w:sz w:val="14"/>
        </w:rPr>
        <w:t>a</w:t>
      </w:r>
      <w:r>
        <w:rPr>
          <w:spacing w:val="-1"/>
          <w:w w:val="105"/>
          <w:sz w:val="16"/>
        </w:rPr>
        <w:t>Equity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betas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were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calculated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five-year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monthly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returns.</w:t>
      </w:r>
    </w:p>
    <w:sectPr>
      <w:type w:val="continuous"/>
      <w:pgSz w:w="15840" w:h="12240" w:orient="landscape"/>
      <w:pgMar w:top="1020" w:bottom="70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.0505pt;margin-top:755.963074pt;width:593.9pt;height:18.25pt;mso-position-horizontal-relative:page;mso-position-vertical-relative:page;z-index:-16883712" type="#_x0000_t202" filled="false" stroked="false">
          <v:textbox inset="0,0,0,0">
            <w:txbxContent>
              <w:p>
                <w:pPr>
                  <w:spacing w:line="249" w:lineRule="auto" w:before="15"/>
                  <w:ind w:left="4098" w:right="0" w:hanging="4079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pacing w:val="-1"/>
                    <w:sz w:val="14"/>
                  </w:rPr>
                  <w:t>This document is authorized for educator review use only by GOURISHANKAR HIREMATH, Gokhale Institute of Politics </w:t>
                </w:r>
                <w:r>
                  <w:rPr>
                    <w:rFonts w:ascii="Arial MT"/>
                    <w:sz w:val="14"/>
                  </w:rPr>
                  <w:t>and Economics until Jun 2021. Copying or posting is an infringement of</w:t>
                </w:r>
                <w:r>
                  <w:rPr>
                    <w:rFonts w:ascii="Arial MT"/>
                    <w:spacing w:val="1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copyright.</w:t>
                </w:r>
                <w:r>
                  <w:rPr>
                    <w:rFonts w:ascii="Arial MT"/>
                    <w:spacing w:val="-10"/>
                    <w:sz w:val="14"/>
                  </w:rPr>
                  <w:t> </w:t>
                </w:r>
                <w:hyperlink r:id="rId1">
                  <w:r>
                    <w:rPr>
                      <w:rFonts w:ascii="Arial MT"/>
                      <w:sz w:val="14"/>
                    </w:rPr>
                    <w:t>Permissions@hbsp.harvard.edu</w:t>
                  </w:r>
                  <w:r>
                    <w:rPr>
                      <w:rFonts w:ascii="Arial MT"/>
                      <w:spacing w:val="-1"/>
                      <w:sz w:val="14"/>
                    </w:rPr>
                    <w:t> </w:t>
                  </w:r>
                </w:hyperlink>
                <w:r>
                  <w:rPr>
                    <w:rFonts w:ascii="Arial MT"/>
                    <w:sz w:val="14"/>
                  </w:rPr>
                  <w:t>or</w:t>
                </w:r>
                <w:r>
                  <w:rPr>
                    <w:rFonts w:ascii="Arial MT"/>
                    <w:spacing w:val="-1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617.783.7860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610" w:hanging="111"/>
        <w:jc w:val="right"/>
      </w:pPr>
      <w:rPr>
        <w:rFonts w:hint="default" w:ascii="Cambria" w:hAnsi="Cambria" w:eastAsia="Cambria" w:cs="Cambria"/>
        <w:w w:val="90"/>
        <w:position w:val="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1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4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4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0"/>
      <w:outlineLvl w:val="2"/>
    </w:pPr>
    <w:rPr>
      <w:rFonts w:ascii="Palatino Linotype" w:hAnsi="Palatino Linotype" w:eastAsia="Palatino Linotype" w:cs="Palatino Linotype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1147" w:right="135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hbsp.harvard.edu/" TargetMode="External"/><Relationship Id="rId8" Type="http://schemas.openxmlformats.org/officeDocument/2006/relationships/hyperlink" Target="http://www.berkshirepartners.com/1_0_partnership.shtml" TargetMode="External"/><Relationship Id="rId9" Type="http://schemas.openxmlformats.org/officeDocument/2006/relationships/hyperlink" Target="http://www.berkshirepartners.com/5_1_17_press.shtml" TargetMode="External"/><Relationship Id="rId10" Type="http://schemas.openxmlformats.org/officeDocument/2006/relationships/hyperlink" Target="http://www.investcorp.com/" TargetMode="External"/><Relationship Id="rId11" Type="http://schemas.openxmlformats.org/officeDocument/2006/relationships/footer" Target="footer2.xml"/><Relationship Id="rId12" Type="http://schemas.openxmlformats.org/officeDocument/2006/relationships/hyperlink" Target="mailto:Permissions@hbsp.harvard.edu" TargetMode="External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Permissions@hbsp.harvard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2023-03-14T14:49:36Z</dcterms:created>
  <dcterms:modified xsi:type="dcterms:W3CDTF">2023-03-14T14:49:36Z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2023-03-14T00:00:00Z</vt:filetime>
  </property>
</Properties>
</file>