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ASSUME CS: CODE, DS: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SEGMENT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PA EQU 24A0H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PB EQU 24A1H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PC EQU 24A2H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 EQU 24A3H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DATA ENDS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START: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AX, DATA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DS, 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CR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AL, 80H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 DX, AL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CX, 100D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DX, PA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AL, 00H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OUT DX, 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CALL DELAY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ADD AL, 01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DAA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 NEXT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4CH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21H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DELAY PROC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SI, 03FFFH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L2: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DI, 0FFFFH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L1: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DI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JNZ L1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DEC SI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JNZ L2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RET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DELAY ENDP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