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.DATA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A DB 10H, 20H, 30H, 40H, 50H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 DB N-A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KEY DB 20H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MSG1 DB "KEY NOT FOUND $", 0AH, 0DH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MSG2 DB "KEY FOUND AT POS"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 DB ?, "$"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 MACRO MSG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LEA DX, MSG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AH, 09H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21H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.CODE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AX,@DATA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DS, AX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ES, 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AL, 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DL, 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 DL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AGAIN: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CMP AL, DL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 FAILED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CL, 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ADD AL, DL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SHR AL,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AH, 00H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SI, AX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BL, A[SI]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CMP BL, KEY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JAE LOC1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INC 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JMP AGAIN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LOC1: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 SUCCESS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DEC 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DL, 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AL, CL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JMP AGAIN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FAILED: PRINTF MSG1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JMP DISPLAY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SUCCESS: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INC 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AL, 30H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POS, 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 MSG2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DISPLAY: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AH, 4CH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INT 21H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