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.MODEL SMALL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STR1 DB "ANDN"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DW N-STR1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STR2 DB 5 DUP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MSG1 DB "PALINDROME$"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MSG2 DB "NOT PALINDROME$"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.CODE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AX,@DATA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DS, AX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ES,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CX, 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 SI, 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DI, STR2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NEXTCHAR: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[SI]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[DI],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 DI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NEXTCHAR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 SI, STR1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DI, STR2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CX,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REP CMPSB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UNSUCCESS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DX, MSG1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DISP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UNSUCCESS: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DX, MSG2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 09H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07H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