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CS: CODE, DS: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 EQU 24A0H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 EQU 24A1H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PC EQU 24A2H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 EQU 24A3H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MSG DB "NO. OF 1’S:”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ONES DB ?,"$"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START: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AX, DATA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DS, AX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CR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082H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 PB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AL, DX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CX, 8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 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ROT_AGAIN: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ROR AL, 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JNC NEXT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 AH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ROT_AGAIN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BL, AH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AH, 30H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ONES, AH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 DX, MSG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09H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0FH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ROR BL, 1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JC DISP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0F0H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CODE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