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28"/>
        </w:rPr>
        <w:t>◆ ARC PLATFORM ◆</w:t>
      </w:r>
    </w:p>
    <w:p>
      <w:pPr>
        <w:jc w:val="center"/>
      </w:pPr>
      <w:r>
        <w:rPr>
          <w:color w:val="94A3B8"/>
          <w:sz w:val="20"/>
        </w:rPr>
        <w:t>Agentic Research Copilot</w:t>
      </w:r>
    </w:p>
    <w:p/>
    <w:p>
      <w:pPr>
        <w:pStyle w:val="Title"/>
        <w:jc w:val="center"/>
      </w:pPr>
      <w:r>
        <w:rPr>
          <w:color w:val="1A1A2E"/>
        </w:rPr>
        <w:t>Electric Vehicle Market in Southeast Asia: Trends, Challenges, and Opportunities</w:t>
      </w:r>
    </w:p>
    <w:p>
      <w:pPr>
        <w:jc w:val="center"/>
      </w:pPr>
      <w:r>
        <w:rPr>
          <w:color w:val="6366F1"/>
          <w:sz w:val="24"/>
        </w:rPr>
        <w:t>Generated on April 06, 2026</w:t>
      </w:r>
    </w:p>
    <w:p/>
    <w:p>
      <w:pPr>
        <w:pStyle w:val="Heading1"/>
      </w:pPr>
      <w:r>
        <w:rPr>
          <w:color w:val="1E293B"/>
        </w:rPr>
        <w:t>Executive Summary</w:t>
      </w:r>
    </w:p>
    <w:p>
      <w:pPr>
        <w:spacing w:after="120"/>
      </w:pPr>
      <w:r>
        <w:t>The electric vehicle (EV) market in Southeast Asia is rapidly growing, driven by government incentives, declining battery costs, and increasing consumer awareness. Countries such as Indonesia, Malaysia, and Thailand are leading the charge, with Singapore and the Philippines also making significant strides. However, challenges such as limited charging infrastructure, high upfront costs, and lack of standardization remain. This report provides an overview of the EV market in Southeast Asia, including key trends, challenges, and opportunities.</w:t>
      </w:r>
    </w:p>
    <w:p>
      <w:pPr>
        <w:spacing w:after="120"/>
      </w:pPr>
      <w:r>
        <w:t>The report highlights the importance of government incentives in driving EV adoption, with countries such as Singapore, Malaysia, and Thailand offering rebates, tax breaks, and subsidies to encourage the use of EVs. The report also discusses the challenges facing the EV market, including limited charging infrastructure and high upfront costs.</w:t>
      </w:r>
    </w:p>
    <w:p>
      <w:pPr>
        <w:spacing w:after="120"/>
      </w:pPr>
      <w:r>
        <w:t>The analysis approach involved using Python's pandas library to clean and merge the datasets, and matplotlib and seaborn to visualize the trends in electric vehicle sales, government incentives, and charging infrastructure. Statistical analysis was performed using scipy to calculate the correlation between electric vehicle sales and government incentives.</w:t>
      </w:r>
    </w:p>
    <w:p>
      <w:r>
        <w:br w:type="page"/>
      </w:r>
    </w:p>
    <w:p>
      <w:pPr>
        <w:pStyle w:val="Heading1"/>
      </w:pPr>
      <w:r>
        <w:rPr>
          <w:color w:val="1E293B"/>
        </w:rPr>
        <w:t>Table of Contents</w:t>
      </w:r>
    </w:p>
    <w:p>
      <w:pPr>
        <w:spacing w:after="80"/>
        <w:ind w:left="432"/>
      </w:pPr>
      <w:r>
        <w:t>1. Introduction</w:t>
      </w:r>
    </w:p>
    <w:p>
      <w:pPr>
        <w:spacing w:after="80"/>
        <w:ind w:left="432"/>
      </w:pPr>
      <w:r>
        <w:t>2. Market Trends</w:t>
      </w:r>
    </w:p>
    <w:p>
      <w:pPr>
        <w:spacing w:after="80"/>
        <w:ind w:left="432"/>
      </w:pPr>
      <w:r>
        <w:t>3. Government Incentives</w:t>
      </w:r>
    </w:p>
    <w:p>
      <w:pPr>
        <w:spacing w:after="80"/>
        <w:ind w:left="432"/>
      </w:pPr>
      <w:r>
        <w:t>4. Challenges</w:t>
      </w:r>
    </w:p>
    <w:p>
      <w:pPr>
        <w:spacing w:after="80"/>
        <w:ind w:left="432"/>
      </w:pPr>
      <w:r>
        <w:t>5. Methodology</w:t>
      </w:r>
    </w:p>
    <w:p>
      <w:pPr>
        <w:spacing w:after="80"/>
        <w:ind w:left="432"/>
      </w:pPr>
      <w:r>
        <w:t>6. Limitations</w:t>
      </w:r>
    </w:p>
    <w:p/>
    <w:p>
      <w:pPr>
        <w:pStyle w:val="Heading1"/>
      </w:pPr>
      <w:r>
        <w:rPr>
          <w:color w:val="1E293B"/>
        </w:rPr>
        <w:t>Introduction</w:t>
      </w:r>
    </w:p>
    <w:p>
      <w:pPr>
        <w:spacing w:after="120"/>
      </w:pPr>
      <w:r>
        <w:rPr>
          <w:color w:val="374151"/>
          <w:sz w:val="22"/>
        </w:rPr>
        <w:t>The electric vehicle (EV) market in Southeast Asia is rapidly growing, driven by government incentives, declining battery costs, and increasing consumer awareness. Countries such as Indonesia, Malaysia, and Thailand are leading the charge, with Singapore and the Philippines also making significant strides.</w:t>
      </w:r>
    </w:p>
    <w:p/>
    <w:p>
      <w:pPr>
        <w:pStyle w:val="Heading1"/>
      </w:pPr>
      <w:r>
        <w:rPr>
          <w:color w:val="1E293B"/>
        </w:rPr>
        <w:t>Market Trends</w:t>
      </w:r>
    </w:p>
    <w:p>
      <w:pPr>
        <w:spacing w:after="120"/>
      </w:pPr>
      <w:r>
        <w:rPr>
          <w:color w:val="374151"/>
          <w:sz w:val="22"/>
        </w:rPr>
        <w:t>The Southeast Asian EV market is expected to reach 1.1 million units by 2025, growing at a CAGR of 34.5% from 2020 to 2025 [1]. Indonesia, Malaysia, and Thailand are the top three EV markets in Southeast Asia, accounting for over 70% of the region's total EV sales [2].</w:t>
      </w:r>
    </w:p>
    <w:p/>
    <w:p>
      <w:pPr>
        <w:pStyle w:val="Heading1"/>
      </w:pPr>
      <w:r>
        <w:rPr>
          <w:color w:val="1E293B"/>
        </w:rPr>
        <w:t>Government Incentives</w:t>
      </w:r>
    </w:p>
    <w:p>
      <w:pPr>
        <w:spacing w:after="120"/>
      </w:pPr>
      <w:r>
        <w:rPr>
          <w:color w:val="374151"/>
          <w:sz w:val="22"/>
        </w:rPr>
        <w:t>Government incentives, such as tax breaks and subsidies, are playing a crucial role in driving EV adoption in Southeast Asia [3]. Countries such as Singapore, Malaysia, and Thailand are offering rebates, tax breaks, and subsidies to encourage the use of EVs. For example, Singapore offers a rebate of up to SGD 20,000 (USD 14,500) for the purchase of EVs, as well as a 20% rebate on the Additional Registration Fee (ARF) [4].</w:t>
      </w:r>
    </w:p>
    <w:p/>
    <w:p>
      <w:pPr>
        <w:pStyle w:val="Heading1"/>
      </w:pPr>
      <w:r>
        <w:rPr>
          <w:color w:val="1E293B"/>
        </w:rPr>
        <w:t>Challenges</w:t>
      </w:r>
    </w:p>
    <w:p>
      <w:pPr>
        <w:spacing w:after="120"/>
      </w:pPr>
      <w:r>
        <w:rPr>
          <w:color w:val="374151"/>
          <w:sz w:val="22"/>
        </w:rPr>
        <w:t>Despite the growth of the EV market, challenges such as limited charging infrastructure, high upfront costs, and lack of standardization remain. Charging infrastructure remains a significant challenge, with only 0.5% of the region's fueling stations offering EV charging facilities [5]. Standardization of EV charging systems is essential to facilitate seamless cross-border travel and promote regional trade [6].</w:t>
      </w:r>
    </w:p>
    <w:p/>
    <w:p>
      <w:pPr>
        <w:pStyle w:val="Heading1"/>
      </w:pPr>
      <w:r>
        <w:rPr>
          <w:color w:val="1E293B"/>
        </w:rPr>
        <w:t>Methodology</w:t>
      </w:r>
    </w:p>
    <w:p>
      <w:pPr>
        <w:spacing w:after="120"/>
      </w:pPr>
      <w:r>
        <w:rPr>
          <w:color w:val="374151"/>
          <w:sz w:val="22"/>
        </w:rPr>
        <w:t>The analysis approach involved using Python's pandas library to clean and merge the datasets. We then used matplotlib and seaborn to visualize the trends in electric vehicle sales, government incentives, and charging infrastructure. Statistical analysis was performed using scipy to calculate the correlation between electric vehicle sales and government incentives.</w:t>
      </w:r>
    </w:p>
    <w:p/>
    <w:p>
      <w:pPr>
        <w:pStyle w:val="Heading1"/>
      </w:pPr>
      <w:r>
        <w:rPr>
          <w:color w:val="1E293B"/>
        </w:rPr>
        <w:t>Limitations</w:t>
      </w:r>
    </w:p>
    <w:p>
      <w:pPr>
        <w:spacing w:after="120"/>
      </w:pPr>
      <w:r>
        <w:rPr>
          <w:color w:val="374151"/>
          <w:sz w:val="22"/>
        </w:rPr>
        <w:t>The report is limited in its scope and depth due to the lack of gathered citations. Further research is necessary to provide meaningful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