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</w:t>
      </w:r>
      <w:r w:rsidR="006D26E1">
        <w:rPr>
          <w:lang w:val="sr-Latn-RS"/>
        </w:rPr>
        <w:t>g</w:t>
      </w:r>
      <w:r w:rsidR="009557DB">
        <w:rPr>
          <w:lang w:val="sr-Latn-RS"/>
        </w:rPr>
        <w:t xml:space="preserve">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1E03D2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1E03D2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1E03D2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+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1E03D2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1E03D2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1E03D2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1E03D2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m:t>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Pr="0021673D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lastRenderedPageBreak/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 xml:space="preserve">Indeksi instanci susednih vrednosti mogu da se ili inkrementiraju ili dekrementiraju za 1, dok se ne prođu sve instance iz </w:t>
      </w:r>
      <w:r w:rsidR="00956CE6">
        <w:rPr>
          <w:rFonts w:eastAsiaTheme="minorEastAsia"/>
          <w:lang w:val="sr-Latn-RS"/>
        </w:rPr>
        <w:t>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lastRenderedPageBreak/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1E03D2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  <w:bookmarkStart w:id="0" w:name="_GoBack"/>
      <w:bookmarkEnd w:id="0"/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</m:t>
          </m:r>
          <m:r>
            <w:rPr>
              <w:rFonts w:ascii="Cambria Math" w:hAnsi="Cambria Math"/>
              <w:sz w:val="18"/>
              <w:lang w:val="sr-Latn-RS"/>
            </w:rPr>
            <m:t xml:space="preserve">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1E03D2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1E03D2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F668BC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F668BC" w:rsidRDefault="00F668BC" w:rsidP="00FB6C95">
      <w:pPr>
        <w:rPr>
          <w:rFonts w:eastAsiaTheme="minorEastAsia"/>
          <w:lang w:val="sr-Latn-RS"/>
        </w:rPr>
      </w:pPr>
    </w:p>
    <w:p w:rsidR="00F668BC" w:rsidRDefault="00F668BC" w:rsidP="00FB6C95">
      <w:pPr>
        <w:rPr>
          <w:rFonts w:eastAsiaTheme="minorEastAsia"/>
          <w:lang w:val="sr-Latn-RS"/>
        </w:rPr>
      </w:pPr>
    </w:p>
    <w:p w:rsidR="00F668BC" w:rsidRPr="00FB6C95" w:rsidRDefault="00F668BC" w:rsidP="00FB6C95">
      <w:pPr>
        <w:rPr>
          <w:lang w:val="sr-Latn-RS"/>
        </w:r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1E" w:rsidRDefault="0082541E" w:rsidP="000A7DE0">
      <w:pPr>
        <w:spacing w:after="0" w:line="240" w:lineRule="auto"/>
      </w:pPr>
      <w:r>
        <w:separator/>
      </w:r>
    </w:p>
  </w:endnote>
  <w:endnote w:type="continuationSeparator" w:id="0">
    <w:p w:rsidR="0082541E" w:rsidRDefault="0082541E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3D2" w:rsidRDefault="001E0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9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E03D2" w:rsidRDefault="001E0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1E" w:rsidRDefault="0082541E" w:rsidP="000A7DE0">
      <w:pPr>
        <w:spacing w:after="0" w:line="240" w:lineRule="auto"/>
      </w:pPr>
      <w:r>
        <w:separator/>
      </w:r>
    </w:p>
  </w:footnote>
  <w:footnote w:type="continuationSeparator" w:id="0">
    <w:p w:rsidR="0082541E" w:rsidRDefault="0082541E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3D3F"/>
    <w:multiLevelType w:val="hybridMultilevel"/>
    <w:tmpl w:val="86EEF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2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3"/>
  </w:num>
  <w:num w:numId="14">
    <w:abstractNumId w:val="20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13345"/>
    <w:rsid w:val="0001369F"/>
    <w:rsid w:val="00034539"/>
    <w:rsid w:val="000346C5"/>
    <w:rsid w:val="000364B7"/>
    <w:rsid w:val="00037B3D"/>
    <w:rsid w:val="00043E76"/>
    <w:rsid w:val="00047CD9"/>
    <w:rsid w:val="00056554"/>
    <w:rsid w:val="00061527"/>
    <w:rsid w:val="00072A83"/>
    <w:rsid w:val="00081609"/>
    <w:rsid w:val="000A7DE0"/>
    <w:rsid w:val="0011716A"/>
    <w:rsid w:val="00131777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03D2"/>
    <w:rsid w:val="001E3DD6"/>
    <w:rsid w:val="001E5848"/>
    <w:rsid w:val="001F1610"/>
    <w:rsid w:val="001F7DFB"/>
    <w:rsid w:val="0021271B"/>
    <w:rsid w:val="0021553E"/>
    <w:rsid w:val="0021673D"/>
    <w:rsid w:val="00217117"/>
    <w:rsid w:val="00222917"/>
    <w:rsid w:val="002265F8"/>
    <w:rsid w:val="00230A07"/>
    <w:rsid w:val="00252489"/>
    <w:rsid w:val="00262916"/>
    <w:rsid w:val="00276CAA"/>
    <w:rsid w:val="002A6F52"/>
    <w:rsid w:val="002B1A12"/>
    <w:rsid w:val="002C150F"/>
    <w:rsid w:val="002C4252"/>
    <w:rsid w:val="002E3AD0"/>
    <w:rsid w:val="003021FC"/>
    <w:rsid w:val="00350B9F"/>
    <w:rsid w:val="00381591"/>
    <w:rsid w:val="00390405"/>
    <w:rsid w:val="00391594"/>
    <w:rsid w:val="003B0A50"/>
    <w:rsid w:val="003D2EF0"/>
    <w:rsid w:val="003E2E83"/>
    <w:rsid w:val="003E61AE"/>
    <w:rsid w:val="003F4610"/>
    <w:rsid w:val="003F6086"/>
    <w:rsid w:val="004177C7"/>
    <w:rsid w:val="00430AF3"/>
    <w:rsid w:val="00432047"/>
    <w:rsid w:val="00443B5C"/>
    <w:rsid w:val="004516B8"/>
    <w:rsid w:val="00497001"/>
    <w:rsid w:val="004A6304"/>
    <w:rsid w:val="004D3D02"/>
    <w:rsid w:val="004D58F0"/>
    <w:rsid w:val="004E5450"/>
    <w:rsid w:val="004E6F90"/>
    <w:rsid w:val="004F4AC7"/>
    <w:rsid w:val="00500F07"/>
    <w:rsid w:val="00503A7A"/>
    <w:rsid w:val="00504CFB"/>
    <w:rsid w:val="00505A5D"/>
    <w:rsid w:val="00510610"/>
    <w:rsid w:val="00511D99"/>
    <w:rsid w:val="005143AD"/>
    <w:rsid w:val="00525AAB"/>
    <w:rsid w:val="00563A68"/>
    <w:rsid w:val="005651AA"/>
    <w:rsid w:val="005B5868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60011C"/>
    <w:rsid w:val="00612243"/>
    <w:rsid w:val="00616D8A"/>
    <w:rsid w:val="00643BE5"/>
    <w:rsid w:val="0064411E"/>
    <w:rsid w:val="00661F92"/>
    <w:rsid w:val="00676A6E"/>
    <w:rsid w:val="00683E9B"/>
    <w:rsid w:val="0068646E"/>
    <w:rsid w:val="00690813"/>
    <w:rsid w:val="006A2B4A"/>
    <w:rsid w:val="006A7715"/>
    <w:rsid w:val="006C67E3"/>
    <w:rsid w:val="006D26E1"/>
    <w:rsid w:val="006D3410"/>
    <w:rsid w:val="006D7CEE"/>
    <w:rsid w:val="006E2CED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51956"/>
    <w:rsid w:val="007526A6"/>
    <w:rsid w:val="00795484"/>
    <w:rsid w:val="007A68C8"/>
    <w:rsid w:val="007B5CB7"/>
    <w:rsid w:val="007C7EB1"/>
    <w:rsid w:val="007D5B6B"/>
    <w:rsid w:val="007E0E95"/>
    <w:rsid w:val="007E21BA"/>
    <w:rsid w:val="007E4C08"/>
    <w:rsid w:val="007E7189"/>
    <w:rsid w:val="008061AC"/>
    <w:rsid w:val="00812546"/>
    <w:rsid w:val="0082541E"/>
    <w:rsid w:val="00831A7E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366D"/>
    <w:rsid w:val="00946ABA"/>
    <w:rsid w:val="00951F80"/>
    <w:rsid w:val="009556A0"/>
    <w:rsid w:val="009557DB"/>
    <w:rsid w:val="00955A62"/>
    <w:rsid w:val="00956700"/>
    <w:rsid w:val="00956CE6"/>
    <w:rsid w:val="00962DB2"/>
    <w:rsid w:val="00966DF1"/>
    <w:rsid w:val="00977393"/>
    <w:rsid w:val="00981996"/>
    <w:rsid w:val="00981E9E"/>
    <w:rsid w:val="0099266C"/>
    <w:rsid w:val="00994773"/>
    <w:rsid w:val="009C2B45"/>
    <w:rsid w:val="009C5249"/>
    <w:rsid w:val="009D059F"/>
    <w:rsid w:val="009D1921"/>
    <w:rsid w:val="009E0C44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457C6"/>
    <w:rsid w:val="00A642A1"/>
    <w:rsid w:val="00A67662"/>
    <w:rsid w:val="00AA1987"/>
    <w:rsid w:val="00AA602C"/>
    <w:rsid w:val="00AB24EE"/>
    <w:rsid w:val="00AB29FB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B488F"/>
    <w:rsid w:val="00BC2179"/>
    <w:rsid w:val="00BD0C6B"/>
    <w:rsid w:val="00BD39B8"/>
    <w:rsid w:val="00BD626F"/>
    <w:rsid w:val="00BE42E1"/>
    <w:rsid w:val="00BF6089"/>
    <w:rsid w:val="00BF6D70"/>
    <w:rsid w:val="00C055B3"/>
    <w:rsid w:val="00C16E64"/>
    <w:rsid w:val="00C3462B"/>
    <w:rsid w:val="00C36C3D"/>
    <w:rsid w:val="00C36E23"/>
    <w:rsid w:val="00C601FE"/>
    <w:rsid w:val="00C8117A"/>
    <w:rsid w:val="00C90517"/>
    <w:rsid w:val="00C95759"/>
    <w:rsid w:val="00CF1721"/>
    <w:rsid w:val="00D2117B"/>
    <w:rsid w:val="00D310FA"/>
    <w:rsid w:val="00D353B8"/>
    <w:rsid w:val="00D379FF"/>
    <w:rsid w:val="00D5181F"/>
    <w:rsid w:val="00D7278D"/>
    <w:rsid w:val="00D72CB7"/>
    <w:rsid w:val="00D84FCE"/>
    <w:rsid w:val="00DB2034"/>
    <w:rsid w:val="00DC67C0"/>
    <w:rsid w:val="00DD0989"/>
    <w:rsid w:val="00DE0FC2"/>
    <w:rsid w:val="00DE7505"/>
    <w:rsid w:val="00DF3FEF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B2736"/>
    <w:rsid w:val="00EB5E4F"/>
    <w:rsid w:val="00EB5FB4"/>
    <w:rsid w:val="00EC28D2"/>
    <w:rsid w:val="00EC78F7"/>
    <w:rsid w:val="00EF7154"/>
    <w:rsid w:val="00F00F08"/>
    <w:rsid w:val="00F04971"/>
    <w:rsid w:val="00F56D9B"/>
    <w:rsid w:val="00F57B33"/>
    <w:rsid w:val="00F63F15"/>
    <w:rsid w:val="00F668BC"/>
    <w:rsid w:val="00F87EEC"/>
    <w:rsid w:val="00F91222"/>
    <w:rsid w:val="00F949A2"/>
    <w:rsid w:val="00FA0A9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166C9D"/>
    <w:rsid w:val="0033652D"/>
    <w:rsid w:val="003B3D45"/>
    <w:rsid w:val="005E4D5F"/>
    <w:rsid w:val="00625DA1"/>
    <w:rsid w:val="00655705"/>
    <w:rsid w:val="0069612F"/>
    <w:rsid w:val="00902CB5"/>
    <w:rsid w:val="00923C18"/>
    <w:rsid w:val="00A15611"/>
    <w:rsid w:val="00D1794D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C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4CD6-C5C9-4C78-80DB-F09C2C7E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7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187</cp:revision>
  <dcterms:created xsi:type="dcterms:W3CDTF">2020-03-19T21:12:00Z</dcterms:created>
  <dcterms:modified xsi:type="dcterms:W3CDTF">2020-04-07T23:48:00Z</dcterms:modified>
</cp:coreProperties>
</file>