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f07a352198eb5c0da7865057c887aa29d9a731"/>
    <w:p>
      <w:pPr>
        <w:pStyle w:val="Heading1"/>
      </w:pPr>
      <w:r>
        <w:t xml:space="preserve">Rosetta Decode — Data Handling &amp; Security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Answer the question every prospect asks before uploading a single SAS file —</w:t>
      </w:r>
      <w:r>
        <w:t xml:space="preserve"> </w:t>
      </w:r>
      <w:r>
        <w:rPr>
          <w:i/>
          <w:iCs/>
        </w:rPr>
        <w:t xml:space="preserve">“where does my code go?”</w:t>
      </w:r>
      <w:r>
        <w:t xml:space="preserve"> </w:t>
      </w:r>
      <w:r>
        <w:t xml:space="preserve">— with a factual account of processing location, LLM call routing, GDPR posture, retention, and deployment region.</w:t>
      </w:r>
    </w:p>
    <w:p>
      <w:r>
        <w:pict>
          <v:rect style="width:0;height:1.5pt" o:hralign="center" o:hrstd="t" o:hr="t"/>
        </w:pict>
      </w:r>
    </w:p>
    <w:bookmarkStart w:id="20" w:name="short-answer"/>
    <w:p>
      <w:pPr>
        <w:pStyle w:val="Heading2"/>
      </w:pPr>
      <w:r>
        <w:t xml:space="preserve">1. Short answer</w:t>
      </w:r>
    </w:p>
    <w:p>
      <w:pPr>
        <w:pStyle w:val="FirstParagraph"/>
      </w:pPr>
      <w:r>
        <w:t xml:space="preserve">Rosetta Decode is deployed</w:t>
      </w:r>
      <w:r>
        <w:t xml:space="preserve"> </w:t>
      </w:r>
      <w:r>
        <w:rPr>
          <w:b/>
          <w:bCs/>
        </w:rPr>
        <w:t xml:space="preserve">inside your own infrastructure</w:t>
      </w:r>
      <w:r>
        <w:t xml:space="preserve"> </w:t>
      </w:r>
      <w:r>
        <w:t xml:space="preserve">(Docker Compose on your servers, or your Azure/Databricks workspace). ADC does not operate a shared, multi-tenant SaaS instance that ingests customer SAS code. The only traffic that leaves your environment is the</w:t>
      </w:r>
      <w:r>
        <w:t xml:space="preserve"> </w:t>
      </w:r>
      <w:r>
        <w:rPr>
          <w:b/>
          <w:bCs/>
        </w:rPr>
        <w:t xml:space="preserve">SAS code block being translated</w:t>
      </w:r>
      <w:r>
        <w:t xml:space="preserve">, sent directly from your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service to the LLM provider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configure — never routed through ADC systems.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my SAS code stored?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your</w:t>
            </w:r>
            <w:r>
              <w:t xml:space="preserve"> </w:t>
            </w:r>
            <w:r>
              <w:t xml:space="preserve">PostgreSQL instance, inside your deployment. Never on ADC infrastructure.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my reference/sample data (CSV, sas7bdat) processed?</w:t>
            </w:r>
          </w:p>
        </w:tc>
        <w:tc>
          <w:tcPr/>
          <w:p>
            <w:pPr>
              <w:pStyle w:val="Compact"/>
            </w:pPr>
            <w:r>
              <w:t xml:space="preserve">Locally, by the</w:t>
            </w:r>
            <w:r>
              <w:t xml:space="preserve"> </w:t>
            </w:r>
            <w:r>
              <w:rPr>
                <w:rStyle w:val="VerbatimChar"/>
              </w:rPr>
              <w:t xml:space="preserve">ComputeBackend</w:t>
            </w:r>
            <w:r>
              <w:t xml:space="preserve"> </w:t>
            </w:r>
            <w:r>
              <w:t xml:space="preserve">(pandas/PostgreSQL or your Databricks/PySpark cluster).</w:t>
            </w:r>
            <w:r>
              <w:t xml:space="preserve"> </w:t>
            </w:r>
            <w:r>
              <w:rPr>
                <w:b/>
                <w:bCs/>
              </w:rPr>
              <w:t xml:space="preserve">Never sent to the LLM.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actually goes to the LLM?</w:t>
            </w:r>
          </w:p>
        </w:tc>
        <w:tc>
          <w:tcPr/>
          <w:p>
            <w:pPr>
              <w:pStyle w:val="Compact"/>
            </w:pPr>
            <w:r>
              <w:t xml:space="preserve">Parsed SAS code blocks (source logic) only — for translation. No customer data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chooses the LLM provider?</w:t>
            </w:r>
          </w:p>
        </w:tc>
        <w:tc>
          <w:tcPr/>
          <w:p>
            <w:pPr>
              <w:pStyle w:val="Compact"/>
            </w:pPr>
            <w:r>
              <w:t xml:space="preserve">You do, via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  <w:r>
              <w:t xml:space="preserve"> </w:t>
            </w:r>
            <w:r>
              <w:t xml:space="preserve">— Anthropic, OpenAI, or</w:t>
            </w:r>
            <w:r>
              <w:t xml:space="preserve"> </w:t>
            </w:r>
            <w:r>
              <w:rPr>
                <w:b/>
                <w:bCs/>
              </w:rPr>
              <w:t xml:space="preserve">Azure OpenAI</w:t>
            </w:r>
            <w:r>
              <w:t xml:space="preserve"> </w:t>
            </w:r>
            <w:r>
              <w:t xml:space="preserve">(for EU data residency).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is the data controller?</w:t>
            </w:r>
          </w:p>
        </w:tc>
        <w:tc>
          <w:tcPr/>
          <w:p>
            <w:pPr>
              <w:pStyle w:val="Compact"/>
            </w:pPr>
            <w:r>
              <w:t xml:space="preserve">You remain the data controller at all times — ADC does not process your data as a separate controller.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region does this run in?</w:t>
            </w:r>
          </w:p>
        </w:tc>
        <w:tc>
          <w:tcPr/>
          <w:p>
            <w:pPr>
              <w:pStyle w:val="Compact"/>
            </w:pPr>
            <w:r>
              <w:t xml:space="preserve">Whatever region</w:t>
            </w:r>
            <w:r>
              <w:t xml:space="preserve"> </w:t>
            </w:r>
            <w:r>
              <w:rPr>
                <w:b/>
                <w:bCs/>
              </w:rPr>
              <w:t xml:space="preserve">your</w:t>
            </w:r>
            <w:r>
              <w:t xml:space="preserve"> </w:t>
            </w:r>
            <w:r>
              <w:t xml:space="preserve">deployment (VM, container host, or Azure/Databricks workspace) is provisioned 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where-processing-happens"/>
    <w:p>
      <w:pPr>
        <w:pStyle w:val="Heading2"/>
      </w:pPr>
      <w:r>
        <w:t xml:space="preserve">2. Where processing happens</w:t>
      </w:r>
    </w:p>
    <w:p>
      <w:pPr>
        <w:pStyle w:val="FirstParagraph"/>
      </w:pPr>
      <w:r>
        <w:t xml:space="preserve">Rosetta Decode is four Docker images (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), deployed as a unit inside your network boundary — on-prem, in your cloud tenant, or paired with your Databricks workspace.</w:t>
      </w:r>
    </w:p>
    <w:p>
      <w:pPr>
        <w:pStyle w:val="SourceCode"/>
      </w:pPr>
      <w:r>
        <w:rPr>
          <w:rStyle w:val="VerbatimChar"/>
        </w:rPr>
        <w:t xml:space="preserve">Your infrastructure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→ backend (FastAPI) → postgres (job state)        │</w:t>
      </w:r>
      <w:r>
        <w:br/>
      </w:r>
      <w:r>
        <w:rPr>
          <w:rStyle w:val="VerbatimChar"/>
        </w:rPr>
        <w:t xml:space="preserve">│                                     │                        │</w:t>
      </w:r>
      <w:r>
        <w:br/>
      </w:r>
      <w:r>
        <w:rPr>
          <w:rStyle w:val="VerbatimChar"/>
        </w:rPr>
        <w:t xml:space="preserve">│                                     ▼                        │</w:t>
      </w:r>
      <w:r>
        <w:br/>
      </w:r>
      <w:r>
        <w:rPr>
          <w:rStyle w:val="VerbatimChar"/>
        </w:rPr>
        <w:t xml:space="preserve">│  worker: SASParser → LLMClient ──────────► [external call]   │</w:t>
      </w:r>
      <w:r>
        <w:br/>
      </w:r>
      <w:r>
        <w:rPr>
          <w:rStyle w:val="VerbatimChar"/>
        </w:rPr>
        <w:t xml:space="preserve">│              │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│</w:t>
      </w:r>
      <w:r>
        <w:br/>
      </w:r>
      <w:r>
        <w:rPr>
          <w:rStyle w:val="VerbatimChar"/>
        </w:rPr>
        <w:t xml:space="preserve">│  ComputeBackend (pandas+Postgres, LOCAL)                      │</w:t>
      </w:r>
      <w:r>
        <w:br/>
      </w:r>
      <w:r>
        <w:rPr>
          <w:rStyle w:val="VerbatimChar"/>
        </w:rPr>
        <w:t xml:space="preserve">│  or PySpark on your Databricks workspace (CLOUD)              │</w:t>
      </w:r>
      <w:r>
        <w:br/>
      </w:r>
      <w:r>
        <w:rPr>
          <w:rStyle w:val="VerbatimChar"/>
        </w:rPr>
        <w:t xml:space="preserve">│  — runs reconciliation against YOUR reference data,           │</w:t>
      </w:r>
      <w:r>
        <w:br/>
      </w:r>
      <w:r>
        <w:rPr>
          <w:rStyle w:val="VerbatimChar"/>
        </w:rPr>
        <w:t xml:space="preserve">│    entirely inside your environment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  (SAS code block only, per translation call)</w:t>
      </w:r>
      <w:r>
        <w:br/>
      </w:r>
      <w:r>
        <w:rPr>
          <w:rStyle w:val="VerbatimChar"/>
        </w:rPr>
        <w:t xml:space="preserve">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Hosted LLM API           │</w:t>
      </w:r>
      <w:r>
        <w:br/>
      </w:r>
      <w:r>
        <w:rPr>
          <w:rStyle w:val="VerbatimChar"/>
        </w:rPr>
        <w:t xml:space="preserve">         │  provider you choose via  │</w:t>
      </w:r>
      <w:r>
        <w:br/>
      </w:r>
      <w:r>
        <w:rPr>
          <w:rStyle w:val="VerbatimChar"/>
        </w:rPr>
        <w:t xml:space="preserve">         │  LLM_MODEL env var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└───────────────────────────┘</w:t>
      </w:r>
    </w:p>
    <w:p>
      <w:pPr>
        <w:pStyle w:val="FirstParagraph"/>
      </w:pPr>
      <w:r>
        <w:t xml:space="preserve">Reference datasets used for reconciliation (row counts, schema parity, aggregate checks) never leave your</w:t>
      </w:r>
      <w:r>
        <w:t xml:space="preserve"> </w:t>
      </w:r>
      <w:r>
        <w:rPr>
          <w:rStyle w:val="VerbatimChar"/>
        </w:rPr>
        <w:t xml:space="preserve">ComputeBackend</w:t>
      </w:r>
      <w:r>
        <w:t xml:space="preserve"> </w:t>
      </w:r>
      <w:r>
        <w:t xml:space="preserve">— they are read, transformed, and compared locally or in your own Databricks workspace.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outbound call in the whole pipeline is the LLM translation request, and it carries source code, not data rows.</w:t>
      </w:r>
    </w:p>
    <w:p>
      <w:r>
        <w:pict>
          <v:rect style="width:0;height:1.5pt" o:hralign="center" o:hrstd="t" o:hr="t"/>
        </w:pict>
      </w:r>
    </w:p>
    <w:bookmarkEnd w:id="21"/>
    <w:bookmarkStart w:id="22" w:name="llm-call-routing"/>
    <w:p>
      <w:pPr>
        <w:pStyle w:val="Heading2"/>
      </w:pPr>
      <w:r>
        <w:t xml:space="preserve">3. LLM call routing</w:t>
      </w:r>
    </w:p>
    <w:p>
      <w:pPr>
        <w:pStyle w:val="Compact"/>
        <w:numPr>
          <w:ilvl w:val="0"/>
          <w:numId w:val="1001"/>
        </w:numPr>
      </w:pPr>
      <w:r>
        <w:t xml:space="preserve">Every LLM call goes through a single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(Pydantic AI agent) — there is no other code path that talks to a model.</w:t>
      </w:r>
    </w:p>
    <w:p>
      <w:pPr>
        <w:pStyle w:val="Compact"/>
        <w:numPr>
          <w:ilvl w:val="0"/>
          <w:numId w:val="1001"/>
        </w:numPr>
      </w:pPr>
      <w:r>
        <w:t xml:space="preserve">Provider and model are selected by</w:t>
      </w:r>
      <w:r>
        <w:t xml:space="preserve"> </w:t>
      </w:r>
      <w:r>
        <w:rPr>
          <w:b/>
          <w:bCs/>
        </w:rPr>
        <w:t xml:space="preserve">you</w:t>
      </w:r>
      <w:r>
        <w:t xml:space="preserve">, entirely via the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 </w:t>
      </w:r>
      <w:r>
        <w:t xml:space="preserve">environment variable (e.g. </w:t>
      </w:r>
      <w:r>
        <w:rPr>
          <w:rStyle w:val="VerbatimChar"/>
        </w:rPr>
        <w:t xml:space="preserve">anthropic:claude-sonnet-4-6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openai:gpt-4o</w:t>
      </w:r>
      <w:r>
        <w:t xml:space="preserve">, or an Azure OpenAI deployment). ADC has no default that routes calls through ADC-controlled accounts or infrastructure — you supply your own API key/endpoint.</w:t>
      </w:r>
    </w:p>
    <w:p>
      <w:pPr>
        <w:pStyle w:val="Compact"/>
        <w:numPr>
          <w:ilvl w:val="0"/>
          <w:numId w:val="1001"/>
        </w:numPr>
      </w:pPr>
      <w:r>
        <w:t xml:space="preserve">Calls originate from the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container directly to the provider’s API endpoint. ADC has no proxy, logging relay, or intermediary service in that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OpenAI support exists specifically for customers who need EU data residency and contractual terms consistent with Microsoft’s EU Data Boundary</w:t>
      </w:r>
      <w:r>
        <w:t xml:space="preserve"> </w:t>
      </w:r>
      <w:r>
        <w:t xml:space="preserve">— pick an Azure OpenAI resource in your preferred region and Rosetta Decode routes to it.</w:t>
      </w:r>
    </w:p>
    <w:p>
      <w:pPr>
        <w:pStyle w:val="Compact"/>
        <w:numPr>
          <w:ilvl w:val="0"/>
          <w:numId w:val="1001"/>
        </w:numPr>
      </w:pPr>
      <w:r>
        <w:t xml:space="preserve">What is sent per call: a parsed SAS code block (program logic, macro/DATA step/PROC SQL text) plus the pattern context needed for translation. What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sent: reference CSVs,</w:t>
      </w:r>
      <w:r>
        <w:t xml:space="preserve"> </w:t>
      </w:r>
      <w:r>
        <w:rPr>
          <w:rStyle w:val="VerbatimChar"/>
        </w:rPr>
        <w:t xml:space="preserve">sas7bdat</w:t>
      </w:r>
      <w:r>
        <w:t xml:space="preserve"> </w:t>
      </w:r>
      <w:r>
        <w:t xml:space="preserve">contents, or any row-level data — those are consumed only by the</w:t>
      </w:r>
      <w:r>
        <w:t xml:space="preserve"> </w:t>
      </w:r>
      <w:r>
        <w:rPr>
          <w:rStyle w:val="VerbatimChar"/>
        </w:rPr>
        <w:t xml:space="preserve">ComputeBackend</w:t>
      </w:r>
      <w:r>
        <w:t xml:space="preserve">, which has no network path to the LLM.</w:t>
      </w:r>
    </w:p>
    <w:p>
      <w:r>
        <w:pict>
          <v:rect style="width:0;height:1.5pt" o:hralign="center" o:hrstd="t" o:hr="t"/>
        </w:pict>
      </w:r>
    </w:p>
    <w:bookmarkEnd w:id="22"/>
    <w:bookmarkStart w:id="23" w:name="layered-security-architecture"/>
    <w:p>
      <w:pPr>
        <w:pStyle w:val="Heading2"/>
      </w:pPr>
      <w:r>
        <w:t xml:space="preserve">4. Layered security architecture</w:t>
      </w:r>
    </w:p>
    <w:p>
      <w:pPr>
        <w:pStyle w:val="FirstParagraph"/>
      </w:pPr>
      <w:r>
        <w:t xml:space="preserve">Rosetta Decode’s LLM integration follows the same</w:t>
      </w:r>
      <w:r>
        <w:t xml:space="preserve"> </w:t>
      </w:r>
      <w:r>
        <w:rPr>
          <w:b/>
          <w:bCs/>
        </w:rPr>
        <w:t xml:space="preserve">defense-in-depth</w:t>
      </w:r>
      <w:r>
        <w:t xml:space="preserve"> </w:t>
      </w:r>
      <w:r>
        <w:t xml:space="preserve">design ADC applies across its GenAI engagements: no single control is trusted to catch every threat, and controls are layered around the model rather than bolted onto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 here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&amp; authorization</w:t>
            </w:r>
            <w:r>
              <w:t xml:space="preserve"> </w:t>
            </w:r>
            <w:r>
              <w:t xml:space="preserve">(outermost)</w:t>
            </w:r>
          </w:p>
        </w:tc>
        <w:tc>
          <w:tcPr/>
          <w:p>
            <w:pPr>
              <w:pStyle w:val="Compact"/>
            </w:pPr>
            <w:r>
              <w:t xml:space="preserve">Access to the deployment (API, UI, job data) is gated by your own network/identity controls — the product ships with no public endpoint of its own.</w:t>
            </w:r>
          </w:p>
        </w:tc>
        <w:tc>
          <w:tcPr/>
          <w:p>
            <w:pPr>
              <w:pStyle w:val="Compact"/>
            </w:pPr>
            <w:r>
              <w:t xml:space="preserve">Your platform/ops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 &amp; governance</w:t>
            </w:r>
          </w:p>
        </w:tc>
        <w:tc>
          <w:tcPr/>
          <w:p>
            <w:pPr>
              <w:pStyle w:val="Compact"/>
            </w:pPr>
            <w:r>
              <w:t xml:space="preserve">Job data, generated code, and reconciliation reports stay in your PostgreSQL instance;</w:t>
            </w:r>
            <w:r>
              <w:t xml:space="preserve"> </w:t>
            </w:r>
            <w:r>
              <w:rPr>
                <w:rStyle w:val="VerbatimChar"/>
              </w:rPr>
              <w:t xml:space="preserve">input_hash</w:t>
            </w:r>
            <w:r>
              <w:t xml:space="preserve"> </w:t>
            </w:r>
            <w:r>
              <w:t xml:space="preserve">gives every job a reproducible, auditable fingerprint.</w:t>
            </w:r>
          </w:p>
        </w:tc>
        <w:tc>
          <w:tcPr/>
          <w:p>
            <w:pPr>
              <w:pStyle w:val="Compact"/>
            </w:pPr>
            <w:r>
              <w:t xml:space="preserve">Your platform/ops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 / process</w:t>
            </w:r>
          </w:p>
        </w:tc>
        <w:tc>
          <w:tcPr/>
          <w:p>
            <w:pPr>
              <w:pStyle w:val="Compact"/>
            </w:pPr>
            <w:r>
              <w:t xml:space="preserve">Every generated file carries</w:t>
            </w:r>
            <w:r>
              <w:t xml:space="preserve"> </w:t>
            </w:r>
            <w:r>
              <w:rPr>
                <w:rStyle w:val="VerbatimChar"/>
              </w:rPr>
              <w:t xml:space="preserve"># SAS: &lt;file&gt;:&lt;line&gt;</w:t>
            </w:r>
            <w:r>
              <w:t xml:space="preserve"> </w:t>
            </w:r>
            <w:r>
              <w:t xml:space="preserve">provenance, so a human reviews AI output against its exact source before it’s trusted.</w:t>
            </w:r>
          </w:p>
        </w:tc>
        <w:tc>
          <w:tcPr/>
          <w:p>
            <w:pPr>
              <w:pStyle w:val="Compact"/>
            </w:pPr>
            <w:r>
              <w:t xml:space="preserve">Your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Meta-prompt &amp; grounding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LLMClient</w:t>
            </w:r>
            <w:r>
              <w:t xml:space="preserve"> </w:t>
            </w:r>
            <w:r>
              <w:t xml:space="preserve">system prompt constrains the model to structured, typed translation output (Pydantic AI schema) rather than free-form generation — reducing prompt-injection and off-task drift.</w:t>
            </w:r>
          </w:p>
        </w:tc>
        <w:tc>
          <w:tcPr/>
          <w:p>
            <w:pPr>
              <w:pStyle w:val="Compact"/>
            </w:pPr>
            <w:r>
              <w:t xml:space="preserve">ADC (product)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systems</w:t>
            </w:r>
          </w:p>
        </w:tc>
        <w:tc>
          <w:tcPr/>
          <w:p>
            <w:pPr>
              <w:pStyle w:val="Compact"/>
            </w:pPr>
            <w:r>
              <w:t xml:space="preserve">Untranslatable or ambiguous constructs are preserved verbatim as</w:t>
            </w:r>
            <w:r>
              <w:t xml:space="preserve"> </w:t>
            </w:r>
            <w:r>
              <w:rPr>
                <w:rStyle w:val="VerbatimChar"/>
              </w:rPr>
              <w:t xml:space="preserve"># SAS-UNTRANSLATABLE: &lt;reason&gt;</w:t>
            </w:r>
            <w:r>
              <w:t xml:space="preserve"> </w:t>
            </w:r>
            <w:r>
              <w:t xml:space="preserve">rather than silently guessed — no hidden fallback logic.</w:t>
            </w:r>
          </w:p>
        </w:tc>
        <w:tc>
          <w:tcPr/>
          <w:p>
            <w:pPr>
              <w:pStyle w:val="Compact"/>
            </w:pPr>
            <w:r>
              <w:t xml:space="preserve">ADC (product)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</w:t>
            </w:r>
            <w:r>
              <w:t xml:space="preserve"> </w:t>
            </w:r>
            <w:r>
              <w:t xml:space="preserve">(innermost)</w:t>
            </w:r>
          </w:p>
        </w:tc>
        <w:tc>
          <w:tcPr/>
          <w:p>
            <w:pPr>
              <w:pStyle w:val="Compact"/>
            </w:pPr>
            <w:r>
              <w:t xml:space="preserve">The LLM itself is a translation component, never the sole gate on output — it never has autonomous access to your data, only to the code text it’s asked to translate.</w:t>
            </w:r>
          </w:p>
        </w:tc>
        <w:tc>
          <w:tcPr/>
          <w:p>
            <w:pPr>
              <w:pStyle w:val="Compact"/>
            </w:pPr>
            <w:r>
              <w:t xml:space="preserve">LLM provider</w:t>
            </w:r>
          </w:p>
        </w:tc>
      </w:tr>
    </w:tbl>
    <w:p>
      <w:pPr>
        <w:pStyle w:val="BodyText"/>
      </w:pPr>
      <w:r>
        <w:t xml:space="preserve">This mirrors the model used in ADC’s GenAI security engagements: threats are addressed at the layer where they can actually be exploited (application vs. platform vs. usage), not just once at the perimeter.</w:t>
      </w:r>
    </w:p>
    <w:p>
      <w:r>
        <w:pict>
          <v:rect style="width:0;height:1.5pt" o:hralign="center" o:hrstd="t" o:hr="t"/>
        </w:pict>
      </w:r>
    </w:p>
    <w:bookmarkEnd w:id="23"/>
    <w:bookmarkStart w:id="24" w:name="threat-model-coverage"/>
    <w:p>
      <w:pPr>
        <w:pStyle w:val="Heading2"/>
      </w:pPr>
      <w:r>
        <w:t xml:space="preserve">5. Threat model coverage</w:t>
      </w:r>
    </w:p>
    <w:p>
      <w:pPr>
        <w:pStyle w:val="FirstParagraph"/>
      </w:pPr>
      <w:r>
        <w:t xml:space="preserve">Rosetta Decode’s GenAI integration is assessed against the same threat catalog ADC uses across its GenAI security work: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OWASP Top 10 for LLM Applications (2025)</w:t>
      </w:r>
      <w:r>
        <w:t xml:space="preserve"> </w:t>
      </w:r>
      <w:r>
        <w:t xml:space="preserve">— prompt injection, insecure output handling, training data poisoning, model DoS, supply-chain vulnerabilities, sensitive information disclosure, insecure plugin design, excessive agency, overreliance, model theft.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MITRE ATLAS</w:t>
      </w:r>
      <w:r>
        <w:t xml:space="preserve"> </w:t>
      </w:r>
      <w:r>
        <w:t xml:space="preserve">(Adversarial Threat Landscape for AI Systems) — machine-learning-specific attack techniques (model theft, inference attacks, data reconstruction).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Microsoft AI Vulnerability Classification</w:t>
      </w:r>
      <w:r>
        <w:t xml:space="preserve"> </w:t>
      </w:r>
      <w:r>
        <w:t xml:space="preserve">— platform-level risks (privacy attacks, DoS, insufficient logging/auditability, lifecycle governance).</w:t>
      </w:r>
    </w:p>
    <w:p>
      <w:pPr>
        <w:pStyle w:val="FirstParagraph"/>
      </w:pPr>
      <w:r>
        <w:t xml:space="preserve">Applied to Rosetta Decode specifically: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injection risk is structurally limited</w:t>
      </w:r>
      <w:r>
        <w:t xml:space="preserve"> </w:t>
      </w:r>
      <w:r>
        <w:t xml:space="preserve">— the only untrusted input reaching the model is customer SAS source text, and output is constrained to a typed schema, not free text executed downstream without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row-level data exposure to the LLM</w:t>
      </w:r>
      <w:r>
        <w:t xml:space="preserve"> </w:t>
      </w:r>
      <w:r>
        <w:t xml:space="preserve">— the architectural separation between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(code only) and</w:t>
      </w:r>
      <w:r>
        <w:t xml:space="preserve"> </w:t>
      </w:r>
      <w:r>
        <w:rPr>
          <w:rStyle w:val="VerbatimChar"/>
        </w:rPr>
        <w:t xml:space="preserve">ComputeBackend</w:t>
      </w:r>
      <w:r>
        <w:t xml:space="preserve"> </w:t>
      </w:r>
      <w:r>
        <w:t xml:space="preserve">(data only) means there is no path for customer data rows to reach the model, by design, not by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Determinism and auditability</w:t>
      </w:r>
      <w:r>
        <w:t xml:space="preserve"> </w:t>
      </w:r>
      <w:r>
        <w:t xml:space="preserve">— identical SAS input always produces identical Python output (</w:t>
      </w:r>
      <w:r>
        <w:rPr>
          <w:rStyle w:val="VerbatimChar"/>
        </w:rPr>
        <w:t xml:space="preserve">input_hash</w:t>
      </w:r>
      <w:r>
        <w:t xml:space="preserve">), and every generated line is traceable to its SAS source, giving you a complete audit trail for every migration.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silent failure modes</w:t>
      </w:r>
      <w:r>
        <w:t xml:space="preserve"> </w:t>
      </w:r>
      <w:r>
        <w:t xml:space="preserve">— untranslatable constructs and LLM failures are surfaced explicitly (</w:t>
      </w:r>
      <w:r>
        <w:rPr>
          <w:rStyle w:val="VerbatimChar"/>
        </w:rPr>
        <w:t xml:space="preserve">SAS-UNTRANSLATABLE</w:t>
      </w:r>
      <w:r>
        <w:t xml:space="preserve">, job</w:t>
      </w:r>
      <w:r>
        <w:t xml:space="preserve"> </w:t>
      </w:r>
      <w:r>
        <w:rPr>
          <w:rStyle w:val="VerbatimChar"/>
        </w:rPr>
        <w:t xml:space="preserve">status=failed</w:t>
      </w:r>
      <w:r>
        <w:t xml:space="preserve">), never masked by a fallback that could hide an incorrect translation.</w:t>
      </w:r>
    </w:p>
    <w:p>
      <w:r>
        <w:pict>
          <v:rect style="width:0;height:1.5pt" o:hralign="center" o:hrstd="t" o:hr="t"/>
        </w:pict>
      </w:r>
    </w:p>
    <w:bookmarkEnd w:id="24"/>
    <w:bookmarkStart w:id="25" w:name="gdpr-compliance-posture"/>
    <w:p>
      <w:pPr>
        <w:pStyle w:val="Heading2"/>
      </w:pPr>
      <w:r>
        <w:t xml:space="preserve">6. GDPR compliance posture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 remain the data controller</w:t>
      </w:r>
      <w:r>
        <w:t xml:space="preserve"> </w:t>
      </w:r>
      <w:r>
        <w:t xml:space="preserve">for all SAS code and any data referenced during migration. Rosetta Decode is deployed inside your environment; ADC does not host, access, or process your data as part of running the 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minimization by design</w:t>
      </w:r>
      <w:r>
        <w:t xml:space="preserve"> </w:t>
      </w:r>
      <w:r>
        <w:t xml:space="preserve">— only code text is sent externally (to the LLM provider of your choice); reference datasets and any personal data they might contain are never transmitted to a third party by the 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Provider choice enables an EU-compliant processing chain</w:t>
      </w:r>
      <w:r>
        <w:t xml:space="preserve"> </w:t>
      </w:r>
      <w:r>
        <w:t xml:space="preserve">— choosing Azure OpenAI (or another EU-hosted provider) lets you keep the one external hop within your existing data processing agreements and the Microsoft EU Data Boundary, rather than accepting a fixed ADC-selected provider.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ADC sub-processor role</w:t>
      </w:r>
      <w:r>
        <w:t xml:space="preserve"> </w:t>
      </w:r>
      <w:r>
        <w:t xml:space="preserve">— because ADC does not operate the runtime, there is no ADC entry required in your Article 30 records or sub-processor list for the tool itself. Your existing agreement with your chosen LLM provider governs that one external call.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Provenance supports Article 30 accountability</w:t>
      </w:r>
      <w:r>
        <w:t xml:space="preserve"> </w:t>
      </w:r>
      <w:r>
        <w:t xml:space="preserve">— every generated line is tagged back to its SAS source, and every job is content-hashed, giving you ready-made documentation of what was processed and how.</w:t>
      </w:r>
    </w:p>
    <w:p>
      <w:pPr>
        <w:pStyle w:val="FirstParagraph"/>
      </w:pPr>
      <w:r>
        <w:rPr>
          <w:i/>
          <w:iCs/>
        </w:rPr>
        <w:t xml:space="preserve">Note: this is a description of the technical architecture, not a legal opinion. Your DPO/legal team should confirm this posture against your specific data processing agreements and the personal data (if any) present in your SAS estate before an enterprise pilot.</w:t>
      </w:r>
    </w:p>
    <w:p>
      <w:r>
        <w:pict>
          <v:rect style="width:0;height:1.5pt" o:hralign="center" o:hrstd="t" o:hr="t"/>
        </w:pict>
      </w:r>
    </w:p>
    <w:bookmarkEnd w:id="25"/>
    <w:bookmarkStart w:id="26" w:name="data-retention"/>
    <w:p>
      <w:pPr>
        <w:pStyle w:val="Heading2"/>
      </w:pPr>
      <w:r>
        <w:t xml:space="preserve">7. Data retention</w:t>
      </w:r>
    </w:p>
    <w:p>
      <w:pPr>
        <w:pStyle w:val="Compact"/>
        <w:numPr>
          <w:ilvl w:val="0"/>
          <w:numId w:val="1005"/>
        </w:numPr>
      </w:pPr>
      <w:r>
        <w:t xml:space="preserve">Job records (uploaded file contents, generated Python code, reconciliation reports) are stored in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PostgreSQL instance (</w:t>
      </w:r>
      <w:r>
        <w:rPr>
          <w:rStyle w:val="VerbatimChar"/>
        </w:rPr>
        <w:t xml:space="preserve">jobs</w:t>
      </w:r>
      <w:r>
        <w:t xml:space="preserve"> </w:t>
      </w:r>
      <w:r>
        <w:t xml:space="preserve">table), under your retention and backup policy — Rosetta Decode imposes no default expiry today.</w:t>
      </w:r>
    </w:p>
    <w:p>
      <w:pPr>
        <w:pStyle w:val="Compact"/>
        <w:numPr>
          <w:ilvl w:val="0"/>
          <w:numId w:val="1005"/>
        </w:numPr>
      </w:pPr>
      <w:r>
        <w:t xml:space="preserve">No copy of your SAS code, generated output, or job metadata is retained by ADC, because ADC does not operate the runtime that stores it.</w:t>
      </w:r>
    </w:p>
    <w:p>
      <w:pPr>
        <w:pStyle w:val="Compact"/>
        <w:numPr>
          <w:ilvl w:val="0"/>
          <w:numId w:val="1005"/>
        </w:numPr>
      </w:pPr>
      <w:r>
        <w:t xml:space="preserve">Retention at the LLM provider is governed by the data processing terms of the provider you select (Anthropic, OpenAI, or Azure OpenAI) — most enterprise API tiers (including Azure OpenAI) do not use API inputs for model training and apply short-lived operational retention only. Confirm current terms with your chosen provider before a pilot.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 for pilots:</w:t>
      </w:r>
      <w:r>
        <w:t xml:space="preserve"> </w:t>
      </w:r>
      <w:r>
        <w:t xml:space="preserve">agree retention/purge policy for the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table up front (e.g., delete job rows N days after handoff) as part of pilot scoping — this is a deployment configuration choice, not a product constraint.</w:t>
      </w:r>
    </w:p>
    <w:p>
      <w:r>
        <w:pict>
          <v:rect style="width:0;height:1.5pt" o:hralign="center" o:hrstd="t" o:hr="t"/>
        </w:pict>
      </w:r>
    </w:p>
    <w:bookmarkEnd w:id="26"/>
    <w:bookmarkStart w:id="27" w:name="deployment-region"/>
    <w:p>
      <w:pPr>
        <w:pStyle w:val="Heading2"/>
      </w:pPr>
      <w:r>
        <w:t xml:space="preserve">8. Deployment &amp; region</w:t>
      </w:r>
    </w:p>
    <w:p>
      <w:pPr>
        <w:pStyle w:val="Compact"/>
        <w:numPr>
          <w:ilvl w:val="0"/>
          <w:numId w:val="1006"/>
        </w:numPr>
      </w:pPr>
      <w:r>
        <w:t xml:space="preserve">Rosetta Decode has no fixed hosting location — it runs wherever you deploy the Docker Compose stack: on-prem, in a VM, or in your Azure subscription.</w:t>
      </w:r>
    </w:p>
    <w:p>
      <w:pPr>
        <w:pStyle w:val="Compact"/>
        <w:numPr>
          <w:ilvl w:val="0"/>
          <w:numId w:val="1006"/>
        </w:numPr>
      </w:pPr>
      <w:r>
        <w:t xml:space="preserve">For customers pairing with Databricks, execution of reconciliation workloads happens in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Databricks workspace/region — ADC does not operate a shared Databricks environment.</w:t>
      </w:r>
    </w:p>
    <w:p>
      <w:pPr>
        <w:pStyle w:val="Compact"/>
        <w:numPr>
          <w:ilvl w:val="0"/>
          <w:numId w:val="1006"/>
        </w:numPr>
      </w:pPr>
      <w:r>
        <w:t xml:space="preserve">For the LLM hop specifically, region is determined by the endpoint you configure: an Azure OpenAI resource can be provisioned in an EU region (e.g., West Europe / Sweden Central) to keep that one external call within the EU.</w:t>
      </w:r>
    </w:p>
    <w:p>
      <w:pPr>
        <w:pStyle w:val="Compact"/>
        <w:numPr>
          <w:ilvl w:val="0"/>
          <w:numId w:val="1006"/>
        </w:numPr>
      </w:pPr>
      <w:r>
        <w:t xml:space="preserve">There is currently no ADC-hosted</w:t>
      </w:r>
      <w:r>
        <w:t xml:space="preserve"> </w:t>
      </w:r>
      <w:r>
        <w:t xml:space="preserve">“cloud”</w:t>
      </w:r>
      <w:r>
        <w:t xml:space="preserve"> </w:t>
      </w:r>
      <w:r>
        <w:t xml:space="preserve">tier of Rosetta Decode — every pilot to date is a self-hosted deployment in the customer’s own environment or Databricks workspace.</w:t>
      </w:r>
    </w:p>
    <w:p>
      <w:r>
        <w:pict>
          <v:rect style="width:0;height:1.5pt" o:hralign="center" o:hrstd="t" o:hr="t"/>
        </w:pict>
      </w:r>
    </w:p>
    <w:bookmarkEnd w:id="27"/>
    <w:bookmarkStart w:id="28" w:name="talking-points-for-pilot-conversations"/>
    <w:p>
      <w:pPr>
        <w:pStyle w:val="Heading2"/>
      </w:pPr>
      <w:r>
        <w:t xml:space="preserve">9. Talking points for pilot conversations</w:t>
      </w:r>
    </w:p>
    <w:p>
      <w:pPr>
        <w:pStyle w:val="Compact"/>
        <w:numPr>
          <w:ilvl w:val="0"/>
          <w:numId w:val="1007"/>
        </w:numPr>
      </w:pPr>
      <w:r>
        <w:t xml:space="preserve">“Your SAS code and data stay in your environment — we deploy the tool to you, we don’t pull your code to us.”</w:t>
      </w:r>
    </w:p>
    <w:p>
      <w:pPr>
        <w:pStyle w:val="Compact"/>
        <w:numPr>
          <w:ilvl w:val="0"/>
          <w:numId w:val="1007"/>
        </w:numPr>
      </w:pPr>
      <w:r>
        <w:t xml:space="preserve">“The only thing that leaves your network is the code snippet being translated, sent to the LLM provider you choose — not us.”</w:t>
      </w:r>
    </w:p>
    <w:p>
      <w:pPr>
        <w:pStyle w:val="Compact"/>
        <w:numPr>
          <w:ilvl w:val="0"/>
          <w:numId w:val="1007"/>
        </w:numPr>
      </w:pPr>
      <w:r>
        <w:t xml:space="preserve">“Your reference data is never sent to a model — reconciliation runs locally or in your own Databricks workspace.”</w:t>
      </w:r>
    </w:p>
    <w:p>
      <w:pPr>
        <w:pStyle w:val="Compact"/>
        <w:numPr>
          <w:ilvl w:val="0"/>
          <w:numId w:val="1007"/>
        </w:numPr>
      </w:pPr>
      <w:r>
        <w:t xml:space="preserve">“Pick Azure OpenAI if EU data residency for that one LLM call is a hard requirement.”</w:t>
      </w:r>
    </w:p>
    <w:p>
      <w:pPr>
        <w:pStyle w:val="Compact"/>
        <w:numPr>
          <w:ilvl w:val="0"/>
          <w:numId w:val="1007"/>
        </w:numPr>
      </w:pPr>
      <w:r>
        <w:t xml:space="preserve">“Every line of generated code is traceable to its SAS source — nothing is a black box.”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2026-07-10T10:56:17Z</dcterms:created>
  <dcterms:modified xsi:type="dcterms:W3CDTF">2026-07-10T10:56:17Z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