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Gxb2UkKW0AAMwML</w:t>
      </w:r>
    </w:p>
    <w:p>
      <w:pPr>
        <w:jc w:val="left"/>
      </w:pPr>
      <w:r>
        <w:rPr>
          <w:color w:val="808080"/>
          <w:sz w:val="18"/>
        </w:rPr>
        <w:t>[Translated from Vietnamese | Source: Gxb2UkKW0AAMwML.jpeg | Method: OCR]</w:t>
      </w:r>
    </w:p>
    <w:p/>
    <w:p>
      <w:pPr>
        <w:jc w:val="left"/>
      </w:pPr>
      <w:r>
        <w:rPr>
          <w:rFonts w:ascii="Times New Roman" w:hAnsi="Times New Roman"/>
          <w:b w:val="0"/>
          <w:sz w:val="26"/>
        </w:rPr>
        <w:t>The provided document is not a Vietnamese administrative document but rather an English description of a graphic image. Therefore, it is not possible to perform OCR spelling correction or formatting according to the standards of Vietnamese administrative documents as requested.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