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Amplify Studio MVP PRD</w:t>
      </w:r>
    </w:p>
    <w:p>
      <w:r>
        <w:t>Version 1.1  |  14 October 2026  |  Owner: Bee  |  Status: Revised build-ready draft</w:t>
      </w:r>
    </w:p>
    <w:p>
      <w:pPr>
        <w:pStyle w:val="Heading1"/>
      </w:pPr>
      <w:r>
        <w:t>0. Document control</w:t>
      </w:r>
    </w:p>
    <w:tbl>
      <w:tblPr>
        <w:tblStyle w:val="TableGrid"/>
        <w:tblLayout w:type="fixed"/>
        <w:tblLook w:firstColumn="1" w:firstRow="1" w:lastColumn="0" w:lastRow="0" w:noHBand="0" w:noVBand="1" w:val="04A0"/>
        <w:tblCellMar>
          <w:top w:w="60" w:type="dxa"/>
          <w:left w:w="90" w:type="dxa"/>
          <w:bottom w:w="60" w:type="dxa"/>
          <w:right w:w="90" w:type="dxa"/>
        </w:tblCellMar>
        <w:tblW w:w="8639" w:type="dxa"/>
        <w:tblLayout w:type="fixed"/>
      </w:tblPr>
      <w:tblGrid>
        <w:gridCol w:w="919"/>
        <w:gridCol w:w="1286"/>
        <w:gridCol w:w="6434"/>
      </w:tblGrid>
      <w:tr>
        <w:trPr>
          <w:tblHeader w:val="true"/>
        </w:trPr>
        <w:tc>
          <w:tcPr>
            <w:tcW w:type="dxa" w:w="919"/>
            <w:shd w:val="clear" w:color="auto" w:fill="16384D"/>
          </w:tcPr>
          <w:p>
            <w:r>
              <w:rPr>
                <w:b/>
                <w:color w:val="FFFFFF"/>
                <w:sz w:val="18"/>
              </w:rPr>
              <w:t>Version</w:t>
            </w:r>
          </w:p>
        </w:tc>
        <w:tc>
          <w:tcPr>
            <w:tcW w:type="dxa" w:w="1287"/>
            <w:shd w:val="clear" w:color="auto" w:fill="16384D"/>
          </w:tcPr>
          <w:p>
            <w:r>
              <w:rPr>
                <w:b/>
                <w:color w:val="FFFFFF"/>
                <w:sz w:val="18"/>
              </w:rPr>
              <w:t>Date</w:t>
            </w:r>
          </w:p>
        </w:tc>
        <w:tc>
          <w:tcPr>
            <w:tcW w:type="dxa" w:w="6434"/>
            <w:shd w:val="clear" w:color="auto" w:fill="16384D"/>
          </w:tcPr>
          <w:p>
            <w:r>
              <w:rPr>
                <w:b/>
                <w:color w:val="FFFFFF"/>
                <w:sz w:val="18"/>
              </w:rPr>
              <w:t>Summary</w:t>
            </w:r>
          </w:p>
        </w:tc>
      </w:tr>
      <w:tr>
        <w:tc>
          <w:tcPr>
            <w:tcW w:type="dxa" w:w="919"/>
          </w:tcPr>
          <w:p>
            <w:pPr>
              <w:spacing w:after="0"/>
            </w:pPr>
            <w:r>
              <w:rPr>
                <w:sz w:val="18"/>
              </w:rPr>
              <w:t>1.0</w:t>
            </w:r>
          </w:p>
        </w:tc>
        <w:tc>
          <w:tcPr>
            <w:tcW w:type="dxa" w:w="1287"/>
          </w:tcPr>
          <w:p>
            <w:pPr>
              <w:spacing w:after="0"/>
            </w:pPr>
            <w:r>
              <w:rPr>
                <w:sz w:val="18"/>
              </w:rPr>
              <w:t>14 Oct 2026</w:t>
            </w:r>
          </w:p>
        </w:tc>
        <w:tc>
          <w:tcPr>
            <w:tcW w:type="dxa" w:w="6434"/>
          </w:tcPr>
          <w:p>
            <w:pPr>
              <w:spacing w:after="0"/>
            </w:pPr>
            <w:r>
              <w:rPr>
                <w:sz w:val="18"/>
              </w:rPr>
              <w:t>Build-ready draft.</w:t>
            </w:r>
          </w:p>
        </w:tc>
      </w:tr>
      <w:tr>
        <w:tc>
          <w:tcPr>
            <w:tcW w:type="dxa" w:w="919"/>
            <w:shd w:val="clear" w:color="auto" w:fill="F2F5F8"/>
          </w:tcPr>
          <w:p>
            <w:pPr>
              <w:spacing w:after="0"/>
            </w:pPr>
            <w:r>
              <w:rPr>
                <w:sz w:val="18"/>
              </w:rPr>
              <w:t>1.1</w:t>
            </w:r>
          </w:p>
        </w:tc>
        <w:tc>
          <w:tcPr>
            <w:tcW w:type="dxa" w:w="1287"/>
            <w:shd w:val="clear" w:color="auto" w:fill="F2F5F8"/>
          </w:tcPr>
          <w:p>
            <w:pPr>
              <w:spacing w:after="0"/>
            </w:pPr>
            <w:r>
              <w:rPr>
                <w:sz w:val="18"/>
              </w:rPr>
              <w:t>14 Oct 2026</w:t>
            </w:r>
          </w:p>
        </w:tc>
        <w:tc>
          <w:tcPr>
            <w:tcW w:type="dxa" w:w="6434"/>
            <w:shd w:val="clear" w:color="auto" w:fill="F2F5F8"/>
          </w:tcPr>
          <w:p>
            <w:pPr>
              <w:spacing w:after="0"/>
            </w:pPr>
            <w:r>
              <w:rPr>
                <w:sz w:val="18"/>
              </w:rPr>
              <w:t>Aligned with FRD v1.1: recording approach defined; hook variants, voice profile and guardrails specified; verse-text licensing rule; content tags for Growth Lab; median reach and defined metric formulas; historical baseline; publishing reminders; platform video limits; home dashboard; realistic insight timeline; scope cut line; decisions log and traceability matrix added.</w:t>
            </w:r>
          </w:p>
        </w:tc>
      </w:tr>
    </w:tbl>
    <w:p/>
    <w:p>
      <w:r>
        <w:t xml:space="preserve">Tags: </w:t>
      </w:r>
      <w:r>
        <w:rPr>
          <w:b/>
          <w:caps/>
          <w:color w:val="1F7A4D"/>
          <w:sz w:val="16"/>
        </w:rPr>
        <w:t>new</w:t>
      </w:r>
      <w:r>
        <w:t xml:space="preserve"> added in v1.1; </w:t>
      </w:r>
      <w:r>
        <w:rPr>
          <w:b/>
          <w:caps/>
          <w:color w:val="9A5B00"/>
          <w:sz w:val="16"/>
        </w:rPr>
        <w:t>revised</w:t>
      </w:r>
      <w:r>
        <w:t xml:space="preserve"> changed in v1.1. Companion document: Amplify Studio MVP FRD v1.1.</w:t>
      </w:r>
    </w:p>
    <w:p>
      <w:pPr>
        <w:pStyle w:val="Heading1"/>
      </w:pPr>
      <w:r>
        <w:t>1. Executive summary</w:t>
      </w:r>
    </w:p>
    <w:p>
      <w:pPr>
        <w:pStyle w:val="ListBullet"/>
      </w:pPr>
      <w:r>
        <w:t>Amplify Studio is a private, single-creator web application for planning, scripting, recording, preparing, publishing and learning from Christian talking-to-camera teachings and devotionals. Growth intelligence is a core product capability, not an optional analytics add-on.</w:t>
      </w:r>
    </w:p>
    <w:p>
      <w:pPr>
        <w:pStyle w:val="ListBullet"/>
      </w:pPr>
      <w:r>
        <w:rPr>
          <w:b/>
          <w:caps/>
          <w:color w:val="9A5B00"/>
          <w:sz w:val="16"/>
        </w:rPr>
        <w:t>revised</w:t>
      </w:r>
      <w:r>
        <w:t xml:space="preserve"> Primary workflow: topic → scripture review and verification → hook variants and script → teleprompter and record (in-app or second device) → upload/subtitles → platform-specific copy → export/manual publish with reminders → metrics → next experiment.</w:t>
      </w:r>
    </w:p>
    <w:p>
      <w:pPr>
        <w:pStyle w:val="Heading1"/>
      </w:pPr>
      <w:r>
        <w:t>2. Problem, user and jobs to be done</w:t>
      </w:r>
    </w:p>
    <w:p>
      <w:pPr>
        <w:pStyle w:val="ListBullet"/>
      </w:pPr>
      <w:r>
        <w:t>Primary user: Christian creator making 30–180 second talking-to-camera teachings and devotionals, publishing to Instagram, TikTok, Facebook and X.</w:t>
      </w:r>
    </w:p>
    <w:p>
      <w:pPr>
        <w:pStyle w:val="ListBullet"/>
      </w:pPr>
      <w:r>
        <w:t>Jobs: reduce scripting and production time; preserve biblical accuracy and authentic voice; publish consistently; identify content patterns associated with reach, retention, shares and follower growth.</w:t>
      </w:r>
    </w:p>
    <w:p>
      <w:pPr>
        <w:pStyle w:val="ListBullet"/>
      </w:pPr>
      <w:r>
        <w:rPr>
          <w:b/>
          <w:caps/>
          <w:color w:val="9A5B00"/>
          <w:sz w:val="16"/>
        </w:rPr>
        <w:t>revised</w:t>
      </w:r>
      <w:r>
        <w:t xml:space="preserve"> Initial scope: private one-user product, responsive desktop/mobile, UK English by default. Future: church media teams and other creators.</w:t>
      </w:r>
    </w:p>
    <w:p>
      <w:pPr>
        <w:pStyle w:val="ListBullet"/>
      </w:pPr>
      <w:r>
        <w:rPr>
          <w:b/>
          <w:caps/>
          <w:color w:val="1F7A4D"/>
          <w:sz w:val="16"/>
        </w:rPr>
        <w:t>new</w:t>
      </w:r>
      <w:r>
        <w:t xml:space="preserve"> Context: the creator often records on the same phone they script on, so the prompter and recording experience must work on a single mobile device or clearly support a second device.</w:t>
      </w:r>
    </w:p>
    <w:p>
      <w:pPr>
        <w:pStyle w:val="Heading1"/>
      </w:pPr>
      <w:r>
        <w:t>3. Goals and non-goals</w:t>
      </w:r>
    </w:p>
    <w:p>
      <w:pPr>
        <w:pStyle w:val="ListBullet"/>
      </w:pPr>
      <w:r>
        <w:rPr>
          <w:b/>
          <w:caps/>
          <w:color w:val="9A5B00"/>
          <w:sz w:val="16"/>
        </w:rPr>
        <w:t>revised</w:t>
      </w:r>
      <w:r>
        <w:t xml:space="preserve"> Goals: draft a script within 5 minutes of user time; support 3–5 posts/week; provide a single project record from idea to post; establish platform-specific reach/follower baselines (including pre-launch history) and produce weekly evidence-linked recommendations once enough data exists.</w:t>
      </w:r>
    </w:p>
    <w:p>
      <w:pPr>
        <w:pStyle w:val="ListBullet"/>
      </w:pPr>
      <w:r>
        <w:t>Non-goals: guaranteed follower gains, engagement bots, fake followers, mass unsolicited messaging, autonomous ad spend, universal platform direct publishing, multi-tenant billing, full video editing suite.</w:t>
      </w:r>
    </w:p>
    <w:p>
      <w:pPr>
        <w:pStyle w:val="Heading1"/>
      </w:pPr>
      <w:r>
        <w:t xml:space="preserve">4. MVP capabilities and priorities </w:t>
      </w:r>
      <w:r>
        <w:rPr>
          <w:b/>
          <w:caps/>
          <w:color w:val="9A5B00"/>
          <w:sz w:val="16"/>
        </w:rPr>
        <w:t>revised</w:t>
      </w:r>
    </w:p>
    <w:p>
      <w:r>
        <w:t>Capabilities are numbered for traceability (section 10). Items marked stretch are inside P0 intent but are the first to move to the next release if the six-week plan runs over.</w:t>
      </w:r>
    </w:p>
    <w:tbl>
      <w:tblPr>
        <w:tblStyle w:val="TableGrid"/>
        <w:tblLayout w:type="fixed"/>
        <w:tblLook w:firstColumn="1" w:firstRow="1" w:lastColumn="0" w:lastRow="0" w:noHBand="0" w:noVBand="1" w:val="04A0"/>
        <w:tblCellMar>
          <w:top w:w="60" w:type="dxa"/>
          <w:left w:w="90" w:type="dxa"/>
          <w:bottom w:w="60" w:type="dxa"/>
          <w:right w:w="90" w:type="dxa"/>
        </w:tblCellMar>
        <w:tblW w:w="8639" w:type="dxa"/>
        <w:tblLayout w:type="fixed"/>
      </w:tblPr>
      <w:tblGrid>
        <w:gridCol w:w="636"/>
        <w:gridCol w:w="6366"/>
        <w:gridCol w:w="1637"/>
      </w:tblGrid>
      <w:tr>
        <w:trPr>
          <w:tblHeader w:val="true"/>
        </w:trPr>
        <w:tc>
          <w:tcPr>
            <w:tcW w:type="dxa" w:w="637"/>
            <w:shd w:val="clear" w:color="auto" w:fill="16384D"/>
          </w:tcPr>
          <w:p>
            <w:r>
              <w:rPr>
                <w:b/>
                <w:color w:val="FFFFFF"/>
                <w:sz w:val="18"/>
              </w:rPr>
              <w:t>ID</w:t>
            </w:r>
          </w:p>
        </w:tc>
        <w:tc>
          <w:tcPr>
            <w:tcW w:type="dxa" w:w="6366"/>
            <w:shd w:val="clear" w:color="auto" w:fill="16384D"/>
          </w:tcPr>
          <w:p>
            <w:r>
              <w:rPr>
                <w:b/>
                <w:color w:val="FFFFFF"/>
                <w:sz w:val="18"/>
              </w:rPr>
              <w:t>Capability</w:t>
            </w:r>
          </w:p>
        </w:tc>
        <w:tc>
          <w:tcPr>
            <w:tcW w:type="dxa" w:w="1637"/>
            <w:shd w:val="clear" w:color="auto" w:fill="16384D"/>
          </w:tcPr>
          <w:p>
            <w:r>
              <w:rPr>
                <w:b/>
                <w:color w:val="FFFFFF"/>
                <w:sz w:val="18"/>
              </w:rPr>
              <w:t>Priority</w:t>
            </w:r>
          </w:p>
        </w:tc>
      </w:tr>
      <w:tr>
        <w:tc>
          <w:tcPr>
            <w:tcW w:type="dxa" w:w="637"/>
          </w:tcPr>
          <w:p>
            <w:pPr>
              <w:spacing w:after="0"/>
            </w:pPr>
            <w:r>
              <w:rPr>
                <w:sz w:val="18"/>
              </w:rPr>
              <w:t>C-01</w:t>
            </w:r>
          </w:p>
        </w:tc>
        <w:tc>
          <w:tcPr>
            <w:tcW w:type="dxa" w:w="6366"/>
          </w:tcPr>
          <w:p>
            <w:pPr>
              <w:spacing w:after="0"/>
            </w:pPr>
            <w:r>
              <w:rPr>
                <w:sz w:val="18"/>
              </w:rPr>
              <w:t xml:space="preserve">Topic intake with content tags (topic, hook type, length, CTA, format) </w:t>
            </w:r>
            <w:r>
              <w:rPr>
                <w:b/>
                <w:caps/>
                <w:color w:val="9A5B00"/>
                <w:sz w:val="16"/>
              </w:rPr>
              <w:t>revised</w:t>
            </w:r>
          </w:p>
        </w:tc>
        <w:tc>
          <w:tcPr>
            <w:tcW w:type="dxa" w:w="1637"/>
          </w:tcPr>
          <w:p>
            <w:pPr>
              <w:spacing w:after="0"/>
            </w:pPr>
            <w:r>
              <w:rPr>
                <w:sz w:val="18"/>
              </w:rPr>
              <w:t>P0</w:t>
            </w:r>
          </w:p>
        </w:tc>
      </w:tr>
      <w:tr>
        <w:tc>
          <w:tcPr>
            <w:tcW w:type="dxa" w:w="637"/>
            <w:shd w:val="clear" w:color="auto" w:fill="F2F5F8"/>
          </w:tcPr>
          <w:p>
            <w:pPr>
              <w:spacing w:after="0"/>
            </w:pPr>
            <w:r>
              <w:rPr>
                <w:sz w:val="18"/>
              </w:rPr>
              <w:t>C-02</w:t>
            </w:r>
          </w:p>
        </w:tc>
        <w:tc>
          <w:tcPr>
            <w:tcW w:type="dxa" w:w="6366"/>
            <w:shd w:val="clear" w:color="auto" w:fill="F2F5F8"/>
          </w:tcPr>
          <w:p>
            <w:pPr>
              <w:spacing w:after="0"/>
            </w:pPr>
            <w:r>
              <w:rPr>
                <w:sz w:val="18"/>
              </w:rPr>
              <w:t xml:space="preserve">Scripture references with verification checklist; AI cites placeholders only; verse text only from licensed or public-domain sources </w:t>
            </w:r>
            <w:r>
              <w:rPr>
                <w:b/>
                <w:caps/>
                <w:color w:val="9A5B00"/>
                <w:sz w:val="16"/>
              </w:rPr>
              <w:t>revised</w:t>
            </w:r>
          </w:p>
        </w:tc>
        <w:tc>
          <w:tcPr>
            <w:tcW w:type="dxa" w:w="1637"/>
            <w:shd w:val="clear" w:color="auto" w:fill="F2F5F8"/>
          </w:tcPr>
          <w:p>
            <w:pPr>
              <w:spacing w:after="0"/>
            </w:pPr>
            <w:r>
              <w:rPr>
                <w:sz w:val="18"/>
              </w:rPr>
              <w:t>P0</w:t>
            </w:r>
          </w:p>
        </w:tc>
      </w:tr>
      <w:tr>
        <w:tc>
          <w:tcPr>
            <w:tcW w:type="dxa" w:w="637"/>
          </w:tcPr>
          <w:p>
            <w:pPr>
              <w:spacing w:after="0"/>
            </w:pPr>
            <w:r>
              <w:rPr>
                <w:sz w:val="18"/>
              </w:rPr>
              <w:t>C-03</w:t>
            </w:r>
          </w:p>
        </w:tc>
        <w:tc>
          <w:tcPr>
            <w:tcW w:type="dxa" w:w="6366"/>
          </w:tcPr>
          <w:p>
            <w:pPr>
              <w:spacing w:after="0"/>
            </w:pPr>
            <w:r>
              <w:rPr>
                <w:sz w:val="18"/>
              </w:rPr>
              <w:t xml:space="preserve">Structured five-part script with 2–3 hook variants, editable sections, versions with AI/manual provenance </w:t>
            </w:r>
            <w:r>
              <w:rPr>
                <w:b/>
                <w:caps/>
                <w:color w:val="9A5B00"/>
                <w:sz w:val="16"/>
              </w:rPr>
              <w:t>revised</w:t>
            </w:r>
          </w:p>
        </w:tc>
        <w:tc>
          <w:tcPr>
            <w:tcW w:type="dxa" w:w="1637"/>
          </w:tcPr>
          <w:p>
            <w:pPr>
              <w:spacing w:after="0"/>
            </w:pPr>
            <w:r>
              <w:rPr>
                <w:sz w:val="18"/>
              </w:rPr>
              <w:t>P0</w:t>
            </w:r>
          </w:p>
        </w:tc>
      </w:tr>
      <w:tr>
        <w:tc>
          <w:tcPr>
            <w:tcW w:type="dxa" w:w="637"/>
            <w:shd w:val="clear" w:color="auto" w:fill="F2F5F8"/>
          </w:tcPr>
          <w:p>
            <w:pPr>
              <w:spacing w:after="0"/>
            </w:pPr>
            <w:r>
              <w:rPr>
                <w:sz w:val="18"/>
              </w:rPr>
              <w:t>C-04</w:t>
            </w:r>
          </w:p>
        </w:tc>
        <w:tc>
          <w:tcPr>
            <w:tcW w:type="dxa" w:w="6366"/>
            <w:shd w:val="clear" w:color="auto" w:fill="F2F5F8"/>
          </w:tcPr>
          <w:p>
            <w:pPr>
              <w:spacing w:after="0"/>
            </w:pPr>
            <w:r>
              <w:rPr>
                <w:sz w:val="18"/>
              </w:rPr>
              <w:t xml:space="preserve">Creator voice profile with theological tradition, guardrails and topics to avoid </w:t>
            </w:r>
            <w:r>
              <w:rPr>
                <w:b/>
                <w:caps/>
                <w:color w:val="9A5B00"/>
                <w:sz w:val="16"/>
              </w:rPr>
              <w:t>revised</w:t>
            </w:r>
          </w:p>
        </w:tc>
        <w:tc>
          <w:tcPr>
            <w:tcW w:type="dxa" w:w="1637"/>
            <w:shd w:val="clear" w:color="auto" w:fill="F2F5F8"/>
          </w:tcPr>
          <w:p>
            <w:pPr>
              <w:spacing w:after="0"/>
            </w:pPr>
            <w:r>
              <w:rPr>
                <w:sz w:val="18"/>
              </w:rPr>
              <w:t>P0</w:t>
            </w:r>
          </w:p>
        </w:tc>
      </w:tr>
      <w:tr>
        <w:tc>
          <w:tcPr>
            <w:tcW w:type="dxa" w:w="637"/>
          </w:tcPr>
          <w:p>
            <w:pPr>
              <w:spacing w:after="0"/>
            </w:pPr>
            <w:r>
              <w:rPr>
                <w:sz w:val="18"/>
              </w:rPr>
              <w:t>C-05</w:t>
            </w:r>
          </w:p>
        </w:tc>
        <w:tc>
          <w:tcPr>
            <w:tcW w:type="dxa" w:w="6366"/>
          </w:tcPr>
          <w:p>
            <w:pPr>
              <w:spacing w:after="0"/>
            </w:pPr>
            <w:r>
              <w:rPr>
                <w:sz w:val="18"/>
              </w:rPr>
              <w:t xml:space="preserve">Teleprompter: Prompter-only mode (second device) with countdown, pause and screen-awake </w:t>
            </w:r>
            <w:r>
              <w:rPr>
                <w:b/>
                <w:caps/>
                <w:color w:val="9A5B00"/>
                <w:sz w:val="16"/>
              </w:rPr>
              <w:t>revised</w:t>
            </w:r>
          </w:p>
        </w:tc>
        <w:tc>
          <w:tcPr>
            <w:tcW w:type="dxa" w:w="1637"/>
          </w:tcPr>
          <w:p>
            <w:pPr>
              <w:spacing w:after="0"/>
            </w:pPr>
            <w:r>
              <w:rPr>
                <w:sz w:val="18"/>
              </w:rPr>
              <w:t>P0</w:t>
            </w:r>
          </w:p>
        </w:tc>
      </w:tr>
      <w:tr>
        <w:tc>
          <w:tcPr>
            <w:tcW w:type="dxa" w:w="637"/>
            <w:shd w:val="clear" w:color="auto" w:fill="F2F5F8"/>
          </w:tcPr>
          <w:p>
            <w:pPr>
              <w:spacing w:after="0"/>
            </w:pPr>
            <w:r>
              <w:rPr>
                <w:sz w:val="18"/>
              </w:rPr>
              <w:t>C-06</w:t>
            </w:r>
          </w:p>
        </w:tc>
        <w:tc>
          <w:tcPr>
            <w:tcW w:type="dxa" w:w="6366"/>
            <w:shd w:val="clear" w:color="auto" w:fill="F2F5F8"/>
          </w:tcPr>
          <w:p>
            <w:pPr>
              <w:spacing w:after="0"/>
            </w:pPr>
            <w:r>
              <w:rPr>
                <w:sz w:val="18"/>
              </w:rPr>
              <w:t xml:space="preserve">In-app Record mode with prompter overlay </w:t>
            </w:r>
            <w:r>
              <w:rPr>
                <w:b/>
                <w:caps/>
                <w:color w:val="1F7A4D"/>
                <w:sz w:val="16"/>
              </w:rPr>
              <w:t>new</w:t>
            </w:r>
          </w:p>
        </w:tc>
        <w:tc>
          <w:tcPr>
            <w:tcW w:type="dxa" w:w="1637"/>
            <w:shd w:val="clear" w:color="auto" w:fill="F2F5F8"/>
          </w:tcPr>
          <w:p>
            <w:pPr>
              <w:spacing w:after="0"/>
            </w:pPr>
            <w:r>
              <w:rPr>
                <w:sz w:val="18"/>
              </w:rPr>
              <w:t>P0 stretch (decision D-01)</w:t>
            </w:r>
          </w:p>
        </w:tc>
      </w:tr>
      <w:tr>
        <w:tc>
          <w:tcPr>
            <w:tcW w:type="dxa" w:w="637"/>
          </w:tcPr>
          <w:p>
            <w:pPr>
              <w:spacing w:after="0"/>
            </w:pPr>
            <w:r>
              <w:rPr>
                <w:sz w:val="18"/>
              </w:rPr>
              <w:t>C-07</w:t>
            </w:r>
          </w:p>
        </w:tc>
        <w:tc>
          <w:tcPr>
            <w:tcW w:type="dxa" w:w="6366"/>
          </w:tcPr>
          <w:p>
            <w:pPr>
              <w:spacing w:after="0"/>
            </w:pPr>
            <w:r>
              <w:rPr>
                <w:sz w:val="18"/>
              </w:rPr>
              <w:t xml:space="preserve">Resumable video upload with iPhone format handling </w:t>
            </w:r>
            <w:r>
              <w:rPr>
                <w:b/>
                <w:caps/>
                <w:color w:val="9A5B00"/>
                <w:sz w:val="16"/>
              </w:rPr>
              <w:t>revised</w:t>
            </w:r>
          </w:p>
        </w:tc>
        <w:tc>
          <w:tcPr>
            <w:tcW w:type="dxa" w:w="1637"/>
          </w:tcPr>
          <w:p>
            <w:pPr>
              <w:spacing w:after="0"/>
            </w:pPr>
            <w:r>
              <w:rPr>
                <w:sz w:val="18"/>
              </w:rPr>
              <w:t>P0</w:t>
            </w:r>
          </w:p>
        </w:tc>
      </w:tr>
      <w:tr>
        <w:tc>
          <w:tcPr>
            <w:tcW w:type="dxa" w:w="637"/>
            <w:shd w:val="clear" w:color="auto" w:fill="F2F5F8"/>
          </w:tcPr>
          <w:p>
            <w:pPr>
              <w:spacing w:after="0"/>
            </w:pPr>
            <w:r>
              <w:rPr>
                <w:sz w:val="18"/>
              </w:rPr>
              <w:t>C-08</w:t>
            </w:r>
          </w:p>
        </w:tc>
        <w:tc>
          <w:tcPr>
            <w:tcW w:type="dxa" w:w="6366"/>
            <w:shd w:val="clear" w:color="auto" w:fill="F2F5F8"/>
          </w:tcPr>
          <w:p>
            <w:pPr>
              <w:spacing w:after="0"/>
            </w:pPr>
            <w:r>
              <w:rPr>
                <w:sz w:val="18"/>
              </w:rPr>
              <w:t xml:space="preserve">Transcription with biblical-name vocabulary; editable subtitle text and timing </w:t>
            </w:r>
            <w:r>
              <w:rPr>
                <w:b/>
                <w:caps/>
                <w:color w:val="9A5B00"/>
                <w:sz w:val="16"/>
              </w:rPr>
              <w:t>revised</w:t>
            </w:r>
          </w:p>
        </w:tc>
        <w:tc>
          <w:tcPr>
            <w:tcW w:type="dxa" w:w="1637"/>
            <w:shd w:val="clear" w:color="auto" w:fill="F2F5F8"/>
          </w:tcPr>
          <w:p>
            <w:pPr>
              <w:spacing w:after="0"/>
            </w:pPr>
            <w:r>
              <w:rPr>
                <w:sz w:val="18"/>
              </w:rPr>
              <w:t>P0</w:t>
            </w:r>
          </w:p>
        </w:tc>
      </w:tr>
      <w:tr>
        <w:tc>
          <w:tcPr>
            <w:tcW w:type="dxa" w:w="637"/>
          </w:tcPr>
          <w:p>
            <w:pPr>
              <w:spacing w:after="0"/>
            </w:pPr>
            <w:r>
              <w:rPr>
                <w:sz w:val="18"/>
              </w:rPr>
              <w:t>C-09</w:t>
            </w:r>
          </w:p>
        </w:tc>
        <w:tc>
          <w:tcPr>
            <w:tcW w:type="dxa" w:w="6366"/>
          </w:tcPr>
          <w:p>
            <w:pPr>
              <w:spacing w:after="0"/>
            </w:pPr>
            <w:r>
              <w:rPr>
                <w:sz w:val="18"/>
              </w:rPr>
              <w:t xml:space="preserve">9:16 export: SRT first; styled burn-in with safe zones and loudness normalisation </w:t>
            </w:r>
            <w:r>
              <w:rPr>
                <w:b/>
                <w:caps/>
                <w:color w:val="9A5B00"/>
                <w:sz w:val="16"/>
              </w:rPr>
              <w:t>revised</w:t>
            </w:r>
          </w:p>
        </w:tc>
        <w:tc>
          <w:tcPr>
            <w:tcW w:type="dxa" w:w="1637"/>
          </w:tcPr>
          <w:p>
            <w:pPr>
              <w:spacing w:after="0"/>
            </w:pPr>
            <w:r>
              <w:rPr>
                <w:sz w:val="18"/>
              </w:rPr>
              <w:t>P0 (burn-in stretch)</w:t>
            </w:r>
          </w:p>
        </w:tc>
      </w:tr>
      <w:tr>
        <w:tc>
          <w:tcPr>
            <w:tcW w:type="dxa" w:w="637"/>
            <w:shd w:val="clear" w:color="auto" w:fill="F2F5F8"/>
          </w:tcPr>
          <w:p>
            <w:pPr>
              <w:spacing w:after="0"/>
            </w:pPr>
            <w:r>
              <w:rPr>
                <w:sz w:val="18"/>
              </w:rPr>
              <w:t>C-10</w:t>
            </w:r>
          </w:p>
        </w:tc>
        <w:tc>
          <w:tcPr>
            <w:tcW w:type="dxa" w:w="6366"/>
            <w:shd w:val="clear" w:color="auto" w:fill="F2F5F8"/>
          </w:tcPr>
          <w:p>
            <w:pPr>
              <w:spacing w:after="0"/>
            </w:pPr>
            <w:r>
              <w:rPr>
                <w:sz w:val="18"/>
              </w:rPr>
              <w:t xml:space="preserve">Instagram/TikTok/Facebook/X captions, hashtags and CTAs with character limits </w:t>
            </w:r>
            <w:r>
              <w:rPr>
                <w:b/>
                <w:caps/>
                <w:color w:val="9A5B00"/>
                <w:sz w:val="16"/>
              </w:rPr>
              <w:t>revised</w:t>
            </w:r>
          </w:p>
        </w:tc>
        <w:tc>
          <w:tcPr>
            <w:tcW w:type="dxa" w:w="1637"/>
            <w:shd w:val="clear" w:color="auto" w:fill="F2F5F8"/>
          </w:tcPr>
          <w:p>
            <w:pPr>
              <w:spacing w:after="0"/>
            </w:pPr>
            <w:r>
              <w:rPr>
                <w:sz w:val="18"/>
              </w:rPr>
              <w:t>P0</w:t>
            </w:r>
          </w:p>
        </w:tc>
      </w:tr>
      <w:tr>
        <w:tc>
          <w:tcPr>
            <w:tcW w:type="dxa" w:w="637"/>
          </w:tcPr>
          <w:p>
            <w:pPr>
              <w:spacing w:after="0"/>
            </w:pPr>
            <w:r>
              <w:rPr>
                <w:sz w:val="18"/>
              </w:rPr>
              <w:t>C-11</w:t>
            </w:r>
          </w:p>
        </w:tc>
        <w:tc>
          <w:tcPr>
            <w:tcW w:type="dxa" w:w="6366"/>
          </w:tcPr>
          <w:p>
            <w:pPr>
              <w:spacing w:after="0"/>
            </w:pPr>
            <w:r>
              <w:rPr>
                <w:sz w:val="18"/>
              </w:rPr>
              <w:t xml:space="preserve">Platform video-length and format checks (e.g. X 2:20 non-Premium) </w:t>
            </w:r>
            <w:r>
              <w:rPr>
                <w:b/>
                <w:caps/>
                <w:color w:val="1F7A4D"/>
                <w:sz w:val="16"/>
              </w:rPr>
              <w:t>new</w:t>
            </w:r>
          </w:p>
        </w:tc>
        <w:tc>
          <w:tcPr>
            <w:tcW w:type="dxa" w:w="1637"/>
          </w:tcPr>
          <w:p>
            <w:pPr>
              <w:spacing w:after="0"/>
            </w:pPr>
            <w:r>
              <w:rPr>
                <w:sz w:val="18"/>
              </w:rPr>
              <w:t>P0</w:t>
            </w:r>
          </w:p>
        </w:tc>
      </w:tr>
      <w:tr>
        <w:tc>
          <w:tcPr>
            <w:tcW w:type="dxa" w:w="637"/>
            <w:shd w:val="clear" w:color="auto" w:fill="F2F5F8"/>
          </w:tcPr>
          <w:p>
            <w:pPr>
              <w:spacing w:after="0"/>
            </w:pPr>
            <w:r>
              <w:rPr>
                <w:sz w:val="18"/>
              </w:rPr>
              <w:t>C-12</w:t>
            </w:r>
          </w:p>
        </w:tc>
        <w:tc>
          <w:tcPr>
            <w:tcW w:type="dxa" w:w="6366"/>
            <w:shd w:val="clear" w:color="auto" w:fill="F2F5F8"/>
          </w:tcPr>
          <w:p>
            <w:pPr>
              <w:spacing w:after="0"/>
            </w:pPr>
            <w:r>
              <w:rPr>
                <w:sz w:val="18"/>
              </w:rPr>
              <w:t xml:space="preserve">Content calendar with timezone, manual publishing status, external URL and publishing reminders </w:t>
            </w:r>
            <w:r>
              <w:rPr>
                <w:b/>
                <w:caps/>
                <w:color w:val="9A5B00"/>
                <w:sz w:val="16"/>
              </w:rPr>
              <w:t>revised</w:t>
            </w:r>
          </w:p>
        </w:tc>
        <w:tc>
          <w:tcPr>
            <w:tcW w:type="dxa" w:w="1637"/>
            <w:shd w:val="clear" w:color="auto" w:fill="F2F5F8"/>
          </w:tcPr>
          <w:p>
            <w:pPr>
              <w:spacing w:after="0"/>
            </w:pPr>
            <w:r>
              <w:rPr>
                <w:sz w:val="18"/>
              </w:rPr>
              <w:t>P0</w:t>
            </w:r>
          </w:p>
        </w:tc>
      </w:tr>
      <w:tr>
        <w:tc>
          <w:tcPr>
            <w:tcW w:type="dxa" w:w="637"/>
          </w:tcPr>
          <w:p>
            <w:pPr>
              <w:spacing w:after="0"/>
            </w:pPr>
            <w:r>
              <w:rPr>
                <w:sz w:val="18"/>
              </w:rPr>
              <w:t>C-13</w:t>
            </w:r>
          </w:p>
        </w:tc>
        <w:tc>
          <w:tcPr>
            <w:tcW w:type="dxa" w:w="6366"/>
          </w:tcPr>
          <w:p>
            <w:pPr>
              <w:spacing w:after="0"/>
            </w:pPr>
            <w:r>
              <w:rPr>
                <w:sz w:val="18"/>
              </w:rPr>
              <w:t xml:space="preserve">Home dashboard: next action, pipeline, posting adherence, trends </w:t>
            </w:r>
            <w:r>
              <w:rPr>
                <w:b/>
                <w:caps/>
                <w:color w:val="1F7A4D"/>
                <w:sz w:val="16"/>
              </w:rPr>
              <w:t>new</w:t>
            </w:r>
          </w:p>
        </w:tc>
        <w:tc>
          <w:tcPr>
            <w:tcW w:type="dxa" w:w="1637"/>
          </w:tcPr>
          <w:p>
            <w:pPr>
              <w:spacing w:after="0"/>
            </w:pPr>
            <w:r>
              <w:rPr>
                <w:sz w:val="18"/>
              </w:rPr>
              <w:t>P0</w:t>
            </w:r>
          </w:p>
        </w:tc>
      </w:tr>
      <w:tr>
        <w:tc>
          <w:tcPr>
            <w:tcW w:type="dxa" w:w="637"/>
            <w:shd w:val="clear" w:color="auto" w:fill="F2F5F8"/>
          </w:tcPr>
          <w:p>
            <w:pPr>
              <w:spacing w:after="0"/>
            </w:pPr>
            <w:r>
              <w:rPr>
                <w:sz w:val="18"/>
              </w:rPr>
              <w:t>C-14</w:t>
            </w:r>
          </w:p>
        </w:tc>
        <w:tc>
          <w:tcPr>
            <w:tcW w:type="dxa" w:w="6366"/>
            <w:shd w:val="clear" w:color="auto" w:fill="F2F5F8"/>
          </w:tcPr>
          <w:p>
            <w:pPr>
              <w:spacing w:after="0"/>
            </w:pPr>
            <w:r>
              <w:rPr>
                <w:sz w:val="18"/>
              </w:rPr>
              <w:t xml:space="preserve">Manual metric entry and follower snapshots; historical baseline import </w:t>
            </w:r>
            <w:r>
              <w:rPr>
                <w:b/>
                <w:caps/>
                <w:color w:val="9A5B00"/>
                <w:sz w:val="16"/>
              </w:rPr>
              <w:t>revised</w:t>
            </w:r>
          </w:p>
        </w:tc>
        <w:tc>
          <w:tcPr>
            <w:tcW w:type="dxa" w:w="1637"/>
            <w:shd w:val="clear" w:color="auto" w:fill="F2F5F8"/>
          </w:tcPr>
          <w:p>
            <w:pPr>
              <w:spacing w:after="0"/>
            </w:pPr>
            <w:r>
              <w:rPr>
                <w:sz w:val="18"/>
              </w:rPr>
              <w:t>P0</w:t>
            </w:r>
          </w:p>
        </w:tc>
      </w:tr>
      <w:tr>
        <w:tc>
          <w:tcPr>
            <w:tcW w:type="dxa" w:w="637"/>
          </w:tcPr>
          <w:p>
            <w:pPr>
              <w:spacing w:after="0"/>
            </w:pPr>
            <w:r>
              <w:rPr>
                <w:sz w:val="18"/>
              </w:rPr>
              <w:t>C-15</w:t>
            </w:r>
          </w:p>
        </w:tc>
        <w:tc>
          <w:tcPr>
            <w:tcW w:type="dxa" w:w="6366"/>
          </w:tcPr>
          <w:p>
            <w:pPr>
              <w:spacing w:after="0"/>
            </w:pPr>
            <w:r>
              <w:rPr>
                <w:sz w:val="18"/>
              </w:rPr>
              <w:t xml:space="preserve">CSV import with per-platform column mapping and validation </w:t>
            </w:r>
            <w:r>
              <w:rPr>
                <w:b/>
                <w:caps/>
                <w:color w:val="9A5B00"/>
                <w:sz w:val="16"/>
              </w:rPr>
              <w:t>revised</w:t>
            </w:r>
          </w:p>
        </w:tc>
        <w:tc>
          <w:tcPr>
            <w:tcW w:type="dxa" w:w="1637"/>
          </w:tcPr>
          <w:p>
            <w:pPr>
              <w:spacing w:after="0"/>
            </w:pPr>
            <w:r>
              <w:rPr>
                <w:sz w:val="18"/>
              </w:rPr>
              <w:t>P0 stretch</w:t>
            </w:r>
          </w:p>
        </w:tc>
      </w:tr>
      <w:tr>
        <w:tc>
          <w:tcPr>
            <w:tcW w:type="dxa" w:w="637"/>
            <w:shd w:val="clear" w:color="auto" w:fill="F2F5F8"/>
          </w:tcPr>
          <w:p>
            <w:pPr>
              <w:spacing w:after="0"/>
            </w:pPr>
            <w:r>
              <w:rPr>
                <w:sz w:val="18"/>
              </w:rPr>
              <w:t>C-16</w:t>
            </w:r>
          </w:p>
        </w:tc>
        <w:tc>
          <w:tcPr>
            <w:tcW w:type="dxa" w:w="6366"/>
            <w:shd w:val="clear" w:color="auto" w:fill="F2F5F8"/>
          </w:tcPr>
          <w:p>
            <w:pPr>
              <w:spacing w:after="0"/>
            </w:pPr>
            <w:r>
              <w:rPr>
                <w:sz w:val="18"/>
              </w:rPr>
              <w:t xml:space="preserve">Per-platform dashboard with 28-day vs prior period, metrics compared at equal post age, median reach </w:t>
            </w:r>
            <w:r>
              <w:rPr>
                <w:b/>
                <w:caps/>
                <w:color w:val="9A5B00"/>
                <w:sz w:val="16"/>
              </w:rPr>
              <w:t>revised</w:t>
            </w:r>
          </w:p>
        </w:tc>
        <w:tc>
          <w:tcPr>
            <w:tcW w:type="dxa" w:w="1637"/>
            <w:shd w:val="clear" w:color="auto" w:fill="F2F5F8"/>
          </w:tcPr>
          <w:p>
            <w:pPr>
              <w:spacing w:after="0"/>
            </w:pPr>
            <w:r>
              <w:rPr>
                <w:sz w:val="18"/>
              </w:rPr>
              <w:t>P0</w:t>
            </w:r>
          </w:p>
        </w:tc>
      </w:tr>
      <w:tr>
        <w:tc>
          <w:tcPr>
            <w:tcW w:type="dxa" w:w="637"/>
          </w:tcPr>
          <w:p>
            <w:pPr>
              <w:spacing w:after="0"/>
            </w:pPr>
            <w:r>
              <w:rPr>
                <w:sz w:val="18"/>
              </w:rPr>
              <w:t>C-17</w:t>
            </w:r>
          </w:p>
        </w:tc>
        <w:tc>
          <w:tcPr>
            <w:tcW w:type="dxa" w:w="6366"/>
          </w:tcPr>
          <w:p>
            <w:pPr>
              <w:spacing w:after="0"/>
            </w:pPr>
            <w:r>
              <w:rPr>
                <w:sz w:val="18"/>
              </w:rPr>
              <w:t xml:space="preserve">Weekly evidence-linked recommendations and review; experiment log </w:t>
            </w:r>
            <w:r>
              <w:rPr>
                <w:b/>
                <w:caps/>
                <w:color w:val="9A5B00"/>
                <w:sz w:val="16"/>
              </w:rPr>
              <w:t>revised</w:t>
            </w:r>
          </w:p>
        </w:tc>
        <w:tc>
          <w:tcPr>
            <w:tcW w:type="dxa" w:w="1637"/>
          </w:tcPr>
          <w:p>
            <w:pPr>
              <w:spacing w:after="0"/>
            </w:pPr>
            <w:r>
              <w:rPr>
                <w:sz w:val="18"/>
              </w:rPr>
              <w:t>P0</w:t>
            </w:r>
          </w:p>
        </w:tc>
      </w:tr>
      <w:tr>
        <w:tc>
          <w:tcPr>
            <w:tcW w:type="dxa" w:w="637"/>
            <w:shd w:val="clear" w:color="auto" w:fill="F2F5F8"/>
          </w:tcPr>
          <w:p>
            <w:pPr>
              <w:spacing w:after="0"/>
            </w:pPr>
            <w:r>
              <w:rPr>
                <w:sz w:val="18"/>
              </w:rPr>
              <w:t>C-18</w:t>
            </w:r>
          </w:p>
        </w:tc>
        <w:tc>
          <w:tcPr>
            <w:tcW w:type="dxa" w:w="6366"/>
            <w:shd w:val="clear" w:color="auto" w:fill="F2F5F8"/>
          </w:tcPr>
          <w:p>
            <w:pPr>
              <w:spacing w:after="0"/>
            </w:pPr>
            <w:r>
              <w:rPr>
                <w:sz w:val="18"/>
              </w:rPr>
              <w:t xml:space="preserve">Data export and deletion </w:t>
            </w:r>
            <w:r>
              <w:rPr>
                <w:b/>
                <w:caps/>
                <w:color w:val="1F7A4D"/>
                <w:sz w:val="16"/>
              </w:rPr>
              <w:t>new</w:t>
            </w:r>
          </w:p>
        </w:tc>
        <w:tc>
          <w:tcPr>
            <w:tcW w:type="dxa" w:w="1637"/>
            <w:shd w:val="clear" w:color="auto" w:fill="F2F5F8"/>
          </w:tcPr>
          <w:p>
            <w:pPr>
              <w:spacing w:after="0"/>
            </w:pPr>
            <w:r>
              <w:rPr>
                <w:sz w:val="18"/>
              </w:rPr>
              <w:t>P0</w:t>
            </w:r>
          </w:p>
        </w:tc>
      </w:tr>
      <w:tr>
        <w:tc>
          <w:tcPr>
            <w:tcW w:type="dxa" w:w="637"/>
          </w:tcPr>
          <w:p>
            <w:pPr>
              <w:spacing w:after="0"/>
            </w:pPr>
            <w:r>
              <w:rPr>
                <w:sz w:val="18"/>
              </w:rPr>
              <w:t>P1</w:t>
            </w:r>
          </w:p>
        </w:tc>
        <w:tc>
          <w:tcPr>
            <w:tcW w:type="dxa" w:w="6366"/>
          </w:tcPr>
          <w:p>
            <w:pPr>
              <w:spacing w:after="0"/>
            </w:pPr>
            <w:r>
              <w:rPr>
                <w:sz w:val="18"/>
              </w:rPr>
              <w:t>Approved platform API connections, scheduled publishing where authorised, richer retention metrics, clip suggestions, thumbnail testing, licensed Bible text service integration, malware scanning</w:t>
            </w:r>
          </w:p>
        </w:tc>
        <w:tc>
          <w:tcPr>
            <w:tcW w:type="dxa" w:w="1637"/>
          </w:tcPr>
          <w:p>
            <w:pPr>
              <w:spacing w:after="0"/>
            </w:pPr>
            <w:r>
              <w:rPr>
                <w:sz w:val="18"/>
              </w:rPr>
              <w:t>P1</w:t>
            </w:r>
          </w:p>
        </w:tc>
      </w:tr>
      <w:tr>
        <w:tc>
          <w:tcPr>
            <w:tcW w:type="dxa" w:w="637"/>
            <w:shd w:val="clear" w:color="auto" w:fill="F2F5F8"/>
          </w:tcPr>
          <w:p>
            <w:pPr>
              <w:spacing w:after="0"/>
            </w:pPr>
            <w:r>
              <w:rPr>
                <w:sz w:val="18"/>
              </w:rPr>
              <w:t>P2</w:t>
            </w:r>
          </w:p>
        </w:tc>
        <w:tc>
          <w:tcPr>
            <w:tcW w:type="dxa" w:w="6366"/>
            <w:shd w:val="clear" w:color="auto" w:fill="F2F5F8"/>
          </w:tcPr>
          <w:p>
            <w:pPr>
              <w:spacing w:after="0"/>
            </w:pPr>
            <w:r>
              <w:rPr>
                <w:sz w:val="18"/>
              </w:rPr>
              <w:t>Team workflows, churches, subscription billing, paid ad campaign automation</w:t>
            </w:r>
          </w:p>
        </w:tc>
        <w:tc>
          <w:tcPr>
            <w:tcW w:type="dxa" w:w="1637"/>
            <w:shd w:val="clear" w:color="auto" w:fill="F2F5F8"/>
          </w:tcPr>
          <w:p>
            <w:pPr>
              <w:spacing w:after="0"/>
            </w:pPr>
            <w:r>
              <w:rPr>
                <w:sz w:val="18"/>
              </w:rPr>
              <w:t>P2</w:t>
            </w:r>
          </w:p>
        </w:tc>
      </w:tr>
    </w:tbl>
    <w:p/>
    <w:p>
      <w:pPr>
        <w:pStyle w:val="Heading1"/>
      </w:pPr>
      <w:r>
        <w:t xml:space="preserve">5. Success metrics and measurement </w:t>
      </w:r>
      <w:r>
        <w:rPr>
          <w:b/>
          <w:caps/>
          <w:color w:val="9A5B00"/>
          <w:sz w:val="16"/>
        </w:rPr>
        <w:t>revised</w:t>
      </w:r>
    </w:p>
    <w:tbl>
      <w:tblPr>
        <w:tblStyle w:val="TableGrid"/>
        <w:tblLayout w:type="fixed"/>
        <w:tblLook w:firstColumn="1" w:firstRow="1" w:lastColumn="0" w:lastRow="0" w:noHBand="0" w:noVBand="1" w:val="04A0"/>
        <w:tblCellMar>
          <w:top w:w="60" w:type="dxa"/>
          <w:left w:w="90" w:type="dxa"/>
          <w:bottom w:w="60" w:type="dxa"/>
          <w:right w:w="90" w:type="dxa"/>
        </w:tblCellMar>
        <w:tblW w:w="8639" w:type="dxa"/>
        <w:tblLayout w:type="fixed"/>
      </w:tblPr>
      <w:tblGrid>
        <w:gridCol w:w="2000"/>
        <w:gridCol w:w="4365"/>
        <w:gridCol w:w="2273"/>
      </w:tblGrid>
      <w:tr>
        <w:trPr>
          <w:tblHeader w:val="true"/>
        </w:trPr>
        <w:tc>
          <w:tcPr>
            <w:tcW w:type="dxa" w:w="2001"/>
            <w:shd w:val="clear" w:color="auto" w:fill="16384D"/>
          </w:tcPr>
          <w:p>
            <w:r>
              <w:rPr>
                <w:b/>
                <w:color w:val="FFFFFF"/>
                <w:sz w:val="18"/>
              </w:rPr>
              <w:t>Metric</w:t>
            </w:r>
          </w:p>
        </w:tc>
        <w:tc>
          <w:tcPr>
            <w:tcW w:type="dxa" w:w="4365"/>
            <w:shd w:val="clear" w:color="auto" w:fill="16384D"/>
          </w:tcPr>
          <w:p>
            <w:r>
              <w:rPr>
                <w:b/>
                <w:color w:val="FFFFFF"/>
                <w:sz w:val="18"/>
              </w:rPr>
              <w:t>Definition</w:t>
            </w:r>
          </w:p>
        </w:tc>
        <w:tc>
          <w:tcPr>
            <w:tcW w:type="dxa" w:w="2274"/>
            <w:shd w:val="clear" w:color="auto" w:fill="16384D"/>
          </w:tcPr>
          <w:p>
            <w:r>
              <w:rPr>
                <w:b/>
                <w:color w:val="FFFFFF"/>
                <w:sz w:val="18"/>
              </w:rPr>
              <w:t>Target / use</w:t>
            </w:r>
          </w:p>
        </w:tc>
      </w:tr>
      <w:tr>
        <w:tc>
          <w:tcPr>
            <w:tcW w:type="dxa" w:w="2001"/>
          </w:tcPr>
          <w:p>
            <w:pPr>
              <w:spacing w:after="0"/>
            </w:pPr>
            <w:r>
              <w:rPr>
                <w:sz w:val="18"/>
              </w:rPr>
              <w:t>Posting adherence</w:t>
            </w:r>
          </w:p>
        </w:tc>
        <w:tc>
          <w:tcPr>
            <w:tcW w:type="dxa" w:w="4365"/>
          </w:tcPr>
          <w:p>
            <w:pPr>
              <w:spacing w:after="0"/>
            </w:pPr>
            <w:r>
              <w:rPr>
                <w:sz w:val="18"/>
              </w:rPr>
              <w:t>Posts marked published ÷ posts scheduled, per week</w:t>
            </w:r>
          </w:p>
        </w:tc>
        <w:tc>
          <w:tcPr>
            <w:tcW w:type="dxa" w:w="2274"/>
          </w:tcPr>
          <w:p>
            <w:pPr>
              <w:spacing w:after="0"/>
            </w:pPr>
            <w:r>
              <w:rPr>
                <w:sz w:val="18"/>
              </w:rPr>
              <w:t>≥80%</w:t>
            </w:r>
          </w:p>
        </w:tc>
      </w:tr>
      <w:tr>
        <w:tc>
          <w:tcPr>
            <w:tcW w:type="dxa" w:w="2001"/>
            <w:shd w:val="clear" w:color="auto" w:fill="F2F5F8"/>
          </w:tcPr>
          <w:p>
            <w:pPr>
              <w:spacing w:after="0"/>
            </w:pPr>
            <w:r>
              <w:rPr>
                <w:sz w:val="18"/>
              </w:rPr>
              <w:t>Script draft time</w:t>
            </w:r>
          </w:p>
        </w:tc>
        <w:tc>
          <w:tcPr>
            <w:tcW w:type="dxa" w:w="4365"/>
            <w:shd w:val="clear" w:color="auto" w:fill="F2F5F8"/>
          </w:tcPr>
          <w:p>
            <w:pPr>
              <w:spacing w:after="0"/>
            </w:pPr>
            <w:r>
              <w:rPr>
                <w:sz w:val="18"/>
              </w:rPr>
              <w:t>User time from project creation to first complete draft (p90, excluding provider outages)</w:t>
            </w:r>
          </w:p>
        </w:tc>
        <w:tc>
          <w:tcPr>
            <w:tcW w:type="dxa" w:w="2274"/>
            <w:shd w:val="clear" w:color="auto" w:fill="F2F5F8"/>
          </w:tcPr>
          <w:p>
            <w:pPr>
              <w:spacing w:after="0"/>
            </w:pPr>
            <w:r>
              <w:rPr>
                <w:sz w:val="18"/>
              </w:rPr>
              <w:t>≤5 minutes</w:t>
            </w:r>
          </w:p>
        </w:tc>
      </w:tr>
      <w:tr>
        <w:tc>
          <w:tcPr>
            <w:tcW w:type="dxa" w:w="2001"/>
          </w:tcPr>
          <w:p>
            <w:pPr>
              <w:spacing w:after="0"/>
            </w:pPr>
            <w:r>
              <w:rPr>
                <w:sz w:val="18"/>
              </w:rPr>
              <w:t>Export success</w:t>
            </w:r>
          </w:p>
        </w:tc>
        <w:tc>
          <w:tcPr>
            <w:tcW w:type="dxa" w:w="4365"/>
          </w:tcPr>
          <w:p>
            <w:pPr>
              <w:spacing w:after="0"/>
            </w:pPr>
            <w:r>
              <w:rPr>
                <w:sz w:val="18"/>
              </w:rPr>
              <w:t>Successful renders ÷ render attempts on valid inputs in testing</w:t>
            </w:r>
          </w:p>
        </w:tc>
        <w:tc>
          <w:tcPr>
            <w:tcW w:type="dxa" w:w="2274"/>
          </w:tcPr>
          <w:p>
            <w:pPr>
              <w:spacing w:after="0"/>
            </w:pPr>
            <w:r>
              <w:rPr>
                <w:sz w:val="18"/>
              </w:rPr>
              <w:t>≥95%</w:t>
            </w:r>
          </w:p>
        </w:tc>
      </w:tr>
      <w:tr>
        <w:tc>
          <w:tcPr>
            <w:tcW w:type="dxa" w:w="2001"/>
            <w:shd w:val="clear" w:color="auto" w:fill="F2F5F8"/>
          </w:tcPr>
          <w:p>
            <w:pPr>
              <w:spacing w:after="0"/>
            </w:pPr>
            <w:r>
              <w:rPr>
                <w:sz w:val="18"/>
              </w:rPr>
              <w:t>Weekly review</w:t>
            </w:r>
          </w:p>
        </w:tc>
        <w:tc>
          <w:tcPr>
            <w:tcW w:type="dxa" w:w="4365"/>
            <w:shd w:val="clear" w:color="auto" w:fill="F2F5F8"/>
          </w:tcPr>
          <w:p>
            <w:pPr>
              <w:spacing w:after="0"/>
            </w:pPr>
            <w:r>
              <w:rPr>
                <w:sz w:val="18"/>
              </w:rPr>
              <w:t>Weeks with a review marked complete ÷ weeks in pilot</w:t>
            </w:r>
          </w:p>
        </w:tc>
        <w:tc>
          <w:tcPr>
            <w:tcW w:type="dxa" w:w="2274"/>
            <w:shd w:val="clear" w:color="auto" w:fill="F2F5F8"/>
          </w:tcPr>
          <w:p>
            <w:pPr>
              <w:spacing w:after="0"/>
            </w:pPr>
            <w:r>
              <w:rPr>
                <w:sz w:val="18"/>
              </w:rPr>
              <w:t>Tracked</w:t>
            </w:r>
          </w:p>
        </w:tc>
      </w:tr>
      <w:tr>
        <w:tc>
          <w:tcPr>
            <w:tcW w:type="dxa" w:w="2001"/>
          </w:tcPr>
          <w:p>
            <w:pPr>
              <w:spacing w:after="0"/>
            </w:pPr>
            <w:r>
              <w:rPr>
                <w:sz w:val="18"/>
              </w:rPr>
              <w:t>Organic reach per post</w:t>
            </w:r>
          </w:p>
        </w:tc>
        <w:tc>
          <w:tcPr>
            <w:tcW w:type="dxa" w:w="4365"/>
          </w:tcPr>
          <w:p>
            <w:pPr>
              <w:spacing w:after="0"/>
            </w:pPr>
            <w:r>
              <w:rPr>
                <w:sz w:val="18"/>
              </w:rPr>
              <w:t>Median reach at day 7 after publishing, per platform</w:t>
            </w:r>
          </w:p>
        </w:tc>
        <w:tc>
          <w:tcPr>
            <w:tcW w:type="dxa" w:w="2274"/>
          </w:tcPr>
          <w:p>
            <w:pPr>
              <w:spacing w:after="0"/>
            </w:pPr>
            <w:r>
              <w:rPr>
                <w:sz w:val="18"/>
              </w:rPr>
              <w:t>Baseline vs follow-up</w:t>
            </w:r>
          </w:p>
        </w:tc>
      </w:tr>
      <w:tr>
        <w:tc>
          <w:tcPr>
            <w:tcW w:type="dxa" w:w="2001"/>
            <w:shd w:val="clear" w:color="auto" w:fill="F2F5F8"/>
          </w:tcPr>
          <w:p>
            <w:pPr>
              <w:spacing w:after="0"/>
            </w:pPr>
            <w:r>
              <w:rPr>
                <w:sz w:val="18"/>
              </w:rPr>
              <w:t>Net new followers</w:t>
            </w:r>
          </w:p>
        </w:tc>
        <w:tc>
          <w:tcPr>
            <w:tcW w:type="dxa" w:w="4365"/>
            <w:shd w:val="clear" w:color="auto" w:fill="F2F5F8"/>
          </w:tcPr>
          <w:p>
            <w:pPr>
              <w:spacing w:after="0"/>
            </w:pPr>
            <w:r>
              <w:rPr>
                <w:sz w:val="18"/>
              </w:rPr>
              <w:t>Follower snapshot at period end − at period start, per platform</w:t>
            </w:r>
          </w:p>
        </w:tc>
        <w:tc>
          <w:tcPr>
            <w:tcW w:type="dxa" w:w="2274"/>
            <w:shd w:val="clear" w:color="auto" w:fill="F2F5F8"/>
          </w:tcPr>
          <w:p>
            <w:pPr>
              <w:spacing w:after="0"/>
            </w:pPr>
            <w:r>
              <w:rPr>
                <w:sz w:val="18"/>
              </w:rPr>
              <w:t>Baseline vs follow-up</w:t>
            </w:r>
          </w:p>
        </w:tc>
      </w:tr>
      <w:tr>
        <w:tc>
          <w:tcPr>
            <w:tcW w:type="dxa" w:w="2001"/>
          </w:tcPr>
          <w:p>
            <w:pPr>
              <w:spacing w:after="0"/>
            </w:pPr>
            <w:r>
              <w:rPr>
                <w:sz w:val="18"/>
              </w:rPr>
              <w:t>Followers per 1,000 reached</w:t>
            </w:r>
          </w:p>
        </w:tc>
        <w:tc>
          <w:tcPr>
            <w:tcW w:type="dxa" w:w="4365"/>
          </w:tcPr>
          <w:p>
            <w:pPr>
              <w:spacing w:after="0"/>
            </w:pPr>
            <w:r>
              <w:rPr>
                <w:sz w:val="18"/>
              </w:rPr>
              <w:t>Net new followers ÷ total post reach × 1,000</w:t>
            </w:r>
          </w:p>
        </w:tc>
        <w:tc>
          <w:tcPr>
            <w:tcW w:type="dxa" w:w="2274"/>
          </w:tcPr>
          <w:p>
            <w:pPr>
              <w:spacing w:after="0"/>
            </w:pPr>
            <w:r>
              <w:rPr>
                <w:sz w:val="18"/>
              </w:rPr>
              <w:t>Only when snapshots sit within 2 days of period boundaries and ≥5 posts</w:t>
            </w:r>
          </w:p>
        </w:tc>
      </w:tr>
      <w:tr>
        <w:tc>
          <w:tcPr>
            <w:tcW w:type="dxa" w:w="2001"/>
            <w:shd w:val="clear" w:color="auto" w:fill="F2F5F8"/>
          </w:tcPr>
          <w:p>
            <w:pPr>
              <w:spacing w:after="0"/>
            </w:pPr>
            <w:r>
              <w:rPr>
                <w:sz w:val="18"/>
              </w:rPr>
              <w:t>Share rate / save rate</w:t>
            </w:r>
          </w:p>
        </w:tc>
        <w:tc>
          <w:tcPr>
            <w:tcW w:type="dxa" w:w="4365"/>
            <w:shd w:val="clear" w:color="auto" w:fill="F2F5F8"/>
          </w:tcPr>
          <w:p>
            <w:pPr>
              <w:spacing w:after="0"/>
            </w:pPr>
            <w:r>
              <w:rPr>
                <w:sz w:val="18"/>
              </w:rPr>
              <w:t>Shares ÷ reach; saves ÷ reach (where the platform supplies saves)</w:t>
            </w:r>
          </w:p>
        </w:tc>
        <w:tc>
          <w:tcPr>
            <w:tcW w:type="dxa" w:w="2274"/>
            <w:shd w:val="clear" w:color="auto" w:fill="F2F5F8"/>
          </w:tcPr>
          <w:p>
            <w:pPr>
              <w:spacing w:after="0"/>
            </w:pPr>
            <w:r>
              <w:rPr>
                <w:sz w:val="18"/>
              </w:rPr>
              <w:t>Per platform</w:t>
            </w:r>
          </w:p>
        </w:tc>
      </w:tr>
      <w:tr>
        <w:tc>
          <w:tcPr>
            <w:tcW w:type="dxa" w:w="2001"/>
          </w:tcPr>
          <w:p>
            <w:pPr>
              <w:spacing w:after="0"/>
            </w:pPr>
            <w:r>
              <w:rPr>
                <w:sz w:val="18"/>
              </w:rPr>
              <w:t>Watch time / completion</w:t>
            </w:r>
          </w:p>
        </w:tc>
        <w:tc>
          <w:tcPr>
            <w:tcW w:type="dxa" w:w="4365"/>
          </w:tcPr>
          <w:p>
            <w:pPr>
              <w:spacing w:after="0"/>
            </w:pPr>
            <w:r>
              <w:rPr>
                <w:sz w:val="18"/>
              </w:rPr>
              <w:t>Median platform-reported values</w:t>
            </w:r>
          </w:p>
        </w:tc>
        <w:tc>
          <w:tcPr>
            <w:tcW w:type="dxa" w:w="2274"/>
          </w:tcPr>
          <w:p>
            <w:pPr>
              <w:spacing w:after="0"/>
            </w:pPr>
            <w:r>
              <w:rPr>
                <w:sz w:val="18"/>
              </w:rPr>
              <w:t>Within platform only</w:t>
            </w:r>
          </w:p>
        </w:tc>
      </w:tr>
    </w:tbl>
    <w:p/>
    <w:p>
      <w:pPr>
        <w:pStyle w:val="ListBullet"/>
      </w:pPr>
      <w:r>
        <w:t>Use a 28-day baseline (built from historical import where needed) and a comparable 28-day follow-up; segment by platform, content tags and posting volume. Mark metrics unavailable rather than fabricating them. No promise of causality or growth.</w:t>
      </w:r>
    </w:p>
    <w:p>
      <w:pPr>
        <w:pStyle w:val="ListBullet"/>
      </w:pPr>
      <w:r>
        <w:rPr>
          <w:b/>
          <w:caps/>
          <w:color w:val="1F7A4D"/>
          <w:sz w:val="16"/>
        </w:rPr>
        <w:t>new</w:t>
      </w:r>
      <w:r>
        <w:t xml:space="preserve"> Expectation: at 3–5 posts/week split across topics, comparisons need ≥5 posts per group, so the first recommendations are likely after roughly 4–8 weeks. The pilot should be judged on this timeline.</w:t>
      </w:r>
    </w:p>
    <w:p>
      <w:pPr>
        <w:pStyle w:val="Heading1"/>
      </w:pPr>
      <w:r>
        <w:t xml:space="preserve">6. Experience and screens </w:t>
      </w:r>
      <w:r>
        <w:rPr>
          <w:b/>
          <w:caps/>
          <w:color w:val="9A5B00"/>
          <w:sz w:val="16"/>
        </w:rPr>
        <w:t>revised</w:t>
      </w:r>
    </w:p>
    <w:p>
      <w:pPr>
        <w:pStyle w:val="ListBullet"/>
      </w:pPr>
      <w:r>
        <w:t>Home dashboard: next action per project, content pipeline by state, weekly posting adherence, reach and follower trends, active experiments.</w:t>
      </w:r>
    </w:p>
    <w:p>
      <w:pPr>
        <w:pStyle w:val="ListBullet"/>
      </w:pPr>
      <w:r>
        <w:t>Ideas/Bible study: topic, audience, content tags, passages, scripture verification status.</w:t>
      </w:r>
    </w:p>
    <w:p>
      <w:pPr>
        <w:pStyle w:val="ListBullet"/>
      </w:pPr>
      <w:r>
        <w:t>Script Studio: 2–3 hook variants, editable five-part script with scripture placeholders, length estimate, versioning with provenance, teleprompter.</w:t>
      </w:r>
    </w:p>
    <w:p>
      <w:pPr>
        <w:pStyle w:val="ListBullet"/>
      </w:pPr>
      <w:r>
        <w:t>Record: Prompter-only mode; Record mode with prompter overlay where supported.</w:t>
      </w:r>
    </w:p>
    <w:p>
      <w:pPr>
        <w:pStyle w:val="ListBullet"/>
      </w:pPr>
      <w:r>
        <w:t>Video Studio: upload, transcription, subtitle text and timing correction, SRT and 9:16 export, platform checks.</w:t>
      </w:r>
    </w:p>
    <w:p>
      <w:pPr>
        <w:pStyle w:val="ListBullet"/>
      </w:pPr>
      <w:r>
        <w:t>Repurpose: platform captions, hashtags and CTAs with live character counts.</w:t>
      </w:r>
    </w:p>
    <w:p>
      <w:pPr>
        <w:pStyle w:val="ListBullet"/>
      </w:pPr>
      <w:r>
        <w:t>Calendar: date/time with timezone, platform, status, reminders and published state.</w:t>
      </w:r>
    </w:p>
    <w:p>
      <w:pPr>
        <w:pStyle w:val="ListBullet"/>
      </w:pPr>
      <w:r>
        <w:t>Growth Lab: manual entry, follower snapshots, historical and CSV import, comparative dashboard, recommendation evidence, experiment log, weekly review.</w:t>
      </w:r>
    </w:p>
    <w:p>
      <w:pPr>
        <w:pStyle w:val="ListBullet"/>
      </w:pPr>
      <w:r>
        <w:t>Settings: profile, content voice and guardrails, preferred translation, words-per-minute, subtitle style, time zone, platform account flags (e.g. X Premium), data export and deletion.</w:t>
      </w:r>
    </w:p>
    <w:p>
      <w:pPr>
        <w:pStyle w:val="Heading1"/>
      </w:pPr>
      <w:r>
        <w:t xml:space="preserve">7. Constraints and risk controls </w:t>
      </w:r>
      <w:r>
        <w:rPr>
          <w:b/>
          <w:caps/>
          <w:color w:val="9A5B00"/>
          <w:sz w:val="16"/>
        </w:rPr>
        <w:t>revised</w:t>
      </w:r>
    </w:p>
    <w:p>
      <w:pPr>
        <w:pStyle w:val="ListBullet"/>
      </w:pPr>
      <w:r>
        <w:t>Human review mandatory for theology, references, claims and publication.</w:t>
      </w:r>
    </w:p>
    <w:p>
      <w:pPr>
        <w:pStyle w:val="ListBullet"/>
      </w:pPr>
      <w:r>
        <w:rPr>
          <w:b/>
          <w:caps/>
          <w:color w:val="9A5B00"/>
          <w:sz w:val="16"/>
        </w:rPr>
        <w:t>revised</w:t>
      </w:r>
      <w:r>
        <w:t xml:space="preserve"> Bible text: AI never writes verse text. Quotations come only from an allowlisted translation with recorded licence notes and quotation limits, or are pasted by the creator. In the UK the KJV is under Crown copyright and is not assumed to be public domain.</w:t>
      </w:r>
    </w:p>
    <w:p>
      <w:pPr>
        <w:pStyle w:val="ListBullet"/>
      </w:pPr>
      <w:r>
        <w:t>Growth suggestions must not imply guaranteed algorithmic outcomes; identify observational signals, sample sizes and possible confounders.</w:t>
      </w:r>
    </w:p>
    <w:p>
      <w:pPr>
        <w:pStyle w:val="ListBullet"/>
      </w:pPr>
      <w:r>
        <w:t>Private storage, access control, deletion and backups; no public exposure of unpublished sermons.</w:t>
      </w:r>
    </w:p>
    <w:p>
      <w:pPr>
        <w:pStyle w:val="ListBullet"/>
      </w:pPr>
      <w:r>
        <w:t>No unauthorised scraping, engagement manipulation or automation that violates platform rules.</w:t>
      </w:r>
    </w:p>
    <w:p>
      <w:pPr>
        <w:pStyle w:val="ListBullet"/>
      </w:pPr>
      <w:r>
        <w:rPr>
          <w:b/>
          <w:caps/>
          <w:color w:val="1F7A4D"/>
          <w:sz w:val="16"/>
        </w:rPr>
        <w:t>new</w:t>
      </w:r>
      <w:r>
        <w:t xml:space="preserve"> Platform limits change. Caption and video limits are configuration, verified against platform documentation before launch.</w:t>
      </w:r>
    </w:p>
    <w:p>
      <w:pPr>
        <w:pStyle w:val="ListBullet"/>
      </w:pPr>
      <w:r>
        <w:rPr>
          <w:b/>
          <w:caps/>
          <w:color w:val="1F7A4D"/>
          <w:sz w:val="16"/>
        </w:rPr>
        <w:t>new</w:t>
      </w:r>
      <w:r>
        <w:t xml:space="preserve"> UK GDPR: recordings of the creator's face and voice are processed by transcription and AI providers; select providers with suitable data processing terms, a known storage region and no training on inputs.</w:t>
      </w:r>
    </w:p>
    <w:p>
      <w:pPr>
        <w:pStyle w:val="Heading1"/>
      </w:pPr>
      <w:r>
        <w:t xml:space="preserve">8. Release gates and pilot </w:t>
      </w:r>
      <w:r>
        <w:rPr>
          <w:b/>
          <w:caps/>
          <w:color w:val="9A5B00"/>
          <w:sz w:val="16"/>
        </w:rPr>
        <w:t>revised</w:t>
      </w:r>
    </w:p>
    <w:p>
      <w:pPr>
        <w:pStyle w:val="ListBullet"/>
      </w:pPr>
      <w:r>
        <w:t>End-to-end project flow works through the state machine; script edits persist; AI output contains placeholders only; source references can be marked verified; teleprompter works on mobile with countdown, pause and screen-awake; SRT export and 9:16 output usable; platform length checks block invalid attachments; reminders fire at the correct local time; metrics import validation works without summing cumulative values; weekly insights show underlying evidence; all private objects require authentication; FRD acceptance tests AT-01 to AT-15 pass.</w:t>
      </w:r>
    </w:p>
    <w:p>
      <w:pPr>
        <w:pStyle w:val="ListBullet"/>
      </w:pPr>
      <w:r>
        <w:rPr>
          <w:b/>
          <w:caps/>
          <w:color w:val="9A5B00"/>
          <w:sz w:val="16"/>
        </w:rPr>
        <w:t>revised</w:t>
      </w:r>
      <w:r>
        <w:t xml:space="preserve"> Pilot: import the previous 28 days of posts as baseline, then create and publish 12–20 real posts; compare with baseline; record time saved per post and rate recommendation usefulness. Use results to prioritise the next version.</w:t>
      </w:r>
    </w:p>
    <w:p>
      <w:pPr>
        <w:pStyle w:val="Heading1"/>
      </w:pPr>
      <w:r>
        <w:t xml:space="preserve">9. Decisions and open questions </w:t>
      </w:r>
      <w:r>
        <w:rPr>
          <w:b/>
          <w:caps/>
          <w:color w:val="1F7A4D"/>
          <w:sz w:val="16"/>
        </w:rPr>
        <w:t>new</w:t>
      </w:r>
    </w:p>
    <w:tbl>
      <w:tblPr>
        <w:tblStyle w:val="TableGrid"/>
        <w:tblLayout w:type="fixed"/>
        <w:tblLook w:firstColumn="1" w:firstRow="1" w:lastColumn="0" w:lastRow="0" w:noHBand="0" w:noVBand="1" w:val="04A0"/>
        <w:tblCellMar>
          <w:top w:w="60" w:type="dxa"/>
          <w:left w:w="90" w:type="dxa"/>
          <w:bottom w:w="60" w:type="dxa"/>
          <w:right w:w="90" w:type="dxa"/>
        </w:tblCellMar>
        <w:tblW w:w="8639" w:type="dxa"/>
        <w:tblLayout w:type="fixed"/>
      </w:tblPr>
      <w:tblGrid>
        <w:gridCol w:w="1091"/>
        <w:gridCol w:w="3910"/>
        <w:gridCol w:w="3637"/>
      </w:tblGrid>
      <w:tr>
        <w:trPr>
          <w:tblHeader w:val="true"/>
        </w:trPr>
        <w:tc>
          <w:tcPr>
            <w:tcW w:type="dxa" w:w="1091"/>
            <w:shd w:val="clear" w:color="auto" w:fill="16384D"/>
          </w:tcPr>
          <w:p>
            <w:r>
              <w:rPr>
                <w:b/>
                <w:color w:val="FFFFFF"/>
                <w:sz w:val="18"/>
              </w:rPr>
              <w:t>ID</w:t>
            </w:r>
          </w:p>
        </w:tc>
        <w:tc>
          <w:tcPr>
            <w:tcW w:type="dxa" w:w="3911"/>
            <w:shd w:val="clear" w:color="auto" w:fill="16384D"/>
          </w:tcPr>
          <w:p>
            <w:r>
              <w:rPr>
                <w:b/>
                <w:color w:val="FFFFFF"/>
                <w:sz w:val="18"/>
              </w:rPr>
              <w:t>Question</w:t>
            </w:r>
          </w:p>
        </w:tc>
        <w:tc>
          <w:tcPr>
            <w:tcW w:type="dxa" w:w="3638"/>
            <w:shd w:val="clear" w:color="auto" w:fill="16384D"/>
          </w:tcPr>
          <w:p>
            <w:r>
              <w:rPr>
                <w:b/>
                <w:color w:val="FFFFFF"/>
                <w:sz w:val="18"/>
              </w:rPr>
              <w:t>Proposed default</w:t>
            </w:r>
          </w:p>
        </w:tc>
      </w:tr>
      <w:tr>
        <w:tc>
          <w:tcPr>
            <w:tcW w:type="dxa" w:w="1091"/>
          </w:tcPr>
          <w:p>
            <w:pPr>
              <w:spacing w:after="0"/>
            </w:pPr>
            <w:r>
              <w:rPr>
                <w:sz w:val="18"/>
              </w:rPr>
              <w:t>D-01</w:t>
            </w:r>
          </w:p>
        </w:tc>
        <w:tc>
          <w:tcPr>
            <w:tcW w:type="dxa" w:w="3911"/>
          </w:tcPr>
          <w:p>
            <w:pPr>
              <w:spacing w:after="0"/>
            </w:pPr>
            <w:r>
              <w:rPr>
                <w:sz w:val="18"/>
              </w:rPr>
              <w:t>In-app recording or second-device prompter for v1?</w:t>
            </w:r>
          </w:p>
        </w:tc>
        <w:tc>
          <w:tcPr>
            <w:tcW w:type="dxa" w:w="3638"/>
          </w:tcPr>
          <w:p>
            <w:pPr>
              <w:spacing w:after="0"/>
            </w:pPr>
            <w:r>
              <w:rPr>
                <w:sz w:val="18"/>
              </w:rPr>
              <w:t>Prompter-only in P0; Record mode as stretch</w:t>
            </w:r>
          </w:p>
        </w:tc>
      </w:tr>
      <w:tr>
        <w:tc>
          <w:tcPr>
            <w:tcW w:type="dxa" w:w="1091"/>
            <w:shd w:val="clear" w:color="auto" w:fill="F2F5F8"/>
          </w:tcPr>
          <w:p>
            <w:pPr>
              <w:spacing w:after="0"/>
            </w:pPr>
            <w:r>
              <w:rPr>
                <w:sz w:val="18"/>
              </w:rPr>
              <w:t>D-02</w:t>
            </w:r>
          </w:p>
        </w:tc>
        <w:tc>
          <w:tcPr>
            <w:tcW w:type="dxa" w:w="3911"/>
            <w:shd w:val="clear" w:color="auto" w:fill="F2F5F8"/>
          </w:tcPr>
          <w:p>
            <w:pPr>
              <w:spacing w:after="0"/>
            </w:pPr>
            <w:r>
              <w:rPr>
                <w:sz w:val="18"/>
              </w:rPr>
              <w:t>Where does verse text come from?</w:t>
            </w:r>
          </w:p>
        </w:tc>
        <w:tc>
          <w:tcPr>
            <w:tcW w:type="dxa" w:w="3638"/>
            <w:shd w:val="clear" w:color="auto" w:fill="F2F5F8"/>
          </w:tcPr>
          <w:p>
            <w:pPr>
              <w:spacing w:after="0"/>
            </w:pPr>
            <w:r>
              <w:rPr>
                <w:sz w:val="18"/>
              </w:rPr>
              <w:t>Public-domain translation held locally plus creator-pasted text; licensed service in P1</w:t>
            </w:r>
          </w:p>
        </w:tc>
      </w:tr>
      <w:tr>
        <w:tc>
          <w:tcPr>
            <w:tcW w:type="dxa" w:w="1091"/>
          </w:tcPr>
          <w:p>
            <w:pPr>
              <w:spacing w:after="0"/>
            </w:pPr>
            <w:r>
              <w:rPr>
                <w:sz w:val="18"/>
              </w:rPr>
              <w:t>D-03 to D-05</w:t>
            </w:r>
          </w:p>
        </w:tc>
        <w:tc>
          <w:tcPr>
            <w:tcW w:type="dxa" w:w="3911"/>
          </w:tcPr>
          <w:p>
            <w:pPr>
              <w:spacing w:after="0"/>
            </w:pPr>
            <w:r>
              <w:rPr>
                <w:sz w:val="18"/>
              </w:rPr>
              <w:t>Transcription provider, LLM provider, worker host and queue</w:t>
            </w:r>
          </w:p>
        </w:tc>
        <w:tc>
          <w:tcPr>
            <w:tcW w:type="dxa" w:w="3638"/>
          </w:tcPr>
          <w:p>
            <w:pPr>
              <w:spacing w:after="0"/>
            </w:pPr>
            <w:r>
              <w:rPr>
                <w:sz w:val="18"/>
              </w:rPr>
              <w:t>See FRD section 10</w:t>
            </w:r>
          </w:p>
        </w:tc>
      </w:tr>
      <w:tr>
        <w:tc>
          <w:tcPr>
            <w:tcW w:type="dxa" w:w="1091"/>
            <w:shd w:val="clear" w:color="auto" w:fill="F2F5F8"/>
          </w:tcPr>
          <w:p>
            <w:pPr>
              <w:spacing w:after="0"/>
            </w:pPr>
            <w:r>
              <w:rPr>
                <w:sz w:val="18"/>
              </w:rPr>
              <w:t>D-06</w:t>
            </w:r>
          </w:p>
        </w:tc>
        <w:tc>
          <w:tcPr>
            <w:tcW w:type="dxa" w:w="3911"/>
            <w:shd w:val="clear" w:color="auto" w:fill="F2F5F8"/>
          </w:tcPr>
          <w:p>
            <w:pPr>
              <w:spacing w:after="0"/>
            </w:pPr>
            <w:r>
              <w:rPr>
                <w:sz w:val="18"/>
              </w:rPr>
              <w:t>Reminder channel</w:t>
            </w:r>
          </w:p>
        </w:tc>
        <w:tc>
          <w:tcPr>
            <w:tcW w:type="dxa" w:w="3638"/>
            <w:shd w:val="clear" w:color="auto" w:fill="F2F5F8"/>
          </w:tcPr>
          <w:p>
            <w:pPr>
              <w:spacing w:after="0"/>
            </w:pPr>
            <w:r>
              <w:rPr>
                <w:sz w:val="18"/>
              </w:rPr>
              <w:t>Email first</w:t>
            </w:r>
          </w:p>
        </w:tc>
      </w:tr>
      <w:tr>
        <w:tc>
          <w:tcPr>
            <w:tcW w:type="dxa" w:w="1091"/>
          </w:tcPr>
          <w:p>
            <w:pPr>
              <w:spacing w:after="0"/>
            </w:pPr>
            <w:r>
              <w:rPr>
                <w:sz w:val="18"/>
              </w:rPr>
              <w:t>D-07</w:t>
            </w:r>
          </w:p>
        </w:tc>
        <w:tc>
          <w:tcPr>
            <w:tcW w:type="dxa" w:w="3911"/>
          </w:tcPr>
          <w:p>
            <w:pPr>
              <w:spacing w:after="0"/>
            </w:pPr>
            <w:r>
              <w:rPr>
                <w:sz w:val="18"/>
              </w:rPr>
              <w:t>Current platform caption and video limits</w:t>
            </w:r>
          </w:p>
        </w:tc>
        <w:tc>
          <w:tcPr>
            <w:tcW w:type="dxa" w:w="3638"/>
          </w:tcPr>
          <w:p>
            <w:pPr>
              <w:spacing w:after="0"/>
            </w:pPr>
            <w:r>
              <w:rPr>
                <w:sz w:val="18"/>
              </w:rPr>
              <w:t>Verify before launch</w:t>
            </w:r>
          </w:p>
        </w:tc>
      </w:tr>
    </w:tbl>
    <w:p/>
    <w:p>
      <w:pPr>
        <w:pStyle w:val="Heading1"/>
      </w:pPr>
      <w:r>
        <w:t xml:space="preserve">10. Traceability matrix </w:t>
      </w:r>
      <w:r>
        <w:rPr>
          <w:b/>
          <w:caps/>
          <w:color w:val="1F7A4D"/>
          <w:sz w:val="16"/>
        </w:rPr>
        <w:t>new</w:t>
      </w:r>
    </w:p>
    <w:tbl>
      <w:tblPr>
        <w:tblStyle w:val="TableGrid"/>
        <w:tblLayout w:type="fixed"/>
        <w:tblLook w:firstColumn="1" w:firstRow="1" w:lastColumn="0" w:lastRow="0" w:noHBand="0" w:noVBand="1" w:val="04A0"/>
        <w:tblCellMar>
          <w:top w:w="60" w:type="dxa"/>
          <w:left w:w="90" w:type="dxa"/>
          <w:bottom w:w="60" w:type="dxa"/>
          <w:right w:w="90" w:type="dxa"/>
        </w:tblCellMar>
        <w:tblW w:w="8639" w:type="dxa"/>
        <w:tblLayout w:type="fixed"/>
      </w:tblPr>
      <w:tblGrid>
        <w:gridCol w:w="3183"/>
        <w:gridCol w:w="3183"/>
        <w:gridCol w:w="2273"/>
      </w:tblGrid>
      <w:tr>
        <w:trPr>
          <w:tblHeader w:val="true"/>
        </w:trPr>
        <w:tc>
          <w:tcPr>
            <w:tcW w:type="dxa" w:w="3183"/>
            <w:shd w:val="clear" w:color="auto" w:fill="16384D"/>
          </w:tcPr>
          <w:p>
            <w:r>
              <w:rPr>
                <w:b/>
                <w:color w:val="FFFFFF"/>
                <w:sz w:val="18"/>
              </w:rPr>
              <w:t>Capability</w:t>
            </w:r>
          </w:p>
        </w:tc>
        <w:tc>
          <w:tcPr>
            <w:tcW w:type="dxa" w:w="3183"/>
            <w:shd w:val="clear" w:color="auto" w:fill="16384D"/>
          </w:tcPr>
          <w:p>
            <w:r>
              <w:rPr>
                <w:b/>
                <w:color w:val="FFFFFF"/>
                <w:sz w:val="18"/>
              </w:rPr>
              <w:t>FRD requirements</w:t>
            </w:r>
          </w:p>
        </w:tc>
        <w:tc>
          <w:tcPr>
            <w:tcW w:type="dxa" w:w="2274"/>
            <w:shd w:val="clear" w:color="auto" w:fill="16384D"/>
          </w:tcPr>
          <w:p>
            <w:r>
              <w:rPr>
                <w:b/>
                <w:color w:val="FFFFFF"/>
                <w:sz w:val="18"/>
              </w:rPr>
              <w:t>Acceptance tests</w:t>
            </w:r>
          </w:p>
        </w:tc>
      </w:tr>
      <w:tr>
        <w:tc>
          <w:tcPr>
            <w:tcW w:type="dxa" w:w="3183"/>
          </w:tcPr>
          <w:p>
            <w:pPr>
              <w:spacing w:after="0"/>
            </w:pPr>
            <w:r>
              <w:rPr>
                <w:sz w:val="18"/>
              </w:rPr>
              <w:t>C-01 Topic intake and tags</w:t>
            </w:r>
          </w:p>
        </w:tc>
        <w:tc>
          <w:tcPr>
            <w:tcW w:type="dxa" w:w="3183"/>
          </w:tcPr>
          <w:p>
            <w:pPr>
              <w:spacing w:after="0"/>
            </w:pPr>
            <w:r>
              <w:rPr>
                <w:sz w:val="18"/>
              </w:rPr>
              <w:t>FR-002, FR-021</w:t>
            </w:r>
          </w:p>
        </w:tc>
        <w:tc>
          <w:tcPr>
            <w:tcW w:type="dxa" w:w="2274"/>
          </w:tcPr>
          <w:p>
            <w:pPr>
              <w:spacing w:after="0"/>
            </w:pPr>
            <w:r>
              <w:rPr>
                <w:sz w:val="18"/>
              </w:rPr>
              <w:t>AT-01, AT-06</w:t>
            </w:r>
          </w:p>
        </w:tc>
      </w:tr>
      <w:tr>
        <w:tc>
          <w:tcPr>
            <w:tcW w:type="dxa" w:w="3183"/>
            <w:shd w:val="clear" w:color="auto" w:fill="F2F5F8"/>
          </w:tcPr>
          <w:p>
            <w:pPr>
              <w:spacing w:after="0"/>
            </w:pPr>
            <w:r>
              <w:rPr>
                <w:sz w:val="18"/>
              </w:rPr>
              <w:t>C-02 Scripture</w:t>
            </w:r>
          </w:p>
        </w:tc>
        <w:tc>
          <w:tcPr>
            <w:tcW w:type="dxa" w:w="3183"/>
            <w:shd w:val="clear" w:color="auto" w:fill="F2F5F8"/>
          </w:tcPr>
          <w:p>
            <w:pPr>
              <w:spacing w:after="0"/>
            </w:pPr>
            <w:r>
              <w:rPr>
                <w:sz w:val="18"/>
              </w:rPr>
              <w:t>FR-003, FR-004, FR-023</w:t>
            </w:r>
          </w:p>
        </w:tc>
        <w:tc>
          <w:tcPr>
            <w:tcW w:type="dxa" w:w="2274"/>
            <w:shd w:val="clear" w:color="auto" w:fill="F2F5F8"/>
          </w:tcPr>
          <w:p>
            <w:pPr>
              <w:spacing w:after="0"/>
            </w:pPr>
            <w:r>
              <w:rPr>
                <w:sz w:val="18"/>
              </w:rPr>
              <w:t>AT-02</w:t>
            </w:r>
          </w:p>
        </w:tc>
      </w:tr>
      <w:tr>
        <w:tc>
          <w:tcPr>
            <w:tcW w:type="dxa" w:w="3183"/>
          </w:tcPr>
          <w:p>
            <w:pPr>
              <w:spacing w:after="0"/>
            </w:pPr>
            <w:r>
              <w:rPr>
                <w:sz w:val="18"/>
              </w:rPr>
              <w:t>C-03 Script and hooks</w:t>
            </w:r>
          </w:p>
        </w:tc>
        <w:tc>
          <w:tcPr>
            <w:tcW w:type="dxa" w:w="3183"/>
          </w:tcPr>
          <w:p>
            <w:pPr>
              <w:spacing w:after="0"/>
            </w:pPr>
            <w:r>
              <w:rPr>
                <w:sz w:val="18"/>
              </w:rPr>
              <w:t>FR-004, FR-005, FR-022</w:t>
            </w:r>
          </w:p>
        </w:tc>
        <w:tc>
          <w:tcPr>
            <w:tcW w:type="dxa" w:w="2274"/>
          </w:tcPr>
          <w:p>
            <w:pPr>
              <w:spacing w:after="0"/>
            </w:pPr>
            <w:r>
              <w:rPr>
                <w:sz w:val="18"/>
              </w:rPr>
              <w:t>AT-01</w:t>
            </w:r>
          </w:p>
        </w:tc>
      </w:tr>
      <w:tr>
        <w:tc>
          <w:tcPr>
            <w:tcW w:type="dxa" w:w="3183"/>
            <w:shd w:val="clear" w:color="auto" w:fill="F2F5F8"/>
          </w:tcPr>
          <w:p>
            <w:pPr>
              <w:spacing w:after="0"/>
            </w:pPr>
            <w:r>
              <w:rPr>
                <w:sz w:val="18"/>
              </w:rPr>
              <w:t>C-04 Voice profile</w:t>
            </w:r>
          </w:p>
        </w:tc>
        <w:tc>
          <w:tcPr>
            <w:tcW w:type="dxa" w:w="3183"/>
            <w:shd w:val="clear" w:color="auto" w:fill="F2F5F8"/>
          </w:tcPr>
          <w:p>
            <w:pPr>
              <w:spacing w:after="0"/>
            </w:pPr>
            <w:r>
              <w:rPr>
                <w:sz w:val="18"/>
              </w:rPr>
              <w:t>FR-020</w:t>
            </w:r>
          </w:p>
        </w:tc>
        <w:tc>
          <w:tcPr>
            <w:tcW w:type="dxa" w:w="2274"/>
            <w:shd w:val="clear" w:color="auto" w:fill="F2F5F8"/>
          </w:tcPr>
          <w:p>
            <w:pPr>
              <w:spacing w:after="0"/>
            </w:pPr>
            <w:r>
              <w:rPr>
                <w:sz w:val="18"/>
              </w:rPr>
              <w:t>AT-01</w:t>
            </w:r>
          </w:p>
        </w:tc>
      </w:tr>
      <w:tr>
        <w:tc>
          <w:tcPr>
            <w:tcW w:type="dxa" w:w="3183"/>
          </w:tcPr>
          <w:p>
            <w:pPr>
              <w:spacing w:after="0"/>
            </w:pPr>
            <w:r>
              <w:rPr>
                <w:sz w:val="18"/>
              </w:rPr>
              <w:t>C-05 Teleprompter</w:t>
            </w:r>
          </w:p>
        </w:tc>
        <w:tc>
          <w:tcPr>
            <w:tcW w:type="dxa" w:w="3183"/>
          </w:tcPr>
          <w:p>
            <w:pPr>
              <w:spacing w:after="0"/>
            </w:pPr>
            <w:r>
              <w:rPr>
                <w:sz w:val="18"/>
              </w:rPr>
              <w:t>FR-006</w:t>
            </w:r>
          </w:p>
        </w:tc>
        <w:tc>
          <w:tcPr>
            <w:tcW w:type="dxa" w:w="2274"/>
          </w:tcPr>
          <w:p>
            <w:pPr>
              <w:spacing w:after="0"/>
            </w:pPr>
            <w:r>
              <w:rPr>
                <w:sz w:val="18"/>
              </w:rPr>
              <w:t>AT-08</w:t>
            </w:r>
          </w:p>
        </w:tc>
      </w:tr>
      <w:tr>
        <w:tc>
          <w:tcPr>
            <w:tcW w:type="dxa" w:w="3183"/>
            <w:shd w:val="clear" w:color="auto" w:fill="F2F5F8"/>
          </w:tcPr>
          <w:p>
            <w:pPr>
              <w:spacing w:after="0"/>
            </w:pPr>
            <w:r>
              <w:rPr>
                <w:sz w:val="18"/>
              </w:rPr>
              <w:t>C-06 Record mode</w:t>
            </w:r>
          </w:p>
        </w:tc>
        <w:tc>
          <w:tcPr>
            <w:tcW w:type="dxa" w:w="3183"/>
            <w:shd w:val="clear" w:color="auto" w:fill="F2F5F8"/>
          </w:tcPr>
          <w:p>
            <w:pPr>
              <w:spacing w:after="0"/>
            </w:pPr>
            <w:r>
              <w:rPr>
                <w:sz w:val="18"/>
              </w:rPr>
              <w:t>FR-024</w:t>
            </w:r>
          </w:p>
        </w:tc>
        <w:tc>
          <w:tcPr>
            <w:tcW w:type="dxa" w:w="2274"/>
            <w:shd w:val="clear" w:color="auto" w:fill="F2F5F8"/>
          </w:tcPr>
          <w:p>
            <w:pPr>
              <w:spacing w:after="0"/>
            </w:pPr>
            <w:r>
              <w:rPr>
                <w:sz w:val="18"/>
              </w:rPr>
              <w:t>AT-09</w:t>
            </w:r>
          </w:p>
        </w:tc>
      </w:tr>
      <w:tr>
        <w:tc>
          <w:tcPr>
            <w:tcW w:type="dxa" w:w="3183"/>
          </w:tcPr>
          <w:p>
            <w:pPr>
              <w:spacing w:after="0"/>
            </w:pPr>
            <w:r>
              <w:rPr>
                <w:sz w:val="18"/>
              </w:rPr>
              <w:t>C-07 Upload</w:t>
            </w:r>
          </w:p>
        </w:tc>
        <w:tc>
          <w:tcPr>
            <w:tcW w:type="dxa" w:w="3183"/>
          </w:tcPr>
          <w:p>
            <w:pPr>
              <w:spacing w:after="0"/>
            </w:pPr>
            <w:r>
              <w:rPr>
                <w:sz w:val="18"/>
              </w:rPr>
              <w:t>FR-007</w:t>
            </w:r>
          </w:p>
        </w:tc>
        <w:tc>
          <w:tcPr>
            <w:tcW w:type="dxa" w:w="2274"/>
          </w:tcPr>
          <w:p>
            <w:pPr>
              <w:spacing w:after="0"/>
            </w:pPr>
            <w:r>
              <w:rPr>
                <w:sz w:val="18"/>
              </w:rPr>
              <w:t>AT-03</w:t>
            </w:r>
          </w:p>
        </w:tc>
      </w:tr>
      <w:tr>
        <w:tc>
          <w:tcPr>
            <w:tcW w:type="dxa" w:w="3183"/>
            <w:shd w:val="clear" w:color="auto" w:fill="F2F5F8"/>
          </w:tcPr>
          <w:p>
            <w:pPr>
              <w:spacing w:after="0"/>
            </w:pPr>
            <w:r>
              <w:rPr>
                <w:sz w:val="18"/>
              </w:rPr>
              <w:t>C-08 Transcription</w:t>
            </w:r>
          </w:p>
        </w:tc>
        <w:tc>
          <w:tcPr>
            <w:tcW w:type="dxa" w:w="3183"/>
            <w:shd w:val="clear" w:color="auto" w:fill="F2F5F8"/>
          </w:tcPr>
          <w:p>
            <w:pPr>
              <w:spacing w:after="0"/>
            </w:pPr>
            <w:r>
              <w:rPr>
                <w:sz w:val="18"/>
              </w:rPr>
              <w:t>FR-008</w:t>
            </w:r>
          </w:p>
        </w:tc>
        <w:tc>
          <w:tcPr>
            <w:tcW w:type="dxa" w:w="2274"/>
            <w:shd w:val="clear" w:color="auto" w:fill="F2F5F8"/>
          </w:tcPr>
          <w:p>
            <w:pPr>
              <w:spacing w:after="0"/>
            </w:pPr>
            <w:r>
              <w:rPr>
                <w:sz w:val="18"/>
              </w:rPr>
              <w:t>AT-03</w:t>
            </w:r>
          </w:p>
        </w:tc>
      </w:tr>
      <w:tr>
        <w:tc>
          <w:tcPr>
            <w:tcW w:type="dxa" w:w="3183"/>
          </w:tcPr>
          <w:p>
            <w:pPr>
              <w:spacing w:after="0"/>
            </w:pPr>
            <w:r>
              <w:rPr>
                <w:sz w:val="18"/>
              </w:rPr>
              <w:t>C-09 Export</w:t>
            </w:r>
          </w:p>
        </w:tc>
        <w:tc>
          <w:tcPr>
            <w:tcW w:type="dxa" w:w="3183"/>
          </w:tcPr>
          <w:p>
            <w:pPr>
              <w:spacing w:after="0"/>
            </w:pPr>
            <w:r>
              <w:rPr>
                <w:sz w:val="18"/>
              </w:rPr>
              <w:t>FR-009</w:t>
            </w:r>
          </w:p>
        </w:tc>
        <w:tc>
          <w:tcPr>
            <w:tcW w:type="dxa" w:w="2274"/>
          </w:tcPr>
          <w:p>
            <w:pPr>
              <w:spacing w:after="0"/>
            </w:pPr>
            <w:r>
              <w:rPr>
                <w:sz w:val="18"/>
              </w:rPr>
              <w:t>AT-03</w:t>
            </w:r>
          </w:p>
        </w:tc>
      </w:tr>
      <w:tr>
        <w:tc>
          <w:tcPr>
            <w:tcW w:type="dxa" w:w="3183"/>
            <w:shd w:val="clear" w:color="auto" w:fill="F2F5F8"/>
          </w:tcPr>
          <w:p>
            <w:pPr>
              <w:spacing w:after="0"/>
            </w:pPr>
            <w:r>
              <w:rPr>
                <w:sz w:val="18"/>
              </w:rPr>
              <w:t>C-10 Captions</w:t>
            </w:r>
          </w:p>
        </w:tc>
        <w:tc>
          <w:tcPr>
            <w:tcW w:type="dxa" w:w="3183"/>
            <w:shd w:val="clear" w:color="auto" w:fill="F2F5F8"/>
          </w:tcPr>
          <w:p>
            <w:pPr>
              <w:spacing w:after="0"/>
            </w:pPr>
            <w:r>
              <w:rPr>
                <w:sz w:val="18"/>
              </w:rPr>
              <w:t>FR-010</w:t>
            </w:r>
          </w:p>
        </w:tc>
        <w:tc>
          <w:tcPr>
            <w:tcW w:type="dxa" w:w="2274"/>
            <w:shd w:val="clear" w:color="auto" w:fill="F2F5F8"/>
          </w:tcPr>
          <w:p>
            <w:pPr>
              <w:spacing w:after="0"/>
            </w:pPr>
            <w:r>
              <w:rPr>
                <w:sz w:val="18"/>
              </w:rPr>
              <w:t>AT-04, AT-10</w:t>
            </w:r>
          </w:p>
        </w:tc>
      </w:tr>
      <w:tr>
        <w:tc>
          <w:tcPr>
            <w:tcW w:type="dxa" w:w="3183"/>
          </w:tcPr>
          <w:p>
            <w:pPr>
              <w:spacing w:after="0"/>
            </w:pPr>
            <w:r>
              <w:rPr>
                <w:sz w:val="18"/>
              </w:rPr>
              <w:t>C-11 Platform checks</w:t>
            </w:r>
          </w:p>
        </w:tc>
        <w:tc>
          <w:tcPr>
            <w:tcW w:type="dxa" w:w="3183"/>
          </w:tcPr>
          <w:p>
            <w:pPr>
              <w:spacing w:after="0"/>
            </w:pPr>
            <w:r>
              <w:rPr>
                <w:sz w:val="18"/>
              </w:rPr>
              <w:t>FR-026</w:t>
            </w:r>
          </w:p>
        </w:tc>
        <w:tc>
          <w:tcPr>
            <w:tcW w:type="dxa" w:w="2274"/>
          </w:tcPr>
          <w:p>
            <w:pPr>
              <w:spacing w:after="0"/>
            </w:pPr>
            <w:r>
              <w:rPr>
                <w:sz w:val="18"/>
              </w:rPr>
              <w:t>AT-10</w:t>
            </w:r>
          </w:p>
        </w:tc>
      </w:tr>
      <w:tr>
        <w:tc>
          <w:tcPr>
            <w:tcW w:type="dxa" w:w="3183"/>
            <w:shd w:val="clear" w:color="auto" w:fill="F2F5F8"/>
          </w:tcPr>
          <w:p>
            <w:pPr>
              <w:spacing w:after="0"/>
            </w:pPr>
            <w:r>
              <w:rPr>
                <w:sz w:val="18"/>
              </w:rPr>
              <w:t>C-12 Calendar and reminders</w:t>
            </w:r>
          </w:p>
        </w:tc>
        <w:tc>
          <w:tcPr>
            <w:tcW w:type="dxa" w:w="3183"/>
            <w:shd w:val="clear" w:color="auto" w:fill="F2F5F8"/>
          </w:tcPr>
          <w:p>
            <w:pPr>
              <w:spacing w:after="0"/>
            </w:pPr>
            <w:r>
              <w:rPr>
                <w:sz w:val="18"/>
              </w:rPr>
              <w:t>FR-011, FR-012, FR-027</w:t>
            </w:r>
          </w:p>
        </w:tc>
        <w:tc>
          <w:tcPr>
            <w:tcW w:type="dxa" w:w="2274"/>
            <w:shd w:val="clear" w:color="auto" w:fill="F2F5F8"/>
          </w:tcPr>
          <w:p>
            <w:pPr>
              <w:spacing w:after="0"/>
            </w:pPr>
            <w:r>
              <w:rPr>
                <w:sz w:val="18"/>
              </w:rPr>
              <w:t>AT-04, AT-11, AT-12</w:t>
            </w:r>
          </w:p>
        </w:tc>
      </w:tr>
      <w:tr>
        <w:tc>
          <w:tcPr>
            <w:tcW w:type="dxa" w:w="3183"/>
          </w:tcPr>
          <w:p>
            <w:pPr>
              <w:spacing w:after="0"/>
            </w:pPr>
            <w:r>
              <w:rPr>
                <w:sz w:val="18"/>
              </w:rPr>
              <w:t>C-13 Home dashboard</w:t>
            </w:r>
          </w:p>
        </w:tc>
        <w:tc>
          <w:tcPr>
            <w:tcW w:type="dxa" w:w="3183"/>
          </w:tcPr>
          <w:p>
            <w:pPr>
              <w:spacing w:after="0"/>
            </w:pPr>
            <w:r>
              <w:rPr>
                <w:sz w:val="18"/>
              </w:rPr>
              <w:t>FR-025</w:t>
            </w:r>
          </w:p>
        </w:tc>
        <w:tc>
          <w:tcPr>
            <w:tcW w:type="dxa" w:w="2274"/>
          </w:tcPr>
          <w:p>
            <w:pPr>
              <w:spacing w:after="0"/>
            </w:pPr>
            <w:r>
              <w:rPr>
                <w:sz w:val="18"/>
              </w:rPr>
              <w:t>AT-04</w:t>
            </w:r>
          </w:p>
        </w:tc>
      </w:tr>
      <w:tr>
        <w:tc>
          <w:tcPr>
            <w:tcW w:type="dxa" w:w="3183"/>
            <w:shd w:val="clear" w:color="auto" w:fill="F2F5F8"/>
          </w:tcPr>
          <w:p>
            <w:pPr>
              <w:spacing w:after="0"/>
            </w:pPr>
            <w:r>
              <w:rPr>
                <w:sz w:val="18"/>
              </w:rPr>
              <w:t>C-14 Manual metrics and baseline</w:t>
            </w:r>
          </w:p>
        </w:tc>
        <w:tc>
          <w:tcPr>
            <w:tcW w:type="dxa" w:w="3183"/>
            <w:shd w:val="clear" w:color="auto" w:fill="F2F5F8"/>
          </w:tcPr>
          <w:p>
            <w:pPr>
              <w:spacing w:after="0"/>
            </w:pPr>
            <w:r>
              <w:rPr>
                <w:sz w:val="18"/>
              </w:rPr>
              <w:t>FR-013, FR-028, FR-029</w:t>
            </w:r>
          </w:p>
        </w:tc>
        <w:tc>
          <w:tcPr>
            <w:tcW w:type="dxa" w:w="2274"/>
            <w:shd w:val="clear" w:color="auto" w:fill="F2F5F8"/>
          </w:tcPr>
          <w:p>
            <w:pPr>
              <w:spacing w:after="0"/>
            </w:pPr>
            <w:r>
              <w:rPr>
                <w:sz w:val="18"/>
              </w:rPr>
              <w:t>AT-05, AT-14</w:t>
            </w:r>
          </w:p>
        </w:tc>
      </w:tr>
      <w:tr>
        <w:tc>
          <w:tcPr>
            <w:tcW w:type="dxa" w:w="3183"/>
          </w:tcPr>
          <w:p>
            <w:pPr>
              <w:spacing w:after="0"/>
            </w:pPr>
            <w:r>
              <w:rPr>
                <w:sz w:val="18"/>
              </w:rPr>
              <w:t>C-15 CSV import</w:t>
            </w:r>
          </w:p>
        </w:tc>
        <w:tc>
          <w:tcPr>
            <w:tcW w:type="dxa" w:w="3183"/>
          </w:tcPr>
          <w:p>
            <w:pPr>
              <w:spacing w:after="0"/>
            </w:pPr>
            <w:r>
              <w:rPr>
                <w:sz w:val="18"/>
              </w:rPr>
              <w:t>FR-013, FR-014</w:t>
            </w:r>
          </w:p>
        </w:tc>
        <w:tc>
          <w:tcPr>
            <w:tcW w:type="dxa" w:w="2274"/>
          </w:tcPr>
          <w:p>
            <w:pPr>
              <w:spacing w:after="0"/>
            </w:pPr>
            <w:r>
              <w:rPr>
                <w:sz w:val="18"/>
              </w:rPr>
              <w:t>AT-05</w:t>
            </w:r>
          </w:p>
        </w:tc>
      </w:tr>
      <w:tr>
        <w:tc>
          <w:tcPr>
            <w:tcW w:type="dxa" w:w="3183"/>
            <w:shd w:val="clear" w:color="auto" w:fill="F2F5F8"/>
          </w:tcPr>
          <w:p>
            <w:pPr>
              <w:spacing w:after="0"/>
            </w:pPr>
            <w:r>
              <w:rPr>
                <w:sz w:val="18"/>
              </w:rPr>
              <w:t>C-16 Growth dashboard</w:t>
            </w:r>
          </w:p>
        </w:tc>
        <w:tc>
          <w:tcPr>
            <w:tcW w:type="dxa" w:w="3183"/>
            <w:shd w:val="clear" w:color="auto" w:fill="F2F5F8"/>
          </w:tcPr>
          <w:p>
            <w:pPr>
              <w:spacing w:after="0"/>
            </w:pPr>
            <w:r>
              <w:rPr>
                <w:sz w:val="18"/>
              </w:rPr>
              <w:t>FR-015, FR-016</w:t>
            </w:r>
          </w:p>
        </w:tc>
        <w:tc>
          <w:tcPr>
            <w:tcW w:type="dxa" w:w="2274"/>
            <w:shd w:val="clear" w:color="auto" w:fill="F2F5F8"/>
          </w:tcPr>
          <w:p>
            <w:pPr>
              <w:spacing w:after="0"/>
            </w:pPr>
            <w:r>
              <w:rPr>
                <w:sz w:val="18"/>
              </w:rPr>
              <w:t>AT-05</w:t>
            </w:r>
          </w:p>
        </w:tc>
      </w:tr>
      <w:tr>
        <w:tc>
          <w:tcPr>
            <w:tcW w:type="dxa" w:w="3183"/>
          </w:tcPr>
          <w:p>
            <w:pPr>
              <w:spacing w:after="0"/>
            </w:pPr>
            <w:r>
              <w:rPr>
                <w:sz w:val="18"/>
              </w:rPr>
              <w:t>C-17 Recommendations, review, experiments</w:t>
            </w:r>
          </w:p>
        </w:tc>
        <w:tc>
          <w:tcPr>
            <w:tcW w:type="dxa" w:w="3183"/>
          </w:tcPr>
          <w:p>
            <w:pPr>
              <w:spacing w:after="0"/>
            </w:pPr>
            <w:r>
              <w:rPr>
                <w:sz w:val="18"/>
              </w:rPr>
              <w:t>FR-017, FR-018, FR-019</w:t>
            </w:r>
          </w:p>
        </w:tc>
        <w:tc>
          <w:tcPr>
            <w:tcW w:type="dxa" w:w="2274"/>
          </w:tcPr>
          <w:p>
            <w:pPr>
              <w:spacing w:after="0"/>
            </w:pPr>
            <w:r>
              <w:rPr>
                <w:sz w:val="18"/>
              </w:rPr>
              <w:t>AT-06, AT-13</w:t>
            </w:r>
          </w:p>
        </w:tc>
      </w:tr>
      <w:tr>
        <w:tc>
          <w:tcPr>
            <w:tcW w:type="dxa" w:w="3183"/>
            <w:shd w:val="clear" w:color="auto" w:fill="F2F5F8"/>
          </w:tcPr>
          <w:p>
            <w:pPr>
              <w:spacing w:after="0"/>
            </w:pPr>
            <w:r>
              <w:rPr>
                <w:sz w:val="18"/>
              </w:rPr>
              <w:t>C-18 Export and deletion</w:t>
            </w:r>
          </w:p>
        </w:tc>
        <w:tc>
          <w:tcPr>
            <w:tcW w:type="dxa" w:w="3183"/>
            <w:shd w:val="clear" w:color="auto" w:fill="F2F5F8"/>
          </w:tcPr>
          <w:p>
            <w:pPr>
              <w:spacing w:after="0"/>
            </w:pPr>
            <w:r>
              <w:rPr>
                <w:sz w:val="18"/>
              </w:rPr>
              <w:t>FR-030</w:t>
            </w:r>
          </w:p>
        </w:tc>
        <w:tc>
          <w:tcPr>
            <w:tcW w:type="dxa" w:w="2274"/>
            <w:shd w:val="clear" w:color="auto" w:fill="F2F5F8"/>
          </w:tcPr>
          <w:p>
            <w:pPr>
              <w:spacing w:after="0"/>
            </w:pPr>
            <w:r>
              <w:rPr>
                <w:sz w:val="18"/>
              </w:rPr>
              <w:t>AT-15</w:t>
            </w:r>
          </w:p>
        </w:tc>
      </w:tr>
      <w:tr>
        <w:tc>
          <w:tcPr>
            <w:tcW w:type="dxa" w:w="3183"/>
          </w:tcPr>
          <w:p>
            <w:pPr>
              <w:spacing w:after="0"/>
            </w:pPr>
            <w:r>
              <w:rPr>
                <w:sz w:val="18"/>
              </w:rPr>
              <w:t>Security and access</w:t>
            </w:r>
          </w:p>
        </w:tc>
        <w:tc>
          <w:tcPr>
            <w:tcW w:type="dxa" w:w="3183"/>
          </w:tcPr>
          <w:p>
            <w:pPr>
              <w:spacing w:after="0"/>
            </w:pPr>
            <w:r>
              <w:rPr>
                <w:sz w:val="18"/>
              </w:rPr>
              <w:t>FR-001, NFR Security</w:t>
            </w:r>
          </w:p>
        </w:tc>
        <w:tc>
          <w:tcPr>
            <w:tcW w:type="dxa" w:w="2274"/>
          </w:tcPr>
          <w:p>
            <w:pPr>
              <w:spacing w:after="0"/>
            </w:pPr>
            <w:r>
              <w:rPr>
                <w:sz w:val="18"/>
              </w:rPr>
              <w:t>AT-07</w:t>
            </w:r>
          </w:p>
        </w:tc>
      </w:tr>
    </w:tbl>
    <w:p/>
    <w:sectPr w:rsidR="00FC693F" w:rsidRPr="0006063C" w:rsidSect="00034616">
      <w:headerReference w:type="default" r:id="rId9"/>
      <w:footerReference w:type="default" r:id="rId10"/>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Amplify Studio MVP PRD  |  v1.1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AMPLIFY STUDIO  |  PRIVATE MVP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8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8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8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