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8"/>
          <w:szCs w:val="48"/>
        </w:rPr>
        <w:t xml:space="preserve">OrderTrade AI</w:t>
      </w:r>
    </w:p>
    <w:p>
      <w:pPr>
        <w:spacing w:after="40"/>
      </w:pPr>
      <w:r>
        <w:rPr>
          <w:b/>
          <w:bCs/>
          <w:sz w:val="30"/>
          <w:szCs w:val="30"/>
        </w:rPr>
        <w:t xml:space="preserve">Funding, Accelerators, Incorporation &amp; Scaling Roadmap</w:t>
      </w:r>
    </w:p>
    <w:p>
      <w:pPr>
        <w:spacing w:after="400"/>
      </w:pPr>
      <w:r>
        <w:rPr>
          <w:color w:val="555555"/>
          <w:sz w:val="20"/>
          <w:szCs w:val="20"/>
        </w:rPr>
        <w:t xml:space="preserve">Prepared for Adeyemi Jamiu Adegbenro  |  August 29, 2026</w:t>
      </w:r>
    </w:p>
    <w:p>
      <w:pPr>
        <w:pStyle w:val="Heading1"/>
        <w:spacing w:after="160" w:before="360"/>
      </w:pPr>
      <w:r>
        <w:t xml:space="preserve">Executive Summary</w:t>
      </w:r>
    </w:p>
    <w:p>
      <w:pPr>
        <w:spacing w:after="160" w:line="300"/>
      </w:pPr>
      <w:r>
        <w:t xml:space="preserve">OrderTrade AI is a live, working product with no legal entity, no outside funding, and no accelerator backing yet. That is a completely normal place to be at this stage, and it does not block most of what follows -- several of the strongest options available to you (Microsoft for Startups, AWS Activate, and Germany's EXIST-Gründerstipendium) are specifically designed for founders in exactly this position: pre-incorporation, pre-revenue, solo.</w:t>
      </w:r>
    </w:p>
    <w:p>
      <w:pPr>
        <w:spacing w:after="160" w:line="300"/>
      </w:pPr>
      <w:r>
        <w:t xml:space="preserve">The single most important fact in this report is not about funding at all: as a non-EU student on a German study residence permit, actively running your own company -- even unpaid, even pre-revenue -- is very likely legally "self-employment" under German immigration law, and that requires separate approval from your local Ausländerbehörde. This is not optional paperwork you can defer. Building and operating OrderTrade AI without that approval carries real risk to your current and future immigration status. This is covered in full in Section 4, and it should be the first thing you act on, before incorporation, before applying anywhere.</w:t>
      </w:r>
    </w:p>
    <w:p>
      <w:pPr>
        <w:spacing w:after="160" w:line="300"/>
      </w:pPr>
      <w:r>
        <w:t xml:space="preserve">The good news: Germany's EXIST-Gründerstipendium grant is available to non-EU students, requires you to not yet have incorporated (which you haven't), and comes bundled with a specific legal residence pathway for founding a company (§21(2b) AufenthG) that is described as smoother than applying for self-employment permission on your own. It is the highest-leverage single move available to you right now -- funding and immigration status in one program -- if you're far enough into your degree to qualify.</w:t>
      </w:r>
    </w:p>
    <w:p>
      <w:pPr>
        <w:spacing w:after="120"/>
      </w:pPr>
    </w:p>
    <w:p>
      <w:pPr>
        <w:pStyle w:val="Heading1"/>
        <w:spacing w:after="160" w:before="360"/>
      </w:pPr>
      <w:r>
        <w:t xml:space="preserve">1. Where You Stand Today</w:t>
      </w:r>
    </w:p>
    <w:p>
      <w:pPr>
        <w:pStyle w:val="ListParagraph"/>
        <w:numPr>
          <w:ilvl w:val="0"/>
          <w:numId w:val="2"/>
        </w:numPr>
        <w:spacing w:after="100" w:line="280"/>
      </w:pPr>
      <w:r>
        <w:t xml:space="preserve">A live, working product at ordertradeai.com: multi-user accounts, email verification, password reset, Stripe billing (7-day trial → $39/month), a billing portal, and an admin panel -- all tested end-to-end.</w:t>
      </w:r>
    </w:p>
    <w:p>
      <w:pPr>
        <w:pStyle w:val="ListParagraph"/>
        <w:numPr>
          <w:ilvl w:val="0"/>
          <w:numId w:val="2"/>
        </w:numPr>
        <w:spacing w:after="100" w:line="280"/>
      </w:pPr>
      <w:r>
        <w:t xml:space="preserve">Bring-your-own-broker model: the platform never holds, pools, or has custody of user funds. Users connect their own Alpaca, Binance, or eToro accounts and place trades themselves.</w:t>
      </w:r>
    </w:p>
    <w:p>
      <w:pPr>
        <w:pStyle w:val="ListParagraph"/>
        <w:numPr>
          <w:ilvl w:val="0"/>
          <w:numId w:val="2"/>
        </w:numPr>
        <w:spacing w:after="100" w:line="280"/>
      </w:pPr>
      <w:r>
        <w:t xml:space="preserve">Currently paper/demo trading only -- no live-money execution exists anywhere in the product today.</w:t>
      </w:r>
    </w:p>
    <w:p>
      <w:pPr>
        <w:pStyle w:val="ListParagraph"/>
        <w:numPr>
          <w:ilvl w:val="0"/>
          <w:numId w:val="2"/>
        </w:numPr>
        <w:spacing w:after="100" w:line="280"/>
      </w:pPr>
      <w:r>
        <w:t xml:space="preserve">Early access, no real paying customers yet -- the billing flow works, but no one has completed a live paid signup.</w:t>
      </w:r>
    </w:p>
    <w:p>
      <w:pPr>
        <w:pStyle w:val="ListParagraph"/>
        <w:numPr>
          <w:ilvl w:val="0"/>
          <w:numId w:val="2"/>
        </w:numPr>
        <w:spacing w:after="100" w:line="280"/>
      </w:pPr>
      <w:r>
        <w:t xml:space="preserve">Built solo, without a formal technical background, using AI coding assistance.</w:t>
      </w:r>
    </w:p>
    <w:p>
      <w:pPr>
        <w:pStyle w:val="ListParagraph"/>
        <w:numPr>
          <w:ilvl w:val="0"/>
          <w:numId w:val="2"/>
        </w:numPr>
        <w:spacing w:after="100" w:line="280"/>
      </w:pPr>
      <w:r>
        <w:t xml:space="preserve">No legal entity incorporated anywhere. No outside funding. No accelerator or incubator backing.</w:t>
      </w:r>
    </w:p>
    <w:p>
      <w:pPr>
        <w:pStyle w:val="ListParagraph"/>
        <w:numPr>
          <w:ilvl w:val="0"/>
          <w:numId w:val="2"/>
        </w:numPr>
        <w:spacing w:after="100" w:line="280"/>
      </w:pPr>
      <w:r>
        <w:t xml:space="preserve">You are a non-EU international student in Germany on a student residence permit, open to opportunities globally.</w:t>
      </w:r>
    </w:p>
    <w:p>
      <w:pPr>
        <w:pBdr>
          <w:left w:val="single" w:color="1F4E79" w:sz="12" w:space="8"/>
        </w:pBdr>
        <w:spacing w:after="200" w:before="80"/>
        <w:ind w:left="200"/>
      </w:pPr>
      <w:r>
        <w:rPr>
          <w:i/>
          <w:iCs/>
          <w:color w:val="555555"/>
        </w:rPr>
        <w:t xml:space="preserve">Nothing above is a weakness this report is trying to soften -- it's the accurate starting line, and it happens to line up well with several programs built specifically for founders at this exact stage.</w:t>
      </w:r>
    </w:p>
    <w:p>
      <w:pPr>
        <w:spacing w:after="120"/>
      </w:pPr>
    </w:p>
    <w:p>
      <w:pPr>
        <w:pStyle w:val="Heading1"/>
        <w:spacing w:after="160" w:before="360"/>
      </w:pPr>
      <w:r>
        <w:t xml:space="preserve">2. What "Incorporation" Actually Means, and Why It Matters</w:t>
      </w:r>
    </w:p>
    <w:p>
      <w:pPr>
        <w:spacing w:after="160" w:line="300"/>
      </w:pPr>
      <w:r>
        <w:t xml:space="preserve">Right now, OrderTrade AI legally is you. There is no separation between you personally and the business -- if a user disputed a charge, if the platform were sued, or if a contract were breached, the claim would be against you personally, not against "the company." Incorporating means creating a separate legal entity -- a company -- that can own things, sign contracts, owe debts, and be sued in its own name, independent of you.</w:t>
      </w:r>
    </w:p>
    <w:p>
      <w:pPr>
        <w:spacing w:after="160" w:line="300"/>
      </w:pPr>
      <w:r>
        <w:t xml:space="preserve">Concretely, here is why it matters for a project at your stage:</w:t>
      </w:r>
    </w:p>
    <w:p>
      <w:pPr>
        <w:pStyle w:val="ListParagraph"/>
        <w:numPr>
          <w:ilvl w:val="0"/>
          <w:numId w:val="2"/>
        </w:numPr>
        <w:spacing w:after="100" w:line="280"/>
      </w:pPr>
      <w:r>
        <w:rPr>
          <w:b/>
          <w:bCs/>
        </w:rPr>
        <w:t xml:space="preserve">Liability protection. </w:t>
      </w:r>
      <w:r>
        <w:t xml:space="preserve">If something goes wrong -- a user dispute, a regulatory question, a contract issue -- an incorporated company puts a legal wall between the business and your personal assets. This matters more, not less, for a product that touches people's trading activity.</w:t>
      </w:r>
    </w:p>
    <w:p>
      <w:pPr>
        <w:pStyle w:val="ListParagraph"/>
        <w:numPr>
          <w:ilvl w:val="0"/>
          <w:numId w:val="2"/>
        </w:numPr>
        <w:spacing w:after="100" w:line="280"/>
      </w:pPr>
      <w:r>
        <w:rPr>
          <w:b/>
          <w:bCs/>
        </w:rPr>
        <w:t xml:space="preserve">Raising investment. </w:t>
      </w:r>
      <w:r>
        <w:t xml:space="preserve">Investors, by default, invest in a company and receive shares in return. A sole proprietorship has no shares to give -- you cannot meaningfully raise equity funding, take on a co-founder with real ownership, or grant an employee options, until there is a legal entity to hold that equity.</w:t>
      </w:r>
    </w:p>
    <w:p>
      <w:pPr>
        <w:pStyle w:val="ListParagraph"/>
        <w:numPr>
          <w:ilvl w:val="0"/>
          <w:numId w:val="2"/>
        </w:numPr>
        <w:spacing w:after="100" w:line="280"/>
      </w:pPr>
      <w:r>
        <w:rPr>
          <w:b/>
          <w:bCs/>
        </w:rPr>
        <w:t xml:space="preserve">Signing contracts as "the company." </w:t>
      </w:r>
      <w:r>
        <w:t xml:space="preserve">Your Stripe agreement, your Terms of Service, any future broker-partnership or enterprise-customer contract -- all of these are currently, legally, agreements with you as an individual. An incorporated entity signs in its own name.</w:t>
      </w:r>
    </w:p>
    <w:p>
      <w:pPr>
        <w:pStyle w:val="ListParagraph"/>
        <w:numPr>
          <w:ilvl w:val="0"/>
          <w:numId w:val="2"/>
        </w:numPr>
        <w:spacing w:after="100" w:line="280"/>
      </w:pPr>
      <w:r>
        <w:rPr>
          <w:b/>
          <w:bCs/>
        </w:rPr>
        <w:t xml:space="preserve">Tax treatment. </w:t>
      </w:r>
      <w:r>
        <w:t xml:space="preserve">Separate corporate tax filing, and depending on jurisdiction, more favorable treatment of profit you reinvest rather than take out personally (Estonia is the clearest example of this, covered below).</w:t>
      </w:r>
    </w:p>
    <w:p>
      <w:pPr>
        <w:pStyle w:val="ListParagraph"/>
        <w:numPr>
          <w:ilvl w:val="0"/>
          <w:numId w:val="2"/>
        </w:numPr>
        <w:spacing w:after="100" w:line="280"/>
      </w:pPr>
      <w:r>
        <w:rPr>
          <w:b/>
          <w:bCs/>
        </w:rPr>
        <w:t xml:space="preserve">Gating requirement for programs you'll want later. </w:t>
      </w:r>
      <w:r>
        <w:t xml:space="preserve">This is not theoretical: NVIDIA Inception explicitly requires official incorporation to apply, with no revenue requirement at all -- incorporation, not traction, is the actual bar there. Most serious accelerators and every VC will ask the same question early: "what entity is this?"</w:t>
      </w:r>
    </w:p>
    <w:p>
      <w:pPr>
        <w:pBdr>
          <w:left w:val="single" w:color="1F4E79" w:sz="12" w:space="8"/>
        </w:pBdr>
        <w:spacing w:after="200" w:before="80"/>
        <w:ind w:left="200"/>
      </w:pPr>
      <w:r>
        <w:rPr>
          <w:i/>
          <w:iCs/>
          <w:color w:val="555555"/>
        </w:rPr>
        <w:t xml:space="preserve">One thing incorporation does NOT do: it does not, by itself, resolve your personal immigration situation in Germany. Which country's registry your company sits in has no bearing on whether YOU, physically running that company while living in Germany on a student permit, need immigration approval to do so. See Section 4 -- this is the part worth reading most carefully.</w:t>
      </w:r>
    </w:p>
    <w:p>
      <w:pPr>
        <w:spacing w:after="120"/>
      </w:pPr>
    </w:p>
    <w:p>
      <w:pPr>
        <w:pStyle w:val="Heading1"/>
        <w:spacing w:after="160" w:before="360"/>
      </w:pPr>
      <w:r>
        <w:t xml:space="preserve">3. Entity Options, Compared</w:t>
      </w:r>
    </w:p>
    <w:p>
      <w:pPr>
        <w:spacing w:after="160" w:line="300"/>
      </w:pPr>
      <w:r>
        <w:t xml:space="preserve">Five realistic options, given you haven't committed to a country yet: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500"/>
        <w:gridCol w:w="1650"/>
        <w:gridCol w:w="2300"/>
        <w:gridCol w:w="2500"/>
        <w:gridCol w:w="1250"/>
      </w:tblGrid>
      <w:tr>
        <w:trPr>
          <w:tblHeader/>
        </w:trPr>
        <w:tc>
          <w:tcPr>
            <w:tcW w:type="dxa" w:w="2500"/>
            <w:shd w:fill="1F4E79" w:color="auto" w:val="clear"/>
            <w:tcMar>
              <w:top w:type="dxa" w:w="80"/>
              <w:left w:type="dxa" w:w="100"/>
              <w:bottom w:type="dxa" w:w="80"/>
              <w:right w:type="dxa" w:w="100"/>
            </w:tcMar>
          </w:tcPr>
          <w:p>
            <w:r>
              <w:rPr>
                <w:b/>
                <w:bCs/>
                <w:color w:val="FFFFFF"/>
                <w:sz w:val="19"/>
                <w:szCs w:val="19"/>
              </w:rPr>
              <w:t xml:space="preserve">Entity</w:t>
            </w:r>
          </w:p>
        </w:tc>
        <w:tc>
          <w:tcPr>
            <w:tcW w:type="dxa" w:w="1650"/>
            <w:shd w:fill="1F4E79" w:color="auto" w:val="clear"/>
            <w:tcMar>
              <w:top w:type="dxa" w:w="80"/>
              <w:left w:type="dxa" w:w="100"/>
              <w:bottom w:type="dxa" w:w="80"/>
              <w:right w:type="dxa" w:w="100"/>
            </w:tcMar>
          </w:tcPr>
          <w:p>
            <w:r>
              <w:rPr>
                <w:b/>
                <w:bCs/>
                <w:color w:val="FFFFFF"/>
                <w:sz w:val="19"/>
                <w:szCs w:val="19"/>
              </w:rPr>
              <w:t xml:space="preserve">Min. capital</w:t>
            </w:r>
          </w:p>
        </w:tc>
        <w:tc>
          <w:tcPr>
            <w:tcW w:type="dxa" w:w="2300"/>
            <w:shd w:fill="1F4E79" w:color="auto" w:val="clear"/>
            <w:tcMar>
              <w:top w:type="dxa" w:w="80"/>
              <w:left w:type="dxa" w:w="100"/>
              <w:bottom w:type="dxa" w:w="80"/>
              <w:right w:type="dxa" w:w="100"/>
            </w:tcMar>
          </w:tcPr>
          <w:p>
            <w:r>
              <w:rPr>
                <w:b/>
                <w:bCs/>
                <w:color w:val="FFFFFF"/>
                <w:sz w:val="19"/>
                <w:szCs w:val="19"/>
              </w:rPr>
              <w:t xml:space="preserve">Setup cost</w:t>
            </w:r>
          </w:p>
        </w:tc>
        <w:tc>
          <w:tcPr>
            <w:tcW w:type="dxa" w:w="2500"/>
            <w:shd w:fill="1F4E79" w:color="auto" w:val="clear"/>
            <w:tcMar>
              <w:top w:type="dxa" w:w="80"/>
              <w:left w:type="dxa" w:w="100"/>
              <w:bottom w:type="dxa" w:w="80"/>
              <w:right w:type="dxa" w:w="100"/>
            </w:tcMar>
          </w:tcPr>
          <w:p>
            <w:r>
              <w:rPr>
                <w:b/>
                <w:bCs/>
                <w:color w:val="FFFFFF"/>
                <w:sz w:val="19"/>
                <w:szCs w:val="19"/>
              </w:rPr>
              <w:t xml:space="preserve">Remote for you?</w:t>
            </w:r>
          </w:p>
        </w:tc>
        <w:tc>
          <w:tcPr>
            <w:tcW w:type="dxa" w:w="1250"/>
            <w:shd w:fill="1F4E79" w:color="auto" w:val="clear"/>
            <w:tcMar>
              <w:top w:type="dxa" w:w="80"/>
              <w:left w:type="dxa" w:w="100"/>
              <w:bottom w:type="dxa" w:w="80"/>
              <w:right w:type="dxa" w:w="100"/>
            </w:tcMar>
          </w:tcPr>
          <w:p>
            <w:r>
              <w:rPr>
                <w:b/>
                <w:bCs/>
                <w:color w:val="FFFFFF"/>
                <w:sz w:val="19"/>
                <w:szCs w:val="19"/>
              </w:rPr>
              <w:t xml:space="preserve">Timeline</w:t>
            </w:r>
          </w:p>
        </w:tc>
      </w:tr>
      <w:tr>
        <w:tc>
          <w:tcPr>
            <w:tcW w:type="dxa" w:w="2500"/>
            <w:tcMar>
              <w:top w:type="dxa" w:w="80"/>
              <w:left w:type="dxa" w:w="100"/>
              <w:bottom w:type="dxa" w:w="80"/>
              <w:right w:type="dxa" w:w="100"/>
            </w:tcMar>
          </w:tcPr>
          <w:p>
            <w:r>
              <w:rPr>
                <w:b w:val="false"/>
                <w:bCs w:val="false"/>
                <w:color w:val="000000"/>
                <w:sz w:val="19"/>
                <w:szCs w:val="19"/>
              </w:rPr>
              <w:t xml:space="preserve">German UG (haftungsbeschränkt)</w:t>
            </w:r>
          </w:p>
        </w:tc>
        <w:tc>
          <w:tcPr>
            <w:tcW w:type="dxa" w:w="1650"/>
            <w:tcMar>
              <w:top w:type="dxa" w:w="80"/>
              <w:left w:type="dxa" w:w="100"/>
              <w:bottom w:type="dxa" w:w="80"/>
              <w:right w:type="dxa" w:w="100"/>
            </w:tcMar>
          </w:tcPr>
          <w:p>
            <w:r>
              <w:rPr>
                <w:b w:val="false"/>
                <w:bCs w:val="false"/>
                <w:color w:val="000000"/>
                <w:sz w:val="19"/>
                <w:szCs w:val="19"/>
              </w:rPr>
              <w:t xml:space="preserve">€1 legally; €500–2,000 realistic</w:t>
            </w:r>
          </w:p>
        </w:tc>
        <w:tc>
          <w:tcPr>
            <w:tcW w:type="dxa" w:w="2300"/>
            <w:tcMar>
              <w:top w:type="dxa" w:w="80"/>
              <w:left w:type="dxa" w:w="100"/>
              <w:bottom w:type="dxa" w:w="80"/>
              <w:right w:type="dxa" w:w="100"/>
            </w:tcMar>
          </w:tcPr>
          <w:p>
            <w:r>
              <w:rPr>
                <w:b w:val="false"/>
                <w:bCs w:val="false"/>
                <w:color w:val="000000"/>
                <w:sz w:val="19"/>
                <w:szCs w:val="19"/>
              </w:rPr>
              <w:t xml:space="preserve">≈€300–420 solo (Musterprotokoll)</w:t>
            </w:r>
          </w:p>
        </w:tc>
        <w:tc>
          <w:tcPr>
            <w:tcW w:type="dxa" w:w="2500"/>
            <w:tcMar>
              <w:top w:type="dxa" w:w="80"/>
              <w:left w:type="dxa" w:w="100"/>
              <w:bottom w:type="dxa" w:w="80"/>
              <w:right w:type="dxa" w:w="100"/>
            </w:tcMar>
          </w:tcPr>
          <w:p>
            <w:r>
              <w:rPr>
                <w:b w:val="false"/>
                <w:bCs w:val="false"/>
                <w:color w:val="000000"/>
                <w:sz w:val="19"/>
                <w:szCs w:val="19"/>
              </w:rPr>
              <w:t xml:space="preserve">No -- notarization needs physical presence (you're already in Germany, so this is less of a blocker for you specifically)</w:t>
            </w:r>
          </w:p>
        </w:tc>
        <w:tc>
          <w:tcPr>
            <w:tcW w:type="dxa" w:w="1250"/>
            <w:tcMar>
              <w:top w:type="dxa" w:w="80"/>
              <w:left w:type="dxa" w:w="100"/>
              <w:bottom w:type="dxa" w:w="80"/>
              <w:right w:type="dxa" w:w="100"/>
            </w:tcMar>
          </w:tcPr>
          <w:p>
            <w:r>
              <w:rPr>
                <w:b w:val="false"/>
                <w:bCs w:val="false"/>
                <w:color w:val="000000"/>
                <w:sz w:val="19"/>
                <w:szCs w:val="19"/>
              </w:rPr>
              <w:t xml:space="preserve">2–6 weeks</w:t>
            </w:r>
          </w:p>
        </w:tc>
      </w:tr>
      <w:tr>
        <w:tc>
          <w:tcPr>
            <w:tcW w:type="dxa" w:w="2500"/>
            <w:shd w:fill="F2F2F2" w:color="auto" w:val="clear"/>
            <w:tcMar>
              <w:top w:type="dxa" w:w="80"/>
              <w:left w:type="dxa" w:w="100"/>
              <w:bottom w:type="dxa" w:w="80"/>
              <w:right w:type="dxa" w:w="100"/>
            </w:tcMar>
          </w:tcPr>
          <w:p>
            <w:r>
              <w:rPr>
                <w:b w:val="false"/>
                <w:bCs w:val="false"/>
                <w:color w:val="000000"/>
                <w:sz w:val="19"/>
                <w:szCs w:val="19"/>
              </w:rPr>
              <w:t xml:space="preserve">German GmbH</w:t>
            </w:r>
          </w:p>
        </w:tc>
        <w:tc>
          <w:tcPr>
            <w:tcW w:type="dxa" w:w="1650"/>
            <w:shd w:fill="F2F2F2" w:color="auto" w:val="clear"/>
            <w:tcMar>
              <w:top w:type="dxa" w:w="80"/>
              <w:left w:type="dxa" w:w="100"/>
              <w:bottom w:type="dxa" w:w="80"/>
              <w:right w:type="dxa" w:w="100"/>
            </w:tcMar>
          </w:tcPr>
          <w:p>
            <w:r>
              <w:rPr>
                <w:b w:val="false"/>
                <w:bCs w:val="false"/>
                <w:color w:val="000000"/>
                <w:sz w:val="19"/>
                <w:szCs w:val="19"/>
              </w:rPr>
              <w:t xml:space="preserve">€25,000 (€12,500 paid in upfront)</w:t>
            </w:r>
          </w:p>
        </w:tc>
        <w:tc>
          <w:tcPr>
            <w:tcW w:type="dxa" w:w="2300"/>
            <w:shd w:fill="F2F2F2" w:color="auto" w:val="clear"/>
            <w:tcMar>
              <w:top w:type="dxa" w:w="80"/>
              <w:left w:type="dxa" w:w="100"/>
              <w:bottom w:type="dxa" w:w="80"/>
              <w:right w:type="dxa" w:w="100"/>
            </w:tcMar>
          </w:tcPr>
          <w:p>
            <w:r>
              <w:rPr>
                <w:b w:val="false"/>
                <w:bCs w:val="false"/>
                <w:color w:val="000000"/>
                <w:sz w:val="19"/>
                <w:szCs w:val="19"/>
              </w:rPr>
              <w:t xml:space="preserve">≈€800–2,500 + the capital itself</w:t>
            </w:r>
          </w:p>
        </w:tc>
        <w:tc>
          <w:tcPr>
            <w:tcW w:type="dxa" w:w="2500"/>
            <w:shd w:fill="F2F2F2" w:color="auto" w:val="clear"/>
            <w:tcMar>
              <w:top w:type="dxa" w:w="80"/>
              <w:left w:type="dxa" w:w="100"/>
              <w:bottom w:type="dxa" w:w="80"/>
              <w:right w:type="dxa" w:w="100"/>
            </w:tcMar>
          </w:tcPr>
          <w:p>
            <w:r>
              <w:rPr>
                <w:b w:val="false"/>
                <w:bCs w:val="false"/>
                <w:color w:val="000000"/>
                <w:sz w:val="19"/>
                <w:szCs w:val="19"/>
              </w:rPr>
              <w:t xml:space="preserve">No -- same notarization requirement</w:t>
            </w:r>
          </w:p>
        </w:tc>
        <w:tc>
          <w:tcPr>
            <w:tcW w:type="dxa" w:w="1250"/>
            <w:shd w:fill="F2F2F2" w:color="auto" w:val="clear"/>
            <w:tcMar>
              <w:top w:type="dxa" w:w="80"/>
              <w:left w:type="dxa" w:w="100"/>
              <w:bottom w:type="dxa" w:w="80"/>
              <w:right w:type="dxa" w:w="100"/>
            </w:tcMar>
          </w:tcPr>
          <w:p>
            <w:r>
              <w:rPr>
                <w:b w:val="false"/>
                <w:bCs w:val="false"/>
                <w:color w:val="000000"/>
                <w:sz w:val="19"/>
                <w:szCs w:val="19"/>
              </w:rPr>
              <w:t xml:space="preserve">2–6 weeks</w:t>
            </w:r>
          </w:p>
        </w:tc>
      </w:tr>
      <w:tr>
        <w:tc>
          <w:tcPr>
            <w:tcW w:type="dxa" w:w="2500"/>
            <w:tcMar>
              <w:top w:type="dxa" w:w="80"/>
              <w:left w:type="dxa" w:w="100"/>
              <w:bottom w:type="dxa" w:w="80"/>
              <w:right w:type="dxa" w:w="100"/>
            </w:tcMar>
          </w:tcPr>
          <w:p>
            <w:r>
              <w:rPr>
                <w:b w:val="false"/>
                <w:bCs w:val="false"/>
                <w:color w:val="000000"/>
                <w:sz w:val="19"/>
                <w:szCs w:val="19"/>
              </w:rPr>
              <w:t xml:space="preserve">Delaware C-Corp (e.g. Stripe Atlas)</w:t>
            </w:r>
          </w:p>
        </w:tc>
        <w:tc>
          <w:tcPr>
            <w:tcW w:type="dxa" w:w="1650"/>
            <w:tcMar>
              <w:top w:type="dxa" w:w="80"/>
              <w:left w:type="dxa" w:w="100"/>
              <w:bottom w:type="dxa" w:w="80"/>
              <w:right w:type="dxa" w:w="100"/>
            </w:tcMar>
          </w:tcPr>
          <w:p>
            <w:r>
              <w:rPr>
                <w:b w:val="false"/>
                <w:bCs w:val="false"/>
                <w:color w:val="000000"/>
                <w:sz w:val="19"/>
                <w:szCs w:val="19"/>
              </w:rPr>
              <w:t xml:space="preserve">No minimum</w:t>
            </w:r>
          </w:p>
        </w:tc>
        <w:tc>
          <w:tcPr>
            <w:tcW w:type="dxa" w:w="2300"/>
            <w:tcMar>
              <w:top w:type="dxa" w:w="80"/>
              <w:left w:type="dxa" w:w="100"/>
              <w:bottom w:type="dxa" w:w="80"/>
              <w:right w:type="dxa" w:w="100"/>
            </w:tcMar>
          </w:tcPr>
          <w:p>
            <w:r>
              <w:rPr>
                <w:b w:val="false"/>
                <w:bCs w:val="false"/>
                <w:color w:val="000000"/>
                <w:sz w:val="19"/>
                <w:szCs w:val="19"/>
              </w:rPr>
              <w:t xml:space="preserve">≈$500 flat via Stripe Atlas; ongoing $1,500–6,000+/yr (franchise tax, registered agent, CPA)</w:t>
            </w:r>
          </w:p>
        </w:tc>
        <w:tc>
          <w:tcPr>
            <w:tcW w:type="dxa" w:w="2500"/>
            <w:tcMar>
              <w:top w:type="dxa" w:w="80"/>
              <w:left w:type="dxa" w:w="100"/>
              <w:bottom w:type="dxa" w:w="80"/>
              <w:right w:type="dxa" w:w="100"/>
            </w:tcMar>
          </w:tcPr>
          <w:p>
            <w:r>
              <w:rPr>
                <w:b w:val="false"/>
                <w:bCs w:val="false"/>
                <w:color w:val="000000"/>
                <w:sz w:val="19"/>
                <w:szCs w:val="19"/>
              </w:rPr>
              <w:t xml:space="preserve">Yes, fully remote</w:t>
            </w:r>
          </w:p>
        </w:tc>
        <w:tc>
          <w:tcPr>
            <w:tcW w:type="dxa" w:w="1250"/>
            <w:tcMar>
              <w:top w:type="dxa" w:w="80"/>
              <w:left w:type="dxa" w:w="100"/>
              <w:bottom w:type="dxa" w:w="80"/>
              <w:right w:type="dxa" w:w="100"/>
            </w:tcMar>
          </w:tcPr>
          <w:p>
            <w:r>
              <w:rPr>
                <w:b w:val="false"/>
                <w:bCs w:val="false"/>
                <w:color w:val="000000"/>
                <w:sz w:val="19"/>
                <w:szCs w:val="19"/>
              </w:rPr>
              <w:t xml:space="preserve">Days</w:t>
            </w:r>
          </w:p>
        </w:tc>
      </w:tr>
      <w:tr>
        <w:tc>
          <w:tcPr>
            <w:tcW w:type="dxa" w:w="2500"/>
            <w:shd w:fill="F2F2F2" w:color="auto" w:val="clear"/>
            <w:tcMar>
              <w:top w:type="dxa" w:w="80"/>
              <w:left w:type="dxa" w:w="100"/>
              <w:bottom w:type="dxa" w:w="80"/>
              <w:right w:type="dxa" w:w="100"/>
            </w:tcMar>
          </w:tcPr>
          <w:p>
            <w:r>
              <w:rPr>
                <w:b w:val="false"/>
                <w:bCs w:val="false"/>
                <w:color w:val="000000"/>
                <w:sz w:val="19"/>
                <w:szCs w:val="19"/>
              </w:rPr>
              <w:t xml:space="preserve">Estonia e-Residency + OÜ</w:t>
            </w:r>
          </w:p>
        </w:tc>
        <w:tc>
          <w:tcPr>
            <w:tcW w:type="dxa" w:w="1650"/>
            <w:shd w:fill="F2F2F2" w:color="auto" w:val="clear"/>
            <w:tcMar>
              <w:top w:type="dxa" w:w="80"/>
              <w:left w:type="dxa" w:w="100"/>
              <w:bottom w:type="dxa" w:w="80"/>
              <w:right w:type="dxa" w:w="100"/>
            </w:tcMar>
          </w:tcPr>
          <w:p>
            <w:r>
              <w:rPr>
                <w:b w:val="false"/>
                <w:bCs w:val="false"/>
                <w:color w:val="000000"/>
                <w:sz w:val="19"/>
                <w:szCs w:val="19"/>
              </w:rPr>
              <w:t xml:space="preserve">As low as €0.01/shareholder</w:t>
            </w:r>
          </w:p>
        </w:tc>
        <w:tc>
          <w:tcPr>
            <w:tcW w:type="dxa" w:w="2300"/>
            <w:shd w:fill="F2F2F2" w:color="auto" w:val="clear"/>
            <w:tcMar>
              <w:top w:type="dxa" w:w="80"/>
              <w:left w:type="dxa" w:w="100"/>
              <w:bottom w:type="dxa" w:w="80"/>
              <w:right w:type="dxa" w:w="100"/>
            </w:tcMar>
          </w:tcPr>
          <w:p>
            <w:r>
              <w:rPr>
                <w:b w:val="false"/>
                <w:bCs w:val="false"/>
                <w:color w:val="000000"/>
                <w:sz w:val="19"/>
                <w:szCs w:val="19"/>
              </w:rPr>
              <w:t xml:space="preserve">≈€150 e-Residency + €265 registration + €200–400/yr local contact</w:t>
            </w:r>
          </w:p>
        </w:tc>
        <w:tc>
          <w:tcPr>
            <w:tcW w:type="dxa" w:w="2500"/>
            <w:shd w:fill="F2F2F2" w:color="auto" w:val="clear"/>
            <w:tcMar>
              <w:top w:type="dxa" w:w="80"/>
              <w:left w:type="dxa" w:w="100"/>
              <w:bottom w:type="dxa" w:w="80"/>
              <w:right w:type="dxa" w:w="100"/>
            </w:tcMar>
          </w:tcPr>
          <w:p>
            <w:r>
              <w:rPr>
                <w:b w:val="false"/>
                <w:bCs w:val="false"/>
                <w:color w:val="000000"/>
                <w:sz w:val="19"/>
                <w:szCs w:val="19"/>
              </w:rPr>
              <w:t xml:space="preserve">Mostly -- e-Residency card pickup needs one in-person visit to an embassy (Germany has locations)</w:t>
            </w:r>
          </w:p>
        </w:tc>
        <w:tc>
          <w:tcPr>
            <w:tcW w:type="dxa" w:w="1250"/>
            <w:shd w:fill="F2F2F2" w:color="auto" w:val="clear"/>
            <w:tcMar>
              <w:top w:type="dxa" w:w="80"/>
              <w:left w:type="dxa" w:w="100"/>
              <w:bottom w:type="dxa" w:w="80"/>
              <w:right w:type="dxa" w:w="100"/>
            </w:tcMar>
          </w:tcPr>
          <w:p>
            <w:r>
              <w:rPr>
                <w:b w:val="false"/>
                <w:bCs w:val="false"/>
                <w:color w:val="000000"/>
                <w:sz w:val="19"/>
                <w:szCs w:val="19"/>
              </w:rPr>
              <w:t xml:space="preserve">Days to weeks</w:t>
            </w:r>
          </w:p>
        </w:tc>
      </w:tr>
      <w:tr>
        <w:tc>
          <w:tcPr>
            <w:tcW w:type="dxa" w:w="2500"/>
            <w:tcMar>
              <w:top w:type="dxa" w:w="80"/>
              <w:left w:type="dxa" w:w="100"/>
              <w:bottom w:type="dxa" w:w="80"/>
              <w:right w:type="dxa" w:w="100"/>
            </w:tcMar>
          </w:tcPr>
          <w:p>
            <w:r>
              <w:rPr>
                <w:b w:val="false"/>
                <w:bCs w:val="false"/>
                <w:color w:val="000000"/>
                <w:sz w:val="19"/>
                <w:szCs w:val="19"/>
              </w:rPr>
              <w:t xml:space="preserve">UK Ltd</w:t>
            </w:r>
          </w:p>
        </w:tc>
        <w:tc>
          <w:tcPr>
            <w:tcW w:type="dxa" w:w="1650"/>
            <w:tcMar>
              <w:top w:type="dxa" w:w="80"/>
              <w:left w:type="dxa" w:w="100"/>
              <w:bottom w:type="dxa" w:w="80"/>
              <w:right w:type="dxa" w:w="100"/>
            </w:tcMar>
          </w:tcPr>
          <w:p>
            <w:r>
              <w:rPr>
                <w:b w:val="false"/>
                <w:bCs w:val="false"/>
                <w:color w:val="000000"/>
                <w:sz w:val="19"/>
                <w:szCs w:val="19"/>
              </w:rPr>
              <w:t xml:space="preserve">Effectively £1</w:t>
            </w:r>
          </w:p>
        </w:tc>
        <w:tc>
          <w:tcPr>
            <w:tcW w:type="dxa" w:w="2300"/>
            <w:tcMar>
              <w:top w:type="dxa" w:w="80"/>
              <w:left w:type="dxa" w:w="100"/>
              <w:bottom w:type="dxa" w:w="80"/>
              <w:right w:type="dxa" w:w="100"/>
            </w:tcMar>
          </w:tcPr>
          <w:p>
            <w:r>
              <w:rPr>
                <w:b w:val="false"/>
                <w:bCs w:val="false"/>
                <w:color w:val="000000"/>
                <w:sz w:val="19"/>
                <w:szCs w:val="19"/>
              </w:rPr>
              <w:t xml:space="preserve">£100 Companies House fee + £98–200 agent package</w:t>
            </w:r>
          </w:p>
        </w:tc>
        <w:tc>
          <w:tcPr>
            <w:tcW w:type="dxa" w:w="2500"/>
            <w:tcMar>
              <w:top w:type="dxa" w:w="80"/>
              <w:left w:type="dxa" w:w="100"/>
              <w:bottom w:type="dxa" w:w="80"/>
              <w:right w:type="dxa" w:w="100"/>
            </w:tcMar>
          </w:tcPr>
          <w:p>
            <w:r>
              <w:rPr>
                <w:b w:val="false"/>
                <w:bCs w:val="false"/>
                <w:color w:val="000000"/>
                <w:sz w:val="19"/>
                <w:szCs w:val="19"/>
              </w:rPr>
              <w:t xml:space="preserve">Yes, fully remote, no residency requirement for directors</w:t>
            </w:r>
          </w:p>
        </w:tc>
        <w:tc>
          <w:tcPr>
            <w:tcW w:type="dxa" w:w="1250"/>
            <w:tcMar>
              <w:top w:type="dxa" w:w="80"/>
              <w:left w:type="dxa" w:w="100"/>
              <w:bottom w:type="dxa" w:w="80"/>
              <w:right w:type="dxa" w:w="100"/>
            </w:tcMar>
          </w:tcPr>
          <w:p>
            <w:r>
              <w:rPr>
                <w:b w:val="false"/>
                <w:bCs w:val="false"/>
                <w:color w:val="000000"/>
                <w:sz w:val="19"/>
                <w:szCs w:val="19"/>
              </w:rPr>
              <w:t xml:space="preserve">Same-day to 24 hrs</w:t>
            </w:r>
          </w:p>
        </w:tc>
      </w:tr>
    </w:tbl>
    <w:p>
      <w:pPr>
        <w:spacing w:after="160"/>
      </w:pPr>
    </w:p>
    <w:p>
      <w:pPr>
        <w:pStyle w:val="Heading2"/>
        <w:spacing w:after="120" w:before="280"/>
      </w:pPr>
      <w:r>
        <w:t xml:space="preserve">Key tradeoffs</w:t>
      </w:r>
    </w:p>
    <w:p>
      <w:pPr>
        <w:pStyle w:val="ListParagraph"/>
        <w:numPr>
          <w:ilvl w:val="0"/>
          <w:numId w:val="2"/>
        </w:numPr>
        <w:spacing w:after="100" w:line="280"/>
      </w:pPr>
      <w:r>
        <w:rPr>
          <w:b/>
          <w:bCs/>
        </w:rPr>
        <w:t xml:space="preserve">UG (mini-GmbH): </w:t>
      </w:r>
      <w:r>
        <w:t xml:space="preserve">the standard German starting point -- cheap, fast-ish, limited liability. Must retain 25% of annual profit as a legal reserve until it accumulates €25,000, at which point it converts to a full GmbH. Some German investors/banks perceive it as the "budget" option.</w:t>
      </w:r>
    </w:p>
    <w:p>
      <w:pPr>
        <w:pStyle w:val="ListParagraph"/>
        <w:numPr>
          <w:ilvl w:val="0"/>
          <w:numId w:val="2"/>
        </w:numPr>
        <w:spacing w:after="100" w:line="280"/>
      </w:pPr>
      <w:r>
        <w:rPr>
          <w:b/>
          <w:bCs/>
        </w:rPr>
        <w:t xml:space="preserve">GmbH: </w:t>
      </w:r>
      <w:r>
        <w:t xml:space="preserve">makes sense once you have the €25,000 capital and want the strongest domestic credibility, or plan to hire in Germany soon.</w:t>
      </w:r>
    </w:p>
    <w:p>
      <w:pPr>
        <w:pStyle w:val="ListParagraph"/>
        <w:numPr>
          <w:ilvl w:val="0"/>
          <w:numId w:val="2"/>
        </w:numPr>
        <w:spacing w:after="100" w:line="280"/>
      </w:pPr>
      <w:r>
        <w:rPr>
          <w:b/>
          <w:bCs/>
        </w:rPr>
        <w:t xml:space="preserve">Delaware C-Corp: </w:t>
      </w:r>
      <w:r>
        <w:t xml:space="preserve">the default for VC-track, YC-style startups, because nearly every US VC requires a Delaware cap table. Real tradeoffs: non-resident-owned corporations must file IRS Form 5472 every year regardless of revenue (steep penalties -- $25,000+ -- for missing it), and dividends to you as a non-resident shareholder face US withholding tax (reduced under the US–Germany tax treaty, but not eliminated).</w:t>
      </w:r>
    </w:p>
    <w:p>
      <w:pPr>
        <w:pStyle w:val="ListParagraph"/>
        <w:numPr>
          <w:ilvl w:val="0"/>
          <w:numId w:val="2"/>
        </w:numPr>
        <w:spacing w:after="100" w:line="280"/>
      </w:pPr>
      <w:r>
        <w:rPr>
          <w:b/>
          <w:bCs/>
        </w:rPr>
        <w:t xml:space="preserve">Estonia OÜ: </w:t>
      </w:r>
      <w:r>
        <w:t xml:space="preserve">0% corporate tax on profit you reinvest rather than distribute -- genuinely attractive for a bootstrapped SaaS reinvesting everything early on. e-Residency is explicitly NOT a visa -- it gives you a digital identity to run the company's admin and banking remotely, nothing more, and does not touch your German immigration status at all.</w:t>
      </w:r>
    </w:p>
    <w:p>
      <w:pPr>
        <w:pStyle w:val="ListParagraph"/>
        <w:numPr>
          <w:ilvl w:val="0"/>
          <w:numId w:val="2"/>
        </w:numPr>
        <w:spacing w:after="100" w:line="280"/>
      </w:pPr>
      <w:r>
        <w:rPr>
          <w:b/>
          <w:bCs/>
        </w:rPr>
        <w:t xml:space="preserve">UK Ltd: </w:t>
      </w:r>
      <w:r>
        <w:t xml:space="preserve">the cheapest and fastest fully-remote option, no franchise tax, no Form 5472, no US double-taxation exposure. Relevant because the UK Innovator Founder visa (discussed with you separately) is also on the table -- worth noting that a UK company itself confers no immigration status; the visa and the company are two separate applications.</w:t>
      </w:r>
    </w:p>
    <w:p>
      <w:pPr>
        <w:spacing w:after="120"/>
      </w:pPr>
    </w:p>
    <w:p>
      <w:pPr>
        <w:pStyle w:val="Heading2"/>
        <w:spacing w:after="120" w:before="280"/>
      </w:pPr>
      <w:r>
        <w:t xml:space="preserve">So which one?</w:t>
      </w:r>
    </w:p>
    <w:p>
      <w:pPr>
        <w:spacing w:after="160" w:line="300"/>
      </w:pPr>
      <w:r>
        <w:t xml:space="preserve">There's no universally correct answer, but given you haven't committed to a country: if you might raise US/international VC money later, Delaware via Stripe Atlas is the path of least resistance. If you want the cheapest, fastest, lowest-maintenance option with no US tax entanglement, UK Ltd. If you end up pursuing the EXIST grant (Section 6), that program's own immigration pathway is built around founding a business in Germany specifically -- which would point toward a UG instead, at least initially.</w:t>
      </w:r>
    </w:p>
    <w:p>
      <w:pPr>
        <w:pBdr>
          <w:left w:val="single" w:color="1F4E79" w:sz="12" w:space="8"/>
        </w:pBdr>
        <w:spacing w:after="200" w:before="80"/>
        <w:ind w:left="200"/>
      </w:pPr>
      <w:r>
        <w:rPr>
          <w:i/>
          <w:iCs/>
          <w:color w:val="555555"/>
        </w:rPr>
        <w:t xml:space="preserve">Don't let this decision block you. It's genuinely reversible in the early days -- most bootstrapped founders change entity type or jurisdiction at least once. The far more consequential, much harder to undo decision is the one in the next section.</w:t>
      </w:r>
    </w:p>
    <w:p>
      <w:pPr>
        <w:spacing w:after="120"/>
      </w:pPr>
    </w:p>
    <w:p>
      <w:pPr>
        <w:pStyle w:val="Heading1"/>
        <w:spacing w:after="160" w:before="360"/>
      </w:pPr>
      <w:r>
        <w:t xml:space="preserve">4. Can You Legally Run a Company on Your Current German Student Visa?</w:t>
      </w:r>
    </w:p>
    <w:p>
      <w:pPr>
        <w:spacing w:after="160" w:line="300"/>
      </w:pPr>
      <w:r>
        <w:t xml:space="preserve">This is the section to read most carefully. Getting it right protects your ability to stay in Germany at all -- getting it wrong, even unintentionally, can jeopardize your current permit and complicate every future visa application you ever make in Germany.</w:t>
      </w:r>
    </w:p>
    <w:p>
      <w:pPr>
        <w:pStyle w:val="Heading2"/>
        <w:spacing w:after="120" w:before="280"/>
      </w:pPr>
      <w:r>
        <w:t xml:space="preserve">What your student permit actually allows</w:t>
      </w:r>
    </w:p>
    <w:p>
      <w:pPr>
        <w:spacing w:after="160" w:line="300"/>
      </w:pPr>
      <w:r>
        <w:t xml:space="preserve">Your student residence permit (§16b AufenthG) comes with a paid-work allowance -- as of a 2024 rule change, this is 140 full days or 280 half days per calendar year (this replaced the older 120/240-day figure you may have seen referenced elsewhere; make sure anyone advising you is using the current number). That allowance covers ordinary employment (Beschäftigung). It does not automatically cover self-employment.</w:t>
      </w:r>
    </w:p>
    <w:p>
      <w:pPr>
        <w:spacing w:after="160" w:line="300"/>
      </w:pPr>
      <w:r>
        <w:t xml:space="preserve">Whether self-employed activity is permitted alongside your studies is a separate, discretionary decision by your local Ausländerbehörde under §21(6) AufenthG. German sources describe this discretion as "generally exercised in favor of students" -- but it is not automatic, and it requires an actual application, not just quiet compliance with the day-limit rule.</w:t>
      </w:r>
    </w:p>
    <w:p>
      <w:pPr>
        <w:pStyle w:val="Heading2"/>
        <w:spacing w:after="120" w:before="280"/>
      </w:pPr>
      <w:r>
        <w:t xml:space="preserve">The distinction that determines everything: owning vs. running</w:t>
      </w:r>
    </w:p>
    <w:p>
      <w:pPr>
        <w:spacing w:after="160" w:line="300"/>
      </w:pPr>
      <w:r>
        <w:t xml:space="preserve">German immigration law draws a real line between passively holding shares and actively, entrepreneurially running a company:</w:t>
      </w:r>
    </w:p>
    <w:p>
      <w:pPr>
        <w:pStyle w:val="ListParagraph"/>
        <w:numPr>
          <w:ilvl w:val="0"/>
          <w:numId w:val="2"/>
        </w:numPr>
        <w:spacing w:after="100" w:line="280"/>
      </w:pPr>
      <w:r>
        <w:rPr>
          <w:b/>
          <w:bCs/>
        </w:rPr>
        <w:t xml:space="preserve">Passive investment / minority shareholding </w:t>
      </w:r>
      <w:r>
        <w:t xml:space="preserve">-- simply owning equity, without being the person who manages and directs the business -- generally does NOT count as self-employment requiring §21 approval.</w:t>
      </w:r>
    </w:p>
    <w:p>
      <w:pPr>
        <w:pStyle w:val="ListParagraph"/>
        <w:numPr>
          <w:ilvl w:val="0"/>
          <w:numId w:val="2"/>
        </w:numPr>
        <w:spacing w:after="100" w:line="280"/>
      </w:pPr>
      <w:r>
        <w:rPr>
          <w:b/>
          <w:bCs/>
        </w:rPr>
        <w:t xml:space="preserve">Being the managing director, or a majority owner who is entrepreneurially responsible for running the business, DOES count </w:t>
      </w:r>
      <w:r>
        <w:t xml:space="preserve">as self-employment and requires Ausländerbehörde approval.</w:t>
      </w:r>
    </w:p>
    <w:p>
      <w:pPr>
        <w:spacing w:after="160" w:line="300"/>
      </w:pPr>
      <w:r>
        <w:t xml:space="preserve">OrderTrade AI is a one-person operation. You are necessarily both the sole owner and the person actively building, marketing, and running it day to day. That combination reads, under the sources reviewed, as self-employment in substance -- and nothing in the research suggests that not yet drawing a salary changes that conclusion, or that incorporating abroad (Delaware, Estonia, UK) instead of in Germany changes it either. The determining question is what YOU are doing while physically in Germany, not which country's registry the paperwork sits in.</w:t>
      </w:r>
    </w:p>
    <w:p>
      <w:pPr>
        <w:pStyle w:val="Heading2"/>
        <w:spacing w:after="120" w:before="280"/>
      </w:pPr>
      <w:r>
        <w:t xml:space="preserve">Your three realistic paths</w:t>
      </w:r>
    </w:p>
    <w:p>
      <w:pPr>
        <w:pStyle w:val="ListParagraph"/>
        <w:numPr>
          <w:ilvl w:val="0"/>
          <w:numId w:val="2"/>
        </w:numPr>
        <w:spacing w:after="100" w:line="280"/>
      </w:pPr>
      <w:r>
        <w:rPr>
          <w:b/>
          <w:bCs/>
        </w:rPr>
        <w:t xml:space="preserve">(a) Keep operating informally, without permission. </w:t>
      </w:r>
      <w:r>
        <w:t xml:space="preserve">The weakest-supported option. Sources are explicit that unauthorized self-employed activity violates your permit's conditions and can lead to loss of your residence title -- and a compliance problem now can complicate future visa applications, including the very pathways described below. Given OrderTrade AI is already live and being actively worked on, this is arguably where you already are today -- worth resolving quickly rather than continuing by default.</w:t>
      </w:r>
    </w:p>
    <w:p>
      <w:pPr>
        <w:pStyle w:val="ListParagraph"/>
        <w:numPr>
          <w:ilvl w:val="0"/>
          <w:numId w:val="2"/>
        </w:numPr>
        <w:spacing w:after="100" w:line="280"/>
      </w:pPr>
      <w:r>
        <w:rPr>
          <w:b/>
          <w:bCs/>
        </w:rPr>
        <w:t xml:space="preserve">(b) Apply for §21(6) self-employment permission now, alongside your studies. </w:t>
      </w:r>
      <w:r>
        <w:t xml:space="preserve">The legally clean path. Requires an application to your local Ausländerbehörde, typically with input from your regional IHK (Chamber of Commerce) on the business concept. Outcome is discretionary but generally favorable for students, per the sources reviewed.</w:t>
      </w:r>
    </w:p>
    <w:p>
      <w:pPr>
        <w:pStyle w:val="ListParagraph"/>
        <w:numPr>
          <w:ilvl w:val="0"/>
          <w:numId w:val="2"/>
        </w:numPr>
        <w:spacing w:after="100" w:line="280"/>
      </w:pPr>
      <w:r>
        <w:rPr>
          <w:b/>
          <w:bCs/>
        </w:rPr>
        <w:t xml:space="preserve">(c) Wait for graduation and switch status. </w:t>
      </w:r>
      <w:r>
        <w:t xml:space="preserve">Two concrete routes exist: the 18-month post-study job-seeker permit, which explicitly allows self-employment without further permission once granted; or the EXIST-Gründerstipendium's own §21(2b) AufenthG pathway (Section 6), which bundles funding with a founding-specific residence title and is described as a smoother process than a standalone §21 application, since EXIST's own vetting already validates the business concept.</w:t>
      </w:r>
    </w:p>
    <w:p>
      <w:pPr>
        <w:pBdr>
          <w:left w:val="single" w:color="1F4E79" w:sz="12" w:space="8"/>
        </w:pBdr>
        <w:spacing w:after="200" w:before="80"/>
        <w:ind w:left="200"/>
      </w:pPr>
      <w:r>
        <w:rPr>
          <w:i/>
          <w:iCs/>
          <w:color w:val="555555"/>
        </w:rPr>
        <w:t xml:space="preserve">Recommendation: given the product is already live, don't sit in path (a) by default. Get a paid consultation with a Fachanwalt für Migrationsrecht (a lawyer specializing in German immigration law) as your very next step -- before further fundraising, incorporation, or active marketing. In parallel, check your eligibility for EXIST (Section 6): if you qualify, it's the cleanest way to convert path (a) into path (c) with funding attached. None of the web research above is a substitute for a lawyer or your caseworker confirming how your specific facts -- foreign vs. German entity, no salary yet, product already live -- will actually be treated.</w:t>
      </w:r>
    </w:p>
    <w:p>
      <w:pPr>
        <w:spacing w:after="120"/>
      </w:pPr>
    </w:p>
    <w:p>
      <w:pPr>
        <w:pStyle w:val="Heading1"/>
        <w:spacing w:after="160" w:before="360"/>
      </w:pPr>
      <w:r>
        <w:t xml:space="preserve">5. Regulatory Flag: Financial Services Rules (BaFin / MiFID II)</w:t>
      </w:r>
    </w:p>
    <w:p>
      <w:pPr>
        <w:spacing w:after="160" w:line="300"/>
      </w:pPr>
      <w:r>
        <w:t xml:space="preserve">Separate from immigration, there's a second compliance question worth understanding now rather than after you've scaled: generating AI-driven trade signals and letting users act on them can, depending on exactly how it works, be regulated as a financial service in the EU.</w:t>
      </w:r>
    </w:p>
    <w:p>
      <w:pPr>
        <w:spacing w:after="160" w:line="300"/>
      </w:pPr>
      <w:r>
        <w:t xml:space="preserve">BaFin (Germany's financial regulator) distinguishes between three business models:</w:t>
      </w:r>
    </w:p>
    <w:p>
      <w:pPr>
        <w:pStyle w:val="ListParagraph"/>
        <w:numPr>
          <w:ilvl w:val="0"/>
          <w:numId w:val="2"/>
        </w:numPr>
        <w:spacing w:after="100" w:line="280"/>
      </w:pPr>
      <w:r>
        <w:rPr>
          <w:b/>
          <w:bCs/>
        </w:rPr>
        <w:t xml:space="preserve">Automated/robo-advice </w:t>
      </w:r>
      <w:r>
        <w:t xml:space="preserve">-- a system that gives a personal recommendation naming a specific instrument, tailored to the individual's circumstances. Generally requires authorization.</w:t>
      </w:r>
    </w:p>
    <w:p>
      <w:pPr>
        <w:pStyle w:val="ListParagraph"/>
        <w:numPr>
          <w:ilvl w:val="0"/>
          <w:numId w:val="2"/>
        </w:numPr>
        <w:spacing w:after="100" w:line="280"/>
      </w:pPr>
      <w:r>
        <w:rPr>
          <w:b/>
          <w:bCs/>
        </w:rPr>
        <w:t xml:space="preserve">Signal-following / social/copy trading </w:t>
      </w:r>
      <w:r>
        <w:t xml:space="preserve">-- a platform that translates a signal directly into a customer's order without the customer submitting their own independent decision. BaFin states this "is generally subject to an authorisation requirement," treated as portfolio management.</w:t>
      </w:r>
    </w:p>
    <w:p>
      <w:pPr>
        <w:pStyle w:val="ListParagraph"/>
        <w:numPr>
          <w:ilvl w:val="0"/>
          <w:numId w:val="2"/>
        </w:numPr>
        <w:spacing w:after="100" w:line="280"/>
      </w:pPr>
      <w:r>
        <w:rPr>
          <w:b/>
          <w:bCs/>
        </w:rPr>
        <w:t xml:space="preserve">Generic, non-personalized trading signals </w:t>
      </w:r>
      <w:r>
        <w:t xml:space="preserve">-- broadcast analysis and buy/sell ideas that aren't tailored to an individual's holdings or risk profile. A German fintech law firm's published analysis concludes these generally fall outside the definition of investment advice, because they lack "personal reference to the investor."</w:t>
      </w:r>
    </w:p>
    <w:p>
      <w:pPr>
        <w:spacing w:after="160" w:line="300"/>
      </w:pPr>
      <w:r>
        <w:t xml:space="preserve">OrderTrade AI's actual architecture -- the user must explicitly review and click to place every trade themselves, nothing auto-executes, no funds are ever custodied -- sits structurally closer to the third category and the narrower "execution only" carve-out than to "signal following." But BaFin is explicit that it will not give a binding answer without reviewing your actual contractual and operational structure case by case -- this is not something a disclaimer alone resolves, and it becomes more consequential the moment you personalize signals or actively market into Germany/the EU.</w:t>
      </w:r>
    </w:p>
    <w:p>
      <w:pPr>
        <w:spacing w:after="160" w:line="300"/>
      </w:pPr>
      <w:r>
        <w:t xml:space="preserve">There's also a narrower notification duty to flag: providers of investment recommendations relating to MiFID II instruments specifically (your stock/forex/commodity signals -- not the crypto ones, which fall under a different framework) may have a registration duty under §86 WpHG even where full authorization isn't required.</w:t>
      </w:r>
    </w:p>
    <w:p>
      <w:pPr>
        <w:pBdr>
          <w:left w:val="single" w:color="1F4E79" w:sz="12" w:space="8"/>
        </w:pBdr>
        <w:spacing w:after="200" w:before="80"/>
        <w:ind w:left="200"/>
      </w:pPr>
      <w:r>
        <w:rPr>
          <w:i/>
          <w:iCs/>
          <w:color w:val="555555"/>
        </w:rPr>
        <w:t xml:space="preserve">Germany doesn't run a formal regulatory sandbox -- instead, BaFin operates a FinTech Innovation Hub, a free, informal, non-binding contact point where you can describe your exact model and get a read on whether it triggers an authorization requirement. Practical recommendation: submit an inquiry there before any EU-facing marketing or monetization push, and treat your current "not investment advice, paper trading only" posture as a reasonable holding pattern in the meantime, not a permanent shield.</w:t>
      </w:r>
    </w:p>
    <w:p>
      <w:pPr>
        <w:spacing w:after="120"/>
      </w:pPr>
    </w:p>
    <w:p>
      <w:pPr>
        <w:pStyle w:val="Heading1"/>
        <w:spacing w:after="160" w:before="360"/>
      </w:pPr>
      <w:r>
        <w:t xml:space="preserve">6. Non-Dilutive Funding You Can Pursue</w:t>
      </w:r>
    </w:p>
    <w:p>
      <w:pPr>
        <w:pStyle w:val="Heading2"/>
        <w:spacing w:after="120" w:before="280"/>
      </w:pPr>
      <w:r>
        <w:t xml:space="preserve">EXIST-Gründerstipendium (EXIST Business Start-up Grant) -- the top priority</w:t>
      </w:r>
    </w:p>
    <w:p>
      <w:pPr>
        <w:spacing w:after="160" w:line="300"/>
      </w:pPr>
      <w:r>
        <w:t xml:space="preserve">A German federal program (BMWE, co-financed by the EU) run through your university's Gründungsservice (entrepreneurship office). This is the single highest-leverage program available to you, because it solves funding and your immigration question at the same time.</w:t>
      </w:r>
    </w:p>
    <w:p>
      <w:pPr>
        <w:pStyle w:val="ListParagraph"/>
        <w:numPr>
          <w:ilvl w:val="0"/>
          <w:numId w:val="2"/>
        </w:numPr>
        <w:spacing w:after="100" w:line="280"/>
      </w:pPr>
      <w:r>
        <w:rPr>
          <w:b/>
          <w:bCs/>
        </w:rPr>
        <w:t xml:space="preserve">Eligibility: </w:t>
      </w:r>
      <w:r>
        <w:t xml:space="preserve">students who've completed at least 50% of their degree, or graduates/researchers up to 5 years out. Teams of up to 3, but solo founders qualify. Your business must not yet be incorporated at the start of the grant -- which fits your current status exactly.</w:t>
      </w:r>
    </w:p>
    <w:p>
      <w:pPr>
        <w:pStyle w:val="ListParagraph"/>
        <w:numPr>
          <w:ilvl w:val="0"/>
          <w:numId w:val="2"/>
        </w:numPr>
        <w:spacing w:after="100" w:line="280"/>
      </w:pPr>
      <w:r>
        <w:rPr>
          <w:b/>
          <w:bCs/>
        </w:rPr>
        <w:t xml:space="preserve">Non-EU eligibility: </w:t>
      </w:r>
      <w:r>
        <w:t xml:space="preserve">explicitly confirmed -- nationality is not a barrier, provided you hold a valid residence permit (your student permit qualifies) at the time of application.</w:t>
      </w:r>
    </w:p>
    <w:p>
      <w:pPr>
        <w:pStyle w:val="ListParagraph"/>
        <w:numPr>
          <w:ilvl w:val="0"/>
          <w:numId w:val="2"/>
        </w:numPr>
        <w:spacing w:after="100" w:line="280"/>
      </w:pPr>
      <w:r>
        <w:rPr>
          <w:b/>
          <w:bCs/>
        </w:rPr>
        <w:t xml:space="preserve">Funding: </w:t>
      </w:r>
      <w:r>
        <w:t xml:space="preserve">a 12-month stipend, roughly €1,000–€3,000/month depending on your academic status, plus up to €10,000 in equipment budget (solo) and €5,000 in coaching budget.</w:t>
      </w:r>
    </w:p>
    <w:p>
      <w:pPr>
        <w:pStyle w:val="ListParagraph"/>
        <w:numPr>
          <w:ilvl w:val="0"/>
          <w:numId w:val="2"/>
        </w:numPr>
        <w:spacing w:after="100" w:line="280"/>
      </w:pPr>
      <w:r>
        <w:rPr>
          <w:b/>
          <w:bCs/>
        </w:rPr>
        <w:t xml:space="preserve">The immigration link: </w:t>
      </w:r>
      <w:r>
        <w:t xml:space="preserve">founders who secure EXIST typically obtain a residence title under §21(2b) AufenthG specifically designed for founding a business on the strength of the grant -- described as a smoother process than applying for §21(6) self-employment permission on your own, because EXIST's own vetting already validates the business concept.</w:t>
      </w:r>
    </w:p>
    <w:p>
      <w:pPr>
        <w:pStyle w:val="ListParagraph"/>
        <w:numPr>
          <w:ilvl w:val="0"/>
          <w:numId w:val="2"/>
        </w:numPr>
        <w:spacing w:after="100" w:line="280"/>
      </w:pPr>
      <w:r>
        <w:rPr>
          <w:b/>
          <w:bCs/>
        </w:rPr>
        <w:t xml:space="preserve">Next step: </w:t>
      </w:r>
      <w:r>
        <w:t xml:space="preserve">contact your university's Gründungsservice directly -- they co-apply with you, and the process starts with roughly a 3-month concept-development phase before submission.</w:t>
      </w:r>
    </w:p>
    <w:p>
      <w:pPr>
        <w:spacing w:after="100"/>
      </w:pPr>
    </w:p>
    <w:p>
      <w:pPr>
        <w:pStyle w:val="Heading2"/>
        <w:spacing w:after="120" w:before="280"/>
      </w:pPr>
      <w:r>
        <w:t xml:space="preserve">Available to you right now, with zero incorporation or immigration blockers</w:t>
      </w:r>
    </w:p>
    <w:p>
      <w:pPr>
        <w:pStyle w:val="ListParagraph"/>
        <w:numPr>
          <w:ilvl w:val="0"/>
          <w:numId w:val="2"/>
        </w:numPr>
        <w:spacing w:after="100" w:line="280"/>
      </w:pPr>
      <w:r>
        <w:rPr>
          <w:b/>
          <w:bCs/>
        </w:rPr>
        <w:t xml:space="preserve">Microsoft for Startups Founders Hub: </w:t>
      </w:r>
      <w:r>
        <w:t xml:space="preserve">explicitly open to bootstrapped, solo, pre-revenue founders -- no funding, accelerator affiliation, or revenue required. Up to $150,000 in Azure credits plus GitHub Enterprise, Microsoft 365, and Azure OpenAI credits. Given your product is AI-heavy, this is likely worth applying to immediately.</w:t>
      </w:r>
    </w:p>
    <w:p>
      <w:pPr>
        <w:pStyle w:val="ListParagraph"/>
        <w:numPr>
          <w:ilvl w:val="0"/>
          <w:numId w:val="2"/>
        </w:numPr>
        <w:spacing w:after="100" w:line="280"/>
      </w:pPr>
      <w:r>
        <w:rPr>
          <w:b/>
          <w:bCs/>
        </w:rPr>
        <w:t xml:space="preserve">AWS Activate (Founders tier): </w:t>
      </w:r>
      <w:r>
        <w:t xml:space="preserve">no VC/accelerator affiliation needed, under $1M funding/revenue. Modest ($1,000 + $350 dev-support credits) but easy to qualify for -- you already have a registered domain and professional email (ordertradeai.com), which is one of the stated requirements.</w:t>
      </w:r>
    </w:p>
    <w:p>
      <w:pPr>
        <w:spacing w:after="100"/>
      </w:pPr>
    </w:p>
    <w:p>
      <w:pPr>
        <w:pStyle w:val="Heading2"/>
        <w:spacing w:after="120" w:before="280"/>
      </w:pPr>
      <w:r>
        <w:t xml:space="preserve">Worth queuing up for after incorporation</w:t>
      </w:r>
    </w:p>
    <w:p>
      <w:pPr>
        <w:pStyle w:val="ListParagraph"/>
        <w:numPr>
          <w:ilvl w:val="0"/>
          <w:numId w:val="2"/>
        </w:numPr>
        <w:spacing w:after="100" w:line="280"/>
      </w:pPr>
      <w:r>
        <w:rPr>
          <w:b/>
          <w:bCs/>
        </w:rPr>
        <w:t xml:space="preserve">NVIDIA Inception: </w:t>
      </w:r>
      <w:r>
        <w:t xml:space="preserve">no equity taken, no revenue requirement -- but explicitly requires official incorporation to apply. DLI training credits, cloud-credit stacking (up to $100K AWS + $150K Nebius), and an investor-network connection called Inception Capital Connect.</w:t>
      </w:r>
    </w:p>
    <w:p>
      <w:pPr>
        <w:pStyle w:val="ListParagraph"/>
        <w:numPr>
          <w:ilvl w:val="0"/>
          <w:numId w:val="2"/>
        </w:numPr>
        <w:spacing w:after="100" w:line="280"/>
      </w:pPr>
      <w:r>
        <w:rPr>
          <w:b/>
          <w:bCs/>
        </w:rPr>
        <w:t xml:space="preserve">Google for Startups Cloud Program: </w:t>
      </w:r>
      <w:r>
        <w:t xml:space="preserve">the flagship AI tier (up to $350K) requires prior institutional funding, so it's not accessible yet -- but a smaller "pre-funded/early-stage" tier exists for bootstrapped companies and is worth applying to now, with the larger tier available once you've raised anything (including a grant like EXIST).</w:t>
      </w:r>
    </w:p>
    <w:p>
      <w:pPr>
        <w:spacing w:after="120"/>
      </w:pPr>
    </w:p>
    <w:p>
      <w:pPr>
        <w:pStyle w:val="Heading1"/>
        <w:spacing w:after="160" w:before="360"/>
      </w:pPr>
      <w:r>
        <w:t xml:space="preserve">7. Accelerators Worth Targeting</w:t>
      </w:r>
    </w:p>
    <w:p>
      <w:pPr>
        <w:spacing w:after="160" w:line="300"/>
      </w:pPr>
      <w:r>
        <w:t xml:space="preserve">Ranked roughly by fit for a solo, currently pre-revenue founder: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400"/>
        <w:gridCol w:w="1900"/>
        <w:gridCol w:w="2300"/>
      </w:tblGrid>
      <w:tr>
        <w:trPr>
          <w:tblHeader/>
        </w:trPr>
        <w:tc>
          <w:tcPr>
            <w:tcW w:type="dxa" w:w="1700"/>
            <w:shd w:fill="1F4E79" w:color="auto" w:val="clear"/>
            <w:tcMar>
              <w:top w:type="dxa" w:w="80"/>
              <w:left w:type="dxa" w:w="100"/>
              <w:bottom w:type="dxa" w:w="80"/>
              <w:right w:type="dxa" w:w="100"/>
            </w:tcMar>
          </w:tcPr>
          <w:p>
            <w:r>
              <w:rPr>
                <w:b/>
                <w:bCs/>
                <w:color w:val="FFFFFF"/>
                <w:sz w:val="19"/>
                <w:szCs w:val="19"/>
              </w:rPr>
              <w:t xml:space="preserve">Program</w:t>
            </w:r>
          </w:p>
        </w:tc>
        <w:tc>
          <w:tcPr>
            <w:tcW w:type="dxa" w:w="1300"/>
            <w:shd w:fill="1F4E79" w:color="auto" w:val="clear"/>
            <w:tcMar>
              <w:top w:type="dxa" w:w="80"/>
              <w:left w:type="dxa" w:w="100"/>
              <w:bottom w:type="dxa" w:w="80"/>
              <w:right w:type="dxa" w:w="100"/>
            </w:tcMar>
          </w:tcPr>
          <w:p>
            <w:r>
              <w:rPr>
                <w:b/>
                <w:bCs/>
                <w:color w:val="FFFFFF"/>
                <w:sz w:val="19"/>
                <w:szCs w:val="19"/>
              </w:rPr>
              <w:t xml:space="preserve">Location</w:t>
            </w:r>
          </w:p>
        </w:tc>
        <w:tc>
          <w:tcPr>
            <w:tcW w:type="dxa" w:w="2400"/>
            <w:shd w:fill="1F4E79" w:color="auto" w:val="clear"/>
            <w:tcMar>
              <w:top w:type="dxa" w:w="80"/>
              <w:left w:type="dxa" w:w="100"/>
              <w:bottom w:type="dxa" w:w="80"/>
              <w:right w:type="dxa" w:w="100"/>
            </w:tcMar>
          </w:tcPr>
          <w:p>
            <w:r>
              <w:rPr>
                <w:b/>
                <w:bCs/>
                <w:color w:val="FFFFFF"/>
                <w:sz w:val="19"/>
                <w:szCs w:val="19"/>
              </w:rPr>
              <w:t xml:space="preserve">Solo-founder fit</w:t>
            </w:r>
          </w:p>
        </w:tc>
        <w:tc>
          <w:tcPr>
            <w:tcW w:type="dxa" w:w="1900"/>
            <w:shd w:fill="1F4E79" w:color="auto" w:val="clear"/>
            <w:tcMar>
              <w:top w:type="dxa" w:w="80"/>
              <w:left w:type="dxa" w:w="100"/>
              <w:bottom w:type="dxa" w:w="80"/>
              <w:right w:type="dxa" w:w="100"/>
            </w:tcMar>
          </w:tcPr>
          <w:p>
            <w:r>
              <w:rPr>
                <w:b/>
                <w:bCs/>
                <w:color w:val="FFFFFF"/>
                <w:sz w:val="19"/>
                <w:szCs w:val="19"/>
              </w:rPr>
              <w:t xml:space="preserve">Typical terms</w:t>
            </w:r>
          </w:p>
        </w:tc>
        <w:tc>
          <w:tcPr>
            <w:tcW w:type="dxa" w:w="2300"/>
            <w:shd w:fill="1F4E79" w:color="auto" w:val="clear"/>
            <w:tcMar>
              <w:top w:type="dxa" w:w="80"/>
              <w:left w:type="dxa" w:w="100"/>
              <w:bottom w:type="dxa" w:w="80"/>
              <w:right w:type="dxa" w:w="100"/>
            </w:tcMar>
          </w:tcPr>
          <w:p>
            <w:r>
              <w:rPr>
                <w:b/>
                <w:bCs/>
                <w:color w:val="FFFFFF"/>
                <w:sz w:val="19"/>
                <w:szCs w:val="19"/>
              </w:rPr>
              <w:t xml:space="preserve">Notes</w:t>
            </w:r>
          </w:p>
        </w:tc>
      </w:tr>
      <w:tr>
        <w:tc>
          <w:tcPr>
            <w:tcW w:type="dxa" w:w="1700"/>
            <w:tcMar>
              <w:top w:type="dxa" w:w="80"/>
              <w:left w:type="dxa" w:w="100"/>
              <w:bottom w:type="dxa" w:w="80"/>
              <w:right w:type="dxa" w:w="100"/>
            </w:tcMar>
          </w:tcPr>
          <w:p>
            <w:r>
              <w:rPr>
                <w:b w:val="false"/>
                <w:bCs w:val="false"/>
                <w:color w:val="000000"/>
                <w:sz w:val="19"/>
                <w:szCs w:val="19"/>
              </w:rPr>
              <w:t xml:space="preserve">Antler</w:t>
            </w:r>
          </w:p>
        </w:tc>
        <w:tc>
          <w:tcPr>
            <w:tcW w:type="dxa" w:w="1300"/>
            <w:tcMar>
              <w:top w:type="dxa" w:w="80"/>
              <w:left w:type="dxa" w:w="100"/>
              <w:bottom w:type="dxa" w:w="80"/>
              <w:right w:type="dxa" w:w="100"/>
            </w:tcMar>
          </w:tcPr>
          <w:p>
            <w:r>
              <w:rPr>
                <w:b w:val="false"/>
                <w:bCs w:val="false"/>
                <w:color w:val="000000"/>
                <w:sz w:val="19"/>
                <w:szCs w:val="19"/>
              </w:rPr>
              <w:t xml:space="preserve">Berlin + global</w:t>
            </w:r>
          </w:p>
        </w:tc>
        <w:tc>
          <w:tcPr>
            <w:tcW w:type="dxa" w:w="2400"/>
            <w:tcMar>
              <w:top w:type="dxa" w:w="80"/>
              <w:left w:type="dxa" w:w="100"/>
              <w:bottom w:type="dxa" w:w="80"/>
              <w:right w:type="dxa" w:w="100"/>
            </w:tcMar>
          </w:tcPr>
          <w:p>
            <w:r>
              <w:rPr>
                <w:b w:val="false"/>
                <w:bCs w:val="false"/>
                <w:color w:val="000000"/>
                <w:sz w:val="19"/>
                <w:szCs w:val="19"/>
              </w:rPr>
              <w:t xml:space="preserve">Excellent -- built to accept solo/even pre-team founders, matches co-founders during the program</w:t>
            </w:r>
          </w:p>
        </w:tc>
        <w:tc>
          <w:tcPr>
            <w:tcW w:type="dxa" w:w="1900"/>
            <w:tcMar>
              <w:top w:type="dxa" w:w="80"/>
              <w:left w:type="dxa" w:w="100"/>
              <w:bottom w:type="dxa" w:w="80"/>
              <w:right w:type="dxa" w:w="100"/>
            </w:tcMar>
          </w:tcPr>
          <w:p>
            <w:r>
              <w:rPr>
                <w:b w:val="false"/>
                <w:bCs w:val="false"/>
                <w:color w:val="000000"/>
                <w:sz w:val="19"/>
                <w:szCs w:val="19"/>
              </w:rPr>
              <w:t xml:space="preserve">~€200K, terms vary by cohort</w:t>
            </w:r>
          </w:p>
        </w:tc>
        <w:tc>
          <w:tcPr>
            <w:tcW w:type="dxa" w:w="2300"/>
            <w:tcMar>
              <w:top w:type="dxa" w:w="80"/>
              <w:left w:type="dxa" w:w="100"/>
              <w:bottom w:type="dxa" w:w="80"/>
              <w:right w:type="dxa" w:w="100"/>
            </w:tcMar>
          </w:tcPr>
          <w:p>
            <w:r>
              <w:rPr>
                <w:b w:val="false"/>
                <w:bCs w:val="false"/>
                <w:color w:val="000000"/>
                <w:sz w:val="19"/>
                <w:szCs w:val="19"/>
              </w:rPr>
              <w:t xml:space="preserve">Structurally the best match for your current stage</w:t>
            </w:r>
          </w:p>
        </w:tc>
      </w:tr>
      <w:tr>
        <w:tc>
          <w:tcPr>
            <w:tcW w:type="dxa" w:w="1700"/>
            <w:shd w:fill="F2F2F2" w:color="auto" w:val="clear"/>
            <w:tcMar>
              <w:top w:type="dxa" w:w="80"/>
              <w:left w:type="dxa" w:w="100"/>
              <w:bottom w:type="dxa" w:w="80"/>
              <w:right w:type="dxa" w:w="100"/>
            </w:tcMar>
          </w:tcPr>
          <w:p>
            <w:r>
              <w:rPr>
                <w:b w:val="false"/>
                <w:bCs w:val="false"/>
                <w:color w:val="000000"/>
                <w:sz w:val="19"/>
                <w:szCs w:val="19"/>
              </w:rPr>
              <w:t xml:space="preserve">Entrepreneur First</w:t>
            </w:r>
          </w:p>
        </w:tc>
        <w:tc>
          <w:tcPr>
            <w:tcW w:type="dxa" w:w="1300"/>
            <w:shd w:fill="F2F2F2" w:color="auto" w:val="clear"/>
            <w:tcMar>
              <w:top w:type="dxa" w:w="80"/>
              <w:left w:type="dxa" w:w="100"/>
              <w:bottom w:type="dxa" w:w="80"/>
              <w:right w:type="dxa" w:w="100"/>
            </w:tcMar>
          </w:tcPr>
          <w:p>
            <w:r>
              <w:rPr>
                <w:b w:val="false"/>
                <w:bCs w:val="false"/>
                <w:color w:val="000000"/>
                <w:sz w:val="19"/>
                <w:szCs w:val="19"/>
              </w:rPr>
              <w:t xml:space="preserve">London, Paris, Bangalore, SF (no Berlin cohort)</w:t>
            </w:r>
          </w:p>
        </w:tc>
        <w:tc>
          <w:tcPr>
            <w:tcW w:type="dxa" w:w="2400"/>
            <w:shd w:fill="F2F2F2" w:color="auto" w:val="clear"/>
            <w:tcMar>
              <w:top w:type="dxa" w:w="80"/>
              <w:left w:type="dxa" w:w="100"/>
              <w:bottom w:type="dxa" w:w="80"/>
              <w:right w:type="dxa" w:w="100"/>
            </w:tcMar>
          </w:tcPr>
          <w:p>
            <w:r>
              <w:rPr>
                <w:b w:val="false"/>
                <w:bCs w:val="false"/>
                <w:color w:val="000000"/>
                <w:sz w:val="19"/>
                <w:szCs w:val="19"/>
              </w:rPr>
              <w:t xml:space="preserve">Excellent -- designed for individuals with no co-founder or company yet</w:t>
            </w:r>
          </w:p>
        </w:tc>
        <w:tc>
          <w:tcPr>
            <w:tcW w:type="dxa" w:w="1900"/>
            <w:shd w:fill="F2F2F2" w:color="auto" w:val="clear"/>
            <w:tcMar>
              <w:top w:type="dxa" w:w="80"/>
              <w:left w:type="dxa" w:w="100"/>
              <w:bottom w:type="dxa" w:w="80"/>
              <w:right w:type="dxa" w:w="100"/>
            </w:tcMar>
          </w:tcPr>
          <w:p>
            <w:r>
              <w:rPr>
                <w:b w:val="false"/>
                <w:bCs w:val="false"/>
                <w:color w:val="000000"/>
                <w:sz w:val="19"/>
                <w:szCs w:val="19"/>
              </w:rPr>
              <w:t xml:space="preserve">Up to $250K once incorporated as Delaware C-Corp; $10K equity-free Fellowship option</w:t>
            </w:r>
          </w:p>
        </w:tc>
        <w:tc>
          <w:tcPr>
            <w:tcW w:type="dxa" w:w="2300"/>
            <w:shd w:fill="F2F2F2" w:color="auto" w:val="clear"/>
            <w:tcMar>
              <w:top w:type="dxa" w:w="80"/>
              <w:left w:type="dxa" w:w="100"/>
              <w:bottom w:type="dxa" w:w="80"/>
              <w:right w:type="dxa" w:w="100"/>
            </w:tcMar>
          </w:tcPr>
          <w:p>
            <w:r>
              <w:rPr>
                <w:b w:val="false"/>
                <w:bCs w:val="false"/>
                <w:color w:val="000000"/>
                <w:sz w:val="19"/>
                <w:szCs w:val="19"/>
              </w:rPr>
              <w:t xml:space="preserve">Would require relocating to London or Paris</w:t>
            </w:r>
          </w:p>
        </w:tc>
      </w:tr>
      <w:tr>
        <w:tc>
          <w:tcPr>
            <w:tcW w:type="dxa" w:w="1700"/>
            <w:tcMar>
              <w:top w:type="dxa" w:w="80"/>
              <w:left w:type="dxa" w:w="100"/>
              <w:bottom w:type="dxa" w:w="80"/>
              <w:right w:type="dxa" w:w="100"/>
            </w:tcMar>
          </w:tcPr>
          <w:p>
            <w:r>
              <w:rPr>
                <w:b w:val="false"/>
                <w:bCs w:val="false"/>
                <w:color w:val="000000"/>
                <w:sz w:val="19"/>
                <w:szCs w:val="19"/>
              </w:rPr>
              <w:t xml:space="preserve">Techstars Berlin</w:t>
            </w:r>
          </w:p>
        </w:tc>
        <w:tc>
          <w:tcPr>
            <w:tcW w:type="dxa" w:w="1300"/>
            <w:tcMar>
              <w:top w:type="dxa" w:w="80"/>
              <w:left w:type="dxa" w:w="100"/>
              <w:bottom w:type="dxa" w:w="80"/>
              <w:right w:type="dxa" w:w="100"/>
            </w:tcMar>
          </w:tcPr>
          <w:p>
            <w:r>
              <w:rPr>
                <w:b w:val="false"/>
                <w:bCs w:val="false"/>
                <w:color w:val="000000"/>
                <w:sz w:val="19"/>
                <w:szCs w:val="19"/>
              </w:rPr>
              <w:t xml:space="preserve">Berlin</w:t>
            </w:r>
          </w:p>
        </w:tc>
        <w:tc>
          <w:tcPr>
            <w:tcW w:type="dxa" w:w="2400"/>
            <w:tcMar>
              <w:top w:type="dxa" w:w="80"/>
              <w:left w:type="dxa" w:w="100"/>
              <w:bottom w:type="dxa" w:w="80"/>
              <w:right w:type="dxa" w:w="100"/>
            </w:tcMar>
          </w:tcPr>
          <w:p>
            <w:r>
              <w:rPr>
                <w:b w:val="false"/>
                <w:bCs w:val="false"/>
                <w:color w:val="000000"/>
                <w:sz w:val="19"/>
                <w:szCs w:val="19"/>
              </w:rPr>
              <w:t xml:space="preserve">Good -- general Techstars policy is solo-friendly; program's focus is "deep tech/AI &amp; ML," not fintech-specific</w:t>
            </w:r>
          </w:p>
        </w:tc>
        <w:tc>
          <w:tcPr>
            <w:tcW w:type="dxa" w:w="1900"/>
            <w:tcMar>
              <w:top w:type="dxa" w:w="80"/>
              <w:left w:type="dxa" w:w="100"/>
              <w:bottom w:type="dxa" w:w="80"/>
              <w:right w:type="dxa" w:w="100"/>
            </w:tcMar>
          </w:tcPr>
          <w:p>
            <w:r>
              <w:rPr>
                <w:b w:val="false"/>
                <w:bCs w:val="false"/>
                <w:color w:val="000000"/>
                <w:sz w:val="19"/>
                <w:szCs w:val="19"/>
              </w:rPr>
              <w:t xml:space="preserve">~$220K total ($20K for 5% + $200K uncapped SAFE)</w:t>
            </w:r>
          </w:p>
        </w:tc>
        <w:tc>
          <w:tcPr>
            <w:tcW w:type="dxa" w:w="2300"/>
            <w:tcMar>
              <w:top w:type="dxa" w:w="80"/>
              <w:left w:type="dxa" w:w="100"/>
              <w:bottom w:type="dxa" w:w="80"/>
              <w:right w:type="dxa" w:w="100"/>
            </w:tcMar>
          </w:tcPr>
          <w:p>
            <w:r>
              <w:rPr>
                <w:b w:val="false"/>
                <w:bCs w:val="false"/>
                <w:color w:val="000000"/>
                <w:sz w:val="19"/>
                <w:szCs w:val="19"/>
              </w:rPr>
              <w:t xml:space="preserve">Check current cycle -- a fintech-specific Techstars program has existed periodically, verify status</w:t>
            </w:r>
          </w:p>
        </w:tc>
      </w:tr>
      <w:tr>
        <w:tc>
          <w:tcPr>
            <w:tcW w:type="dxa" w:w="1700"/>
            <w:shd w:fill="F2F2F2" w:color="auto" w:val="clear"/>
            <w:tcMar>
              <w:top w:type="dxa" w:w="80"/>
              <w:left w:type="dxa" w:w="100"/>
              <w:bottom w:type="dxa" w:w="80"/>
              <w:right w:type="dxa" w:w="100"/>
            </w:tcMar>
          </w:tcPr>
          <w:p>
            <w:r>
              <w:rPr>
                <w:b w:val="false"/>
                <w:bCs w:val="false"/>
                <w:color w:val="000000"/>
                <w:sz w:val="19"/>
                <w:szCs w:val="19"/>
              </w:rPr>
              <w:t xml:space="preserve">APX / HEARTFELT_</w:t>
            </w:r>
          </w:p>
        </w:tc>
        <w:tc>
          <w:tcPr>
            <w:tcW w:type="dxa" w:w="1300"/>
            <w:shd w:fill="F2F2F2" w:color="auto" w:val="clear"/>
            <w:tcMar>
              <w:top w:type="dxa" w:w="80"/>
              <w:left w:type="dxa" w:w="100"/>
              <w:bottom w:type="dxa" w:w="80"/>
              <w:right w:type="dxa" w:w="100"/>
            </w:tcMar>
          </w:tcPr>
          <w:p>
            <w:r>
              <w:rPr>
                <w:b w:val="false"/>
                <w:bCs w:val="false"/>
                <w:color w:val="000000"/>
                <w:sz w:val="19"/>
                <w:szCs w:val="19"/>
              </w:rPr>
              <w:t xml:space="preserve">Berlin</w:t>
            </w:r>
          </w:p>
        </w:tc>
        <w:tc>
          <w:tcPr>
            <w:tcW w:type="dxa" w:w="2400"/>
            <w:shd w:fill="F2F2F2" w:color="auto" w:val="clear"/>
            <w:tcMar>
              <w:top w:type="dxa" w:w="80"/>
              <w:left w:type="dxa" w:w="100"/>
              <w:bottom w:type="dxa" w:w="80"/>
              <w:right w:type="dxa" w:w="100"/>
            </w:tcMar>
          </w:tcPr>
          <w:p>
            <w:r>
              <w:rPr>
                <w:b w:val="false"/>
                <w:bCs w:val="false"/>
                <w:color w:val="000000"/>
                <w:sz w:val="19"/>
                <w:szCs w:val="19"/>
              </w:rPr>
              <w:t xml:space="preserve">Historically fintech-inclusive, solo-friendly</w:t>
            </w:r>
          </w:p>
        </w:tc>
        <w:tc>
          <w:tcPr>
            <w:tcW w:type="dxa" w:w="1900"/>
            <w:shd w:fill="F2F2F2" w:color="auto" w:val="clear"/>
            <w:tcMar>
              <w:top w:type="dxa" w:w="80"/>
              <w:left w:type="dxa" w:w="100"/>
              <w:bottom w:type="dxa" w:w="80"/>
              <w:right w:type="dxa" w:w="100"/>
            </w:tcMar>
          </w:tcPr>
          <w:p>
            <w:r>
              <w:rPr>
                <w:b w:val="false"/>
                <w:bCs w:val="false"/>
                <w:color w:val="000000"/>
                <w:sz w:val="19"/>
                <w:szCs w:val="19"/>
              </w:rPr>
              <w:t xml:space="preserve">Historically ~€50K for 5%, scaling to €500K pre-Series A</w:t>
            </w:r>
          </w:p>
        </w:tc>
        <w:tc>
          <w:tcPr>
            <w:tcW w:type="dxa" w:w="2300"/>
            <w:shd w:fill="F2F2F2" w:color="auto" w:val="clear"/>
            <w:tcMar>
              <w:top w:type="dxa" w:w="80"/>
              <w:left w:type="dxa" w:w="100"/>
              <w:bottom w:type="dxa" w:w="80"/>
              <w:right w:type="dxa" w:w="100"/>
            </w:tcMar>
          </w:tcPr>
          <w:p>
            <w:r>
              <w:rPr>
                <w:b w:val="false"/>
                <w:bCs w:val="false"/>
                <w:color w:val="000000"/>
                <w:sz w:val="19"/>
                <w:szCs w:val="19"/>
              </w:rPr>
              <w:t xml:space="preserve">Branding is mid-transition (APX → HEARTFELT_) -- confirm current application channel directly before applying</w:t>
            </w:r>
          </w:p>
        </w:tc>
      </w:tr>
      <w:tr>
        <w:tc>
          <w:tcPr>
            <w:tcW w:type="dxa" w:w="1700"/>
            <w:tcMar>
              <w:top w:type="dxa" w:w="80"/>
              <w:left w:type="dxa" w:w="100"/>
              <w:bottom w:type="dxa" w:w="80"/>
              <w:right w:type="dxa" w:w="100"/>
            </w:tcMar>
          </w:tcPr>
          <w:p>
            <w:r>
              <w:rPr>
                <w:b w:val="false"/>
                <w:bCs w:val="false"/>
                <w:color w:val="000000"/>
                <w:sz w:val="19"/>
                <w:szCs w:val="19"/>
              </w:rPr>
              <w:t xml:space="preserve">Plug and Play Fintech</w:t>
            </w:r>
          </w:p>
        </w:tc>
        <w:tc>
          <w:tcPr>
            <w:tcW w:type="dxa" w:w="1300"/>
            <w:tcMar>
              <w:top w:type="dxa" w:w="80"/>
              <w:left w:type="dxa" w:w="100"/>
              <w:bottom w:type="dxa" w:w="80"/>
              <w:right w:type="dxa" w:w="100"/>
            </w:tcMar>
          </w:tcPr>
          <w:p>
            <w:r>
              <w:rPr>
                <w:b w:val="false"/>
                <w:bCs w:val="false"/>
                <w:color w:val="000000"/>
                <w:sz w:val="19"/>
                <w:szCs w:val="19"/>
              </w:rPr>
              <w:t xml:space="preserve">Global, rolling cohorts</w:t>
            </w:r>
          </w:p>
        </w:tc>
        <w:tc>
          <w:tcPr>
            <w:tcW w:type="dxa" w:w="2400"/>
            <w:tcMar>
              <w:top w:type="dxa" w:w="80"/>
              <w:left w:type="dxa" w:w="100"/>
              <w:bottom w:type="dxa" w:w="80"/>
              <w:right w:type="dxa" w:w="100"/>
            </w:tcMar>
          </w:tcPr>
          <w:p>
            <w:r>
              <w:rPr>
                <w:b w:val="false"/>
                <w:bCs w:val="false"/>
                <w:color w:val="000000"/>
                <w:sz w:val="19"/>
                <w:szCs w:val="19"/>
              </w:rPr>
              <w:t xml:space="preserve">Moderate -- 0% equity to join, but stronger for corporate BD access than as a funding source</w:t>
            </w:r>
          </w:p>
        </w:tc>
        <w:tc>
          <w:tcPr>
            <w:tcW w:type="dxa" w:w="1900"/>
            <w:tcMar>
              <w:top w:type="dxa" w:w="80"/>
              <w:left w:type="dxa" w:w="100"/>
              <w:bottom w:type="dxa" w:w="80"/>
              <w:right w:type="dxa" w:w="100"/>
            </w:tcMar>
          </w:tcPr>
          <w:p>
            <w:r>
              <w:rPr>
                <w:b w:val="false"/>
                <w:bCs w:val="false"/>
                <w:color w:val="000000"/>
                <w:sz w:val="19"/>
                <w:szCs w:val="19"/>
              </w:rPr>
              <w:t xml:space="preserve">No equity for the core program</w:t>
            </w:r>
          </w:p>
        </w:tc>
        <w:tc>
          <w:tcPr>
            <w:tcW w:type="dxa" w:w="2300"/>
            <w:tcMar>
              <w:top w:type="dxa" w:w="80"/>
              <w:left w:type="dxa" w:w="100"/>
              <w:bottom w:type="dxa" w:w="80"/>
              <w:right w:type="dxa" w:w="100"/>
            </w:tcMar>
          </w:tcPr>
          <w:p>
            <w:r>
              <w:rPr>
                <w:b w:val="false"/>
                <w:bCs w:val="false"/>
                <w:color w:val="000000"/>
                <w:sz w:val="19"/>
                <w:szCs w:val="19"/>
              </w:rPr>
              <w:t xml:space="preserve">Better suited once you want bank/enterprise partnerships, not as primary funding</w:t>
            </w:r>
          </w:p>
        </w:tc>
      </w:tr>
      <w:tr>
        <w:tc>
          <w:tcPr>
            <w:tcW w:type="dxa" w:w="1700"/>
            <w:shd w:fill="F2F2F2" w:color="auto" w:val="clear"/>
            <w:tcMar>
              <w:top w:type="dxa" w:w="80"/>
              <w:left w:type="dxa" w:w="100"/>
              <w:bottom w:type="dxa" w:w="80"/>
              <w:right w:type="dxa" w:w="100"/>
            </w:tcMar>
          </w:tcPr>
          <w:p>
            <w:r>
              <w:rPr>
                <w:b w:val="false"/>
                <w:bCs w:val="false"/>
                <w:color w:val="000000"/>
                <w:sz w:val="19"/>
                <w:szCs w:val="19"/>
              </w:rPr>
              <w:t xml:space="preserve">Founders Foundation</w:t>
            </w:r>
          </w:p>
        </w:tc>
        <w:tc>
          <w:tcPr>
            <w:tcW w:type="dxa" w:w="1300"/>
            <w:shd w:fill="F2F2F2" w:color="auto" w:val="clear"/>
            <w:tcMar>
              <w:top w:type="dxa" w:w="80"/>
              <w:left w:type="dxa" w:w="100"/>
              <w:bottom w:type="dxa" w:w="80"/>
              <w:right w:type="dxa" w:w="100"/>
            </w:tcMar>
          </w:tcPr>
          <w:p>
            <w:r>
              <w:rPr>
                <w:b w:val="false"/>
                <w:bCs w:val="false"/>
                <w:color w:val="000000"/>
                <w:sz w:val="19"/>
                <w:szCs w:val="19"/>
              </w:rPr>
              <w:t xml:space="preserve">Bielefeld, Germany</w:t>
            </w:r>
          </w:p>
        </w:tc>
        <w:tc>
          <w:tcPr>
            <w:tcW w:type="dxa" w:w="2400"/>
            <w:shd w:fill="F2F2F2" w:color="auto" w:val="clear"/>
            <w:tcMar>
              <w:top w:type="dxa" w:w="80"/>
              <w:left w:type="dxa" w:w="100"/>
              <w:bottom w:type="dxa" w:w="80"/>
              <w:right w:type="dxa" w:w="100"/>
            </w:tcMar>
          </w:tcPr>
          <w:p>
            <w:r>
              <w:rPr>
                <w:b w:val="false"/>
                <w:bCs w:val="false"/>
                <w:color w:val="000000"/>
                <w:sz w:val="19"/>
                <w:szCs w:val="19"/>
              </w:rPr>
              <w:t xml:space="preserve">Reasonable -- B2B tech focus, lower profile than the others</w:t>
            </w:r>
          </w:p>
        </w:tc>
        <w:tc>
          <w:tcPr>
            <w:tcW w:type="dxa" w:w="1900"/>
            <w:shd w:fill="F2F2F2" w:color="auto" w:val="clear"/>
            <w:tcMar>
              <w:top w:type="dxa" w:w="80"/>
              <w:left w:type="dxa" w:w="100"/>
              <w:bottom w:type="dxa" w:w="80"/>
              <w:right w:type="dxa" w:w="100"/>
            </w:tcMar>
          </w:tcPr>
          <w:p>
            <w:r>
              <w:rPr>
                <w:b w:val="false"/>
                <w:bCs w:val="false"/>
                <w:color w:val="000000"/>
                <w:sz w:val="19"/>
                <w:szCs w:val="19"/>
              </w:rPr>
              <w:t xml:space="preserve">Non-profit, Bertelsmann-backed</w:t>
            </w:r>
          </w:p>
        </w:tc>
        <w:tc>
          <w:tcPr>
            <w:tcW w:type="dxa" w:w="2300"/>
            <w:shd w:fill="F2F2F2" w:color="auto" w:val="clear"/>
            <w:tcMar>
              <w:top w:type="dxa" w:w="80"/>
              <w:left w:type="dxa" w:w="100"/>
              <w:bottom w:type="dxa" w:w="80"/>
              <w:right w:type="dxa" w:w="100"/>
            </w:tcMar>
          </w:tcPr>
          <w:p>
            <w:r>
              <w:rPr>
                <w:b w:val="false"/>
                <w:bCs w:val="false"/>
                <w:color w:val="000000"/>
                <w:sz w:val="19"/>
                <w:szCs w:val="19"/>
              </w:rPr>
              <w:t xml:space="preserve">German-based, avoids relocation, lower bar</w:t>
            </w:r>
          </w:p>
        </w:tc>
      </w:tr>
      <w:tr>
        <w:tc>
          <w:tcPr>
            <w:tcW w:type="dxa" w:w="1700"/>
            <w:tcMar>
              <w:top w:type="dxa" w:w="80"/>
              <w:left w:type="dxa" w:w="100"/>
              <w:bottom w:type="dxa" w:w="80"/>
              <w:right w:type="dxa" w:w="100"/>
            </w:tcMar>
          </w:tcPr>
          <w:p>
            <w:r>
              <w:rPr>
                <w:b w:val="false"/>
                <w:bCs w:val="false"/>
                <w:color w:val="000000"/>
                <w:sz w:val="19"/>
                <w:szCs w:val="19"/>
              </w:rPr>
              <w:t xml:space="preserve">Y Combinator</w:t>
            </w:r>
          </w:p>
        </w:tc>
        <w:tc>
          <w:tcPr>
            <w:tcW w:type="dxa" w:w="1300"/>
            <w:tcMar>
              <w:top w:type="dxa" w:w="80"/>
              <w:left w:type="dxa" w:w="100"/>
              <w:bottom w:type="dxa" w:w="80"/>
              <w:right w:type="dxa" w:w="100"/>
            </w:tcMar>
          </w:tcPr>
          <w:p>
            <w:r>
              <w:rPr>
                <w:b w:val="false"/>
                <w:bCs w:val="false"/>
                <w:color w:val="000000"/>
                <w:sz w:val="19"/>
                <w:szCs w:val="19"/>
              </w:rPr>
              <w:t xml:space="preserve">San Francisco (required relocation)</w:t>
            </w:r>
          </w:p>
        </w:tc>
        <w:tc>
          <w:tcPr>
            <w:tcW w:type="dxa" w:w="2400"/>
            <w:tcMar>
              <w:top w:type="dxa" w:w="80"/>
              <w:left w:type="dxa" w:w="100"/>
              <w:bottom w:type="dxa" w:w="80"/>
              <w:right w:type="dxa" w:w="100"/>
            </w:tcMar>
          </w:tcPr>
          <w:p>
            <w:r>
              <w:rPr>
                <w:b w:val="false"/>
                <w:bCs w:val="false"/>
                <w:color w:val="000000"/>
                <w:sz w:val="19"/>
                <w:szCs w:val="19"/>
              </w:rPr>
              <w:t xml:space="preserve">Possible but a long shot solo with zero revenue -- YC expects stronger traction to compensate for no co-founder</w:t>
            </w:r>
          </w:p>
        </w:tc>
        <w:tc>
          <w:tcPr>
            <w:tcW w:type="dxa" w:w="1900"/>
            <w:tcMar>
              <w:top w:type="dxa" w:w="80"/>
              <w:left w:type="dxa" w:w="100"/>
              <w:bottom w:type="dxa" w:w="80"/>
              <w:right w:type="dxa" w:w="100"/>
            </w:tcMar>
          </w:tcPr>
          <w:p>
            <w:r>
              <w:rPr>
                <w:b w:val="false"/>
                <w:bCs w:val="false"/>
                <w:color w:val="000000"/>
                <w:sz w:val="19"/>
                <w:szCs w:val="19"/>
              </w:rPr>
              <w:t xml:space="preserve">Standard YC deal</w:t>
            </w:r>
          </w:p>
        </w:tc>
        <w:tc>
          <w:tcPr>
            <w:tcW w:type="dxa" w:w="2300"/>
            <w:tcMar>
              <w:top w:type="dxa" w:w="80"/>
              <w:left w:type="dxa" w:w="100"/>
              <w:bottom w:type="dxa" w:w="80"/>
              <w:right w:type="dxa" w:w="100"/>
            </w:tcMar>
          </w:tcPr>
          <w:p>
            <w:r>
              <w:rPr>
                <w:b w:val="false"/>
                <w:bCs w:val="false"/>
                <w:color w:val="000000"/>
                <w:sz w:val="19"/>
                <w:szCs w:val="19"/>
              </w:rPr>
              <w:t xml:space="preserve">Requires physical relocation for the batch; visa risk is yours to manage</w:t>
            </w:r>
          </w:p>
        </w:tc>
      </w:tr>
    </w:tbl>
    <w:p>
      <w:pPr>
        <w:spacing w:after="160"/>
      </w:pPr>
    </w:p>
    <w:p>
      <w:pPr>
        <w:pBdr>
          <w:left w:val="single" w:color="1F4E79" w:sz="12" w:space="8"/>
        </w:pBdr>
        <w:spacing w:after="200" w:before="80"/>
        <w:ind w:left="200"/>
      </w:pPr>
      <w:r>
        <w:rPr>
          <w:i/>
          <w:iCs/>
          <w:color w:val="555555"/>
        </w:rPr>
        <w:t xml:space="preserve">Given zero paying customers today, your realistic near-term move is Antler (Berlin, genuinely built for your stage) or Founders Foundation (lower bar, no relocation). Treat Techstars, APX/HEARTFELT_, and Entrepreneur First as targets to prepare for once you have even early-access usage numbers to point to -- a waitlist, active trial users, anything showing real demand.</w:t>
      </w:r>
    </w:p>
    <w:p>
      <w:pPr>
        <w:spacing w:after="120"/>
      </w:pPr>
    </w:p>
    <w:p>
      <w:pPr>
        <w:pStyle w:val="Heading1"/>
        <w:spacing w:after="160" w:before="360"/>
      </w:pPr>
      <w:r>
        <w:t xml:space="preserve">8. Angel Investment &amp; Seed VCs</w:t>
      </w:r>
    </w:p>
    <w:p>
      <w:pPr>
        <w:pStyle w:val="Heading2"/>
        <w:spacing w:after="120" w:before="280"/>
      </w:pPr>
      <w:r>
        <w:t xml:space="preserve">Equity crowdfunding platforms</w:t>
      </w:r>
    </w:p>
    <w:p>
      <w:pPr>
        <w:spacing w:after="160" w:line="300"/>
      </w:pPr>
      <w:r>
        <w:t xml:space="preserve">AngelList, Republic, and Wefunder all require the issuing company to be incorporated in the US (Delaware C-Corp, LLC, or similar) -- not usable in your current pre-incorporation state, and not usable at all without a US entity specifically, regardless of your personal nationality or location. If you incorporate in the EU instead, SeedBlink is a pan-European equivalent worth a look.</w:t>
      </w:r>
    </w:p>
    <w:p>
      <w:pPr>
        <w:pStyle w:val="Heading2"/>
        <w:spacing w:after="120" w:before="280"/>
      </w:pPr>
      <w:r>
        <w:t xml:space="preserve">Seed-stage VCs</w:t>
      </w:r>
    </w:p>
    <w:p>
      <w:pPr>
        <w:pStyle w:val="ListParagraph"/>
        <w:numPr>
          <w:ilvl w:val="0"/>
          <w:numId w:val="2"/>
        </w:numPr>
        <w:spacing w:after="100" w:line="280"/>
      </w:pPr>
      <w:r>
        <w:rPr>
          <w:b/>
          <w:bCs/>
        </w:rPr>
        <w:t xml:space="preserve">High-Tech Gründerfonds (HTGF): </w:t>
      </w:r>
      <w:r>
        <w:t xml:space="preserve">Germany's most active first-institutional-check investor for deep tech -- but typical checks start around €800K, which implies they want some team or traction signal even at pre-seed. Realistic as a next step after you have early usage data or grant funding, not a day-one target.</w:t>
      </w:r>
    </w:p>
    <w:p>
      <w:pPr>
        <w:pStyle w:val="ListParagraph"/>
        <w:numPr>
          <w:ilvl w:val="0"/>
          <w:numId w:val="2"/>
        </w:numPr>
        <w:spacing w:after="100" w:line="280"/>
      </w:pPr>
      <w:r>
        <w:rPr>
          <w:b/>
          <w:bCs/>
        </w:rPr>
        <w:t xml:space="preserve">Cherry Ventures: </w:t>
      </w:r>
      <w:r>
        <w:t xml:space="preserve">€1–5M pre-seed/seed checks, known for moving fast and evaluating founder-market fit -- backs founders across Europe regardless of nationality. Again, a check this size is more realistic once you can show real usage, even pre-revenue engagement numbers.</w:t>
      </w:r>
    </w:p>
    <w:p>
      <w:pPr>
        <w:pStyle w:val="ListParagraph"/>
        <w:numPr>
          <w:ilvl w:val="0"/>
          <w:numId w:val="2"/>
        </w:numPr>
        <w:spacing w:after="100" w:line="280"/>
      </w:pPr>
      <w:r>
        <w:rPr>
          <w:b/>
          <w:bCs/>
        </w:rPr>
        <w:t xml:space="preserve">Point Nine, Speedinvest, La Famiglia: </w:t>
      </w:r>
      <w:r>
        <w:t xml:space="preserve">all plausible fits (early SaaS and DACH/European fintech focus respectively) but their specific policy on solo, pre-revenue founders wasn't confirmed in this research -- worth a direct, cold outreach once you have a product story to tell, rather than assuming eligibility.</w:t>
      </w:r>
    </w:p>
    <w:p>
      <w:pPr>
        <w:pBdr>
          <w:left w:val="single" w:color="1F4E79" w:sz="12" w:space="8"/>
        </w:pBdr>
        <w:spacing w:after="200" w:before="80"/>
        <w:ind w:left="200"/>
      </w:pPr>
      <w:r>
        <w:rPr>
          <w:i/>
          <w:iCs/>
          <w:color w:val="555555"/>
        </w:rPr>
        <w:t xml:space="preserve">The realistic sequence: grants and credits now, an accelerator once you have any usage signal, angel/seed VC once you have real traction. Trying to skip straight to a €1M+ VC check pre-revenue, solo, pre-incorporation is not where these funds actually spend their time, even though the checks exist.</w:t>
      </w:r>
    </w:p>
    <w:p>
      <w:pPr>
        <w:spacing w:after="120"/>
      </w:pPr>
    </w:p>
    <w:p>
      <w:pPr>
        <w:pStyle w:val="Heading1"/>
        <w:spacing w:after="160" w:before="360"/>
      </w:pPr>
      <w:r>
        <w:t xml:space="preserve">9. Recommended Roadmap</w:t>
      </w:r>
    </w:p>
    <w:p>
      <w:pPr>
        <w:pStyle w:val="Heading2"/>
        <w:spacing w:after="120" w:before="280"/>
      </w:pPr>
      <w:r>
        <w:t xml:space="preserve">Phase 0 -- Now, before anything else (no legal or immigration risk)</w:t>
      </w:r>
    </w:p>
    <w:p>
      <w:pPr>
        <w:pStyle w:val="ListParagraph"/>
        <w:numPr>
          <w:ilvl w:val="0"/>
          <w:numId w:val="2"/>
        </w:numPr>
        <w:spacing w:after="100" w:line="280"/>
      </w:pPr>
      <w:r>
        <w:t xml:space="preserve">Book a paid consultation with a Fachanwalt für Migrationsrecht (German immigration lawyer) to confirm how your specific situation -- live product, no salary yet, solo -- will actually be treated, and what your fastest safe path is.</w:t>
      </w:r>
    </w:p>
    <w:p>
      <w:pPr>
        <w:pStyle w:val="ListParagraph"/>
        <w:numPr>
          <w:ilvl w:val="0"/>
          <w:numId w:val="2"/>
        </w:numPr>
        <w:spacing w:after="100" w:line="280"/>
      </w:pPr>
      <w:r>
        <w:t xml:space="preserve">Contact your university's Gründungsservice to check EXIST-Gründerstipendium eligibility (have you completed 50%+ of your degree?).</w:t>
      </w:r>
    </w:p>
    <w:p>
      <w:pPr>
        <w:pStyle w:val="ListParagraph"/>
        <w:numPr>
          <w:ilvl w:val="0"/>
          <w:numId w:val="2"/>
        </w:numPr>
        <w:spacing w:after="100" w:line="280"/>
      </w:pPr>
      <w:r>
        <w:t xml:space="preserve">Apply to Microsoft for Startups Founders Hub and AWS Activate (Founders tier) -- no entity, no visa exposure, just infrastructure credits.</w:t>
      </w:r>
    </w:p>
    <w:p>
      <w:pPr>
        <w:pStyle w:val="Heading2"/>
        <w:spacing w:after="120" w:before="280"/>
      </w:pPr>
      <w:r>
        <w:t xml:space="preserve">Phase 1 -- Secure funding and immigration status together</w:t>
      </w:r>
    </w:p>
    <w:p>
      <w:pPr>
        <w:pStyle w:val="ListParagraph"/>
        <w:numPr>
          <w:ilvl w:val="0"/>
          <w:numId w:val="2"/>
        </w:numPr>
        <w:spacing w:after="100" w:line="280"/>
      </w:pPr>
      <w:r>
        <w:t xml:space="preserve">If EXIST-eligible: apply. This is your highest-leverage single move -- a year of stipend, a coaching budget, and a legal path to found the company (§21(2b) AufenthG).</w:t>
      </w:r>
    </w:p>
    <w:p>
      <w:pPr>
        <w:pStyle w:val="ListParagraph"/>
        <w:numPr>
          <w:ilvl w:val="0"/>
          <w:numId w:val="2"/>
        </w:numPr>
        <w:spacing w:after="100" w:line="280"/>
      </w:pPr>
      <w:r>
        <w:t xml:space="preserve">If not yet EXIST-eligible (e.g. under 50% through your degree), apply for §21(6) self-employment permission directly through your local Ausländerbehörde in the meantime, per your lawyer's guidance.</w:t>
      </w:r>
    </w:p>
    <w:p>
      <w:pPr>
        <w:pStyle w:val="Heading2"/>
        <w:spacing w:after="120" w:before="280"/>
      </w:pPr>
      <w:r>
        <w:t xml:space="preserve">Phase 2 -- Incorporate</w:t>
      </w:r>
    </w:p>
    <w:p>
      <w:pPr>
        <w:pStyle w:val="ListParagraph"/>
        <w:numPr>
          <w:ilvl w:val="0"/>
          <w:numId w:val="2"/>
        </w:numPr>
        <w:spacing w:after="100" w:line="280"/>
      </w:pPr>
      <w:r>
        <w:t xml:space="preserve">If EXIST is your path: likely a German UG, since the grant's immigration pathway is built around founding a business in Germany.</w:t>
      </w:r>
    </w:p>
    <w:p>
      <w:pPr>
        <w:pStyle w:val="ListParagraph"/>
        <w:numPr>
          <w:ilvl w:val="0"/>
          <w:numId w:val="2"/>
        </w:numPr>
        <w:spacing w:after="100" w:line="280"/>
      </w:pPr>
      <w:r>
        <w:t xml:space="preserve">If you're aiming at international VC money and plan to relocate later: Delaware C-Corp (Stripe Atlas) or UK Ltd, keeping in mind entity choice doesn't substitute for the immigration approval from Phase 1 -- you still need that regardless of where the company is registered.</w:t>
      </w:r>
    </w:p>
    <w:p>
      <w:pPr>
        <w:pStyle w:val="Heading2"/>
        <w:spacing w:after="120" w:before="280"/>
      </w:pPr>
      <w:r>
        <w:t xml:space="preserve">Phase 3 -- Regulatory check, before any EU-facing push</w:t>
      </w:r>
    </w:p>
    <w:p>
      <w:pPr>
        <w:pStyle w:val="ListParagraph"/>
        <w:numPr>
          <w:ilvl w:val="0"/>
          <w:numId w:val="2"/>
        </w:numPr>
        <w:spacing w:after="100" w:line="280"/>
      </w:pPr>
      <w:r>
        <w:t xml:space="preserve">Submit an informal inquiry to BaFin's FinTech Innovation Hub describing your exact signal/execution architecture before marketing into Germany or the EU, or before personalizing signals to individual users.</w:t>
      </w:r>
    </w:p>
    <w:p>
      <w:pPr>
        <w:pStyle w:val="Heading2"/>
        <w:spacing w:after="120" w:before="280"/>
      </w:pPr>
      <w:r>
        <w:t xml:space="preserve">Phase 4 -- Build traction, then apply to accelerators/bigger programs</w:t>
      </w:r>
    </w:p>
    <w:p>
      <w:pPr>
        <w:pStyle w:val="ListParagraph"/>
        <w:numPr>
          <w:ilvl w:val="0"/>
          <w:numId w:val="2"/>
        </w:numPr>
        <w:spacing w:after="100" w:line="280"/>
      </w:pPr>
      <w:r>
        <w:t xml:space="preserve">Get real early-access usage -- even a genuine waitlist and active trial users is enough signal to strengthen every application below.</w:t>
      </w:r>
    </w:p>
    <w:p>
      <w:pPr>
        <w:pStyle w:val="ListParagraph"/>
        <w:numPr>
          <w:ilvl w:val="0"/>
          <w:numId w:val="2"/>
        </w:numPr>
        <w:spacing w:after="100" w:line="280"/>
      </w:pPr>
      <w:r>
        <w:t xml:space="preserve">Apply to Antler (Berlin) and Founders Foundation as your primary near-term accelerator targets; prepare Techstars Berlin, APX/HEARTFELT_, and Entrepreneur First for once you have traction to show.</w:t>
      </w:r>
    </w:p>
    <w:p>
      <w:pPr>
        <w:pStyle w:val="ListParagraph"/>
        <w:numPr>
          <w:ilvl w:val="0"/>
          <w:numId w:val="2"/>
        </w:numPr>
        <w:spacing w:after="100" w:line="280"/>
      </w:pPr>
      <w:r>
        <w:t xml:space="preserve">Apply to NVIDIA Inception once incorporated.</w:t>
      </w:r>
    </w:p>
    <w:p>
      <w:pPr>
        <w:pStyle w:val="Heading2"/>
        <w:spacing w:after="120" w:before="280"/>
      </w:pPr>
      <w:r>
        <w:t xml:space="preserve">Phase 5 -- Seed funding</w:t>
      </w:r>
    </w:p>
    <w:p>
      <w:pPr>
        <w:pStyle w:val="ListParagraph"/>
        <w:numPr>
          <w:ilvl w:val="0"/>
          <w:numId w:val="2"/>
        </w:numPr>
        <w:spacing w:after="100" w:line="280"/>
      </w:pPr>
      <w:r>
        <w:t xml:space="preserve">Approach HTGF and Cherry Ventures once you have usage data to show, not before.</w:t>
      </w:r>
    </w:p>
    <w:p>
      <w:pPr>
        <w:pStyle w:val="ListParagraph"/>
        <w:numPr>
          <w:ilvl w:val="0"/>
          <w:numId w:val="2"/>
        </w:numPr>
        <w:spacing w:after="100" w:line="280"/>
      </w:pPr>
      <w:r>
        <w:t xml:space="preserve">Revisit equity crowdfunding (AngelList/Republic/Wefunder if US-incorporated, SeedBlink if EU-incorporated) once you have a real fundraising story.</w:t>
      </w:r>
    </w:p>
    <w:p>
      <w:pPr>
        <w:spacing w:after="120"/>
      </w:pPr>
    </w:p>
    <w:p>
      <w:pPr>
        <w:pStyle w:val="Heading1"/>
        <w:spacing w:after="160" w:before="360"/>
      </w:pPr>
      <w:r>
        <w:t xml:space="preserve">10. Important Caveats</w:t>
      </w:r>
    </w:p>
    <w:p>
      <w:pPr>
        <w:spacing w:after="160" w:line="300"/>
      </w:pPr>
      <w:r>
        <w:t xml:space="preserve">This report is based on web research current as of August 2026 and is intended to help you plan and ask better questions -- it is not legal, immigration, financial, or tax advice, and program terms, eligibility rules, and visa regulations change frequently. Before taking any action with real consequences -- especially anything touching your German residence status -- confirm directly with a qualified immigration lawyer, your local Ausländerbehörde, or the program in question. A few specific items flagged during research as needing direct verification before you rely on them: APX's current application channel (mid-transition to the "HEARTFELT_" brand at time of writing), the current cycle status of any fintech-specific Techstars program, and Point Nine / Speedinvest / La Famiglia's actual policy on solo pre-revenue founders.</w:t>
      </w:r>
    </w:p>
    <w:p>
      <w:pPr>
        <w:pStyle w:val="Heading2"/>
        <w:spacing w:after="120" w:before="280"/>
      </w:pPr>
      <w:r>
        <w:t xml:space="preserve">Primary sources consulted</w:t>
      </w:r>
    </w:p>
    <w:p>
      <w:pPr>
        <w:pStyle w:val="ListParagraph"/>
        <w:numPr>
          <w:ilvl w:val="0"/>
          <w:numId w:val="2"/>
        </w:numPr>
        <w:spacing w:after="100" w:line="280"/>
      </w:pPr>
      <w:r>
        <w:t xml:space="preserve">gov.uk -- Innovator Founder visa eligibility</w:t>
      </w:r>
    </w:p>
    <w:p>
      <w:pPr>
        <w:pStyle w:val="ListParagraph"/>
        <w:numPr>
          <w:ilvl w:val="0"/>
          <w:numId w:val="2"/>
        </w:numPr>
        <w:spacing w:after="100" w:line="280"/>
      </w:pPr>
      <w:r>
        <w:t xml:space="preserve">gov.uk -- endorsing bodies list for Innovator Founder / Scale-up visas</w:t>
      </w:r>
    </w:p>
    <w:p>
      <w:pPr>
        <w:pStyle w:val="ListParagraph"/>
        <w:numPr>
          <w:ilvl w:val="0"/>
          <w:numId w:val="2"/>
        </w:numPr>
        <w:spacing w:after="100" w:line="280"/>
      </w:pPr>
      <w:r>
        <w:t xml:space="preserve">exist.de -- EXIST-Gründerstipendium official program page</w:t>
      </w:r>
    </w:p>
    <w:p>
      <w:pPr>
        <w:pStyle w:val="ListParagraph"/>
        <w:numPr>
          <w:ilvl w:val="0"/>
          <w:numId w:val="2"/>
        </w:numPr>
        <w:spacing w:after="100" w:line="280"/>
      </w:pPr>
      <w:r>
        <w:t xml:space="preserve">existenzgruendungsportal.de -- EXIST eligibility for non-EU citizens</w:t>
      </w:r>
    </w:p>
    <w:p>
      <w:pPr>
        <w:pStyle w:val="ListParagraph"/>
        <w:numPr>
          <w:ilvl w:val="0"/>
          <w:numId w:val="2"/>
        </w:numPr>
        <w:spacing w:after="100" w:line="280"/>
      </w:pPr>
      <w:r>
        <w:t xml:space="preserve">IHK Berlin -- residence permits for founder grants (§21(2b) AufenthG)</w:t>
      </w:r>
    </w:p>
    <w:p>
      <w:pPr>
        <w:pStyle w:val="ListParagraph"/>
        <w:numPr>
          <w:ilvl w:val="0"/>
          <w:numId w:val="2"/>
        </w:numPr>
        <w:spacing w:after="100" w:line="280"/>
      </w:pPr>
      <w:r>
        <w:t xml:space="preserve">NVIDIA -- Inception Program for Startups (official)</w:t>
      </w:r>
    </w:p>
    <w:p>
      <w:pPr>
        <w:pStyle w:val="ListParagraph"/>
        <w:numPr>
          <w:ilvl w:val="0"/>
          <w:numId w:val="2"/>
        </w:numPr>
        <w:spacing w:after="100" w:line="280"/>
      </w:pPr>
      <w:r>
        <w:t xml:space="preserve">Google Cloud -- AI startup program and startup benefits (official)</w:t>
      </w:r>
    </w:p>
    <w:p>
      <w:pPr>
        <w:pStyle w:val="ListParagraph"/>
        <w:numPr>
          <w:ilvl w:val="0"/>
          <w:numId w:val="2"/>
        </w:numPr>
        <w:spacing w:after="100" w:line="280"/>
      </w:pPr>
      <w:r>
        <w:t xml:space="preserve">Techstars Berlin (official program page)</w:t>
      </w:r>
    </w:p>
    <w:p>
      <w:pPr>
        <w:pStyle w:val="ListParagraph"/>
        <w:numPr>
          <w:ilvl w:val="0"/>
          <w:numId w:val="2"/>
        </w:numPr>
        <w:spacing w:after="100" w:line="280"/>
      </w:pPr>
      <w:r>
        <w:t xml:space="preserve">Antler -- official program overview</w:t>
      </w:r>
    </w:p>
    <w:p>
      <w:pPr>
        <w:pStyle w:val="ListParagraph"/>
        <w:numPr>
          <w:ilvl w:val="0"/>
          <w:numId w:val="2"/>
        </w:numPr>
        <w:spacing w:after="100" w:line="280"/>
      </w:pPr>
      <w:r>
        <w:t xml:space="preserve">Entrepreneur First -- 2026 application guide</w:t>
      </w:r>
    </w:p>
    <w:p>
      <w:pPr>
        <w:pStyle w:val="ListParagraph"/>
        <w:numPr>
          <w:ilvl w:val="0"/>
          <w:numId w:val="2"/>
        </w:numPr>
        <w:spacing w:after="100" w:line="280"/>
      </w:pPr>
      <w:r>
        <w:t xml:space="preserve">APX.vc and Porsche Newsroom coverage of APX</w:t>
      </w:r>
    </w:p>
    <w:p>
      <w:pPr>
        <w:pStyle w:val="ListParagraph"/>
        <w:numPr>
          <w:ilvl w:val="0"/>
          <w:numId w:val="2"/>
        </w:numPr>
        <w:spacing w:after="100" w:line="280"/>
      </w:pPr>
      <w:r>
        <w:t xml:space="preserve">Founders Foundation (Bielefeld) -- official site</w:t>
      </w:r>
    </w:p>
    <w:p>
      <w:pPr>
        <w:pStyle w:val="ListParagraph"/>
        <w:numPr>
          <w:ilvl w:val="0"/>
          <w:numId w:val="2"/>
        </w:numPr>
        <w:spacing w:after="100" w:line="280"/>
      </w:pPr>
      <w:r>
        <w:t xml:space="preserve">High-Tech Gründerfonds -- official venture capital investor page</w:t>
      </w:r>
    </w:p>
    <w:p>
      <w:pPr>
        <w:pStyle w:val="ListParagraph"/>
        <w:numPr>
          <w:ilvl w:val="0"/>
          <w:numId w:val="2"/>
        </w:numPr>
        <w:spacing w:after="100" w:line="280"/>
      </w:pPr>
      <w:r>
        <w:t xml:space="preserve">Cherry Ventures -- official site</w:t>
      </w:r>
    </w:p>
    <w:p>
      <w:pPr>
        <w:pStyle w:val="ListParagraph"/>
        <w:numPr>
          <w:ilvl w:val="0"/>
          <w:numId w:val="2"/>
        </w:numPr>
        <w:spacing w:after="100" w:line="280"/>
      </w:pPr>
      <w:r>
        <w:t xml:space="preserve">BaFin -- "Automated and signal-based advice and trading systems" (official, English)</w:t>
      </w:r>
    </w:p>
    <w:p>
      <w:pPr>
        <w:pStyle w:val="ListParagraph"/>
        <w:numPr>
          <w:ilvl w:val="0"/>
          <w:numId w:val="2"/>
        </w:numPr>
        <w:spacing w:after="100" w:line="280"/>
      </w:pPr>
      <w:r>
        <w:t xml:space="preserve">BaFin -- FinTech Innovation Hub</w:t>
      </w:r>
    </w:p>
    <w:p>
      <w:pPr>
        <w:pStyle w:val="ListParagraph"/>
        <w:numPr>
          <w:ilvl w:val="0"/>
          <w:numId w:val="2"/>
        </w:numPr>
        <w:spacing w:after="100" w:line="280"/>
      </w:pPr>
      <w:r>
        <w:t xml:space="preserve">ESMA/ESAs -- joint report on innovation facilitators (EFIF)</w:t>
      </w:r>
    </w:p>
    <w:p>
      <w:pPr>
        <w:pStyle w:val="ListParagraph"/>
        <w:numPr>
          <w:ilvl w:val="0"/>
          <w:numId w:val="2"/>
        </w:numPr>
        <w:spacing w:after="100" w:line="280"/>
      </w:pPr>
      <w:r>
        <w:t xml:space="preserve">FIN LAW -- legal analysis of trading signals and BaFin registration duties</w:t>
      </w:r>
    </w:p>
    <w:p>
      <w:pPr>
        <w:pStyle w:val="ListParagraph"/>
        <w:numPr>
          <w:ilvl w:val="0"/>
          <w:numId w:val="2"/>
        </w:numPr>
        <w:spacing w:after="100" w:line="280"/>
      </w:pPr>
      <w:r>
        <w:t xml:space="preserve">Stripe Atlas -- Delaware incorporation costs and process</w:t>
      </w:r>
    </w:p>
    <w:p>
      <w:pPr>
        <w:pStyle w:val="ListParagraph"/>
        <w:numPr>
          <w:ilvl w:val="0"/>
          <w:numId w:val="2"/>
        </w:numPr>
        <w:spacing w:after="100" w:line="280"/>
      </w:pPr>
      <w:r>
        <w:t xml:space="preserve">Terms.law -- Delaware C-Corporations for non-U.S. residents</w:t>
      </w:r>
    </w:p>
    <w:p>
      <w:pPr>
        <w:pStyle w:val="ListParagraph"/>
        <w:numPr>
          <w:ilvl w:val="0"/>
          <w:numId w:val="2"/>
        </w:numPr>
        <w:spacing w:after="100" w:line="280"/>
      </w:pPr>
      <w:r>
        <w:t xml:space="preserve">Norman Finance -- UG formation and UG vs. GmbH comparison (Germany)</w:t>
      </w:r>
    </w:p>
    <w:p>
      <w:pPr>
        <w:pStyle w:val="ListParagraph"/>
        <w:numPr>
          <w:ilvl w:val="0"/>
          <w:numId w:val="2"/>
        </w:numPr>
        <w:spacing w:after="100" w:line="280"/>
      </w:pPr>
      <w:r>
        <w:t xml:space="preserve">Qonto -- GmbH formation guide</w:t>
      </w:r>
    </w:p>
    <w:p>
      <w:pPr>
        <w:pStyle w:val="ListParagraph"/>
        <w:numPr>
          <w:ilvl w:val="0"/>
          <w:numId w:val="2"/>
        </w:numPr>
        <w:spacing w:after="100" w:line="280"/>
      </w:pPr>
      <w:r>
        <w:t xml:space="preserve">Tax Ravens / Wamo -- Estonia e-Residency and OÜ company tax</w:t>
      </w:r>
    </w:p>
    <w:p>
      <w:pPr>
        <w:pStyle w:val="ListParagraph"/>
        <w:numPr>
          <w:ilvl w:val="0"/>
          <w:numId w:val="2"/>
        </w:numPr>
        <w:spacing w:after="100" w:line="280"/>
      </w:pPr>
      <w:r>
        <w:t xml:space="preserve">gesetze-im-internet.de -- §21 AufenthG (official statute text)</w:t>
      </w:r>
    </w:p>
    <w:p>
      <w:pPr>
        <w:pStyle w:val="ListParagraph"/>
        <w:numPr>
          <w:ilvl w:val="0"/>
          <w:numId w:val="2"/>
        </w:numPr>
        <w:spacing w:after="100" w:line="280"/>
      </w:pPr>
      <w:r>
        <w:t xml:space="preserve">JuraForum -- §16b AufenthG</w:t>
      </w:r>
    </w:p>
    <w:p>
      <w:pPr>
        <w:pStyle w:val="ListParagraph"/>
        <w:numPr>
          <w:ilvl w:val="0"/>
          <w:numId w:val="2"/>
        </w:numPr>
        <w:spacing w:after="100" w:line="280"/>
      </w:pPr>
      <w:r>
        <w:t xml:space="preserve">Jobbatical / VisaGuard Berlin -- the 140/280-day student work-day rule</w:t>
      </w:r>
    </w:p>
    <w:p>
      <w:pPr>
        <w:pStyle w:val="ListParagraph"/>
        <w:numPr>
          <w:ilvl w:val="0"/>
          <w:numId w:val="2"/>
        </w:numPr>
        <w:spacing w:after="100" w:line="280"/>
      </w:pPr>
      <w:r>
        <w:t xml:space="preserve">Existenzgründungsportal (BMWK) -- self-employment for foreign students during studies</w:t>
      </w:r>
    </w:p>
    <w:p>
      <w:pPr>
        <w:pStyle w:val="ListParagraph"/>
        <w:numPr>
          <w:ilvl w:val="0"/>
          <w:numId w:val="2"/>
        </w:numPr>
        <w:spacing w:after="100" w:line="280"/>
      </w:pPr>
      <w:r>
        <w:t xml:space="preserve">Ausländerbehörde Frankfurt -- self-employment as a secondary activity guidance</w:t>
      </w:r>
    </w:p>
    <w:p>
      <w:pPr>
        <w:pStyle w:val="ListParagraph"/>
        <w:numPr>
          <w:ilvl w:val="0"/>
          <w:numId w:val="2"/>
        </w:numPr>
        <w:spacing w:after="100" w:line="280"/>
      </w:pPr>
      <w:r>
        <w:t xml:space="preserve">Verwaltungsportal Bund -- 18-month post-study job-seeker residence permit</w:t>
      </w:r>
    </w:p>
    <w:p>
      <w:pPr>
        <w:pStyle w:val="ListParagraph"/>
        <w:numPr>
          <w:ilvl w:val="0"/>
          <w:numId w:val="2"/>
        </w:numPr>
        <w:spacing w:after="100" w:line="280"/>
      </w:pPr>
      <w:r>
        <w:t xml:space="preserve">BAMF -- self-employment and freelancing guidance for foreign nationals</w:t>
      </w:r>
    </w:p>
    <w:sectPr>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2026-08-29T10:26:31.324Z</dcterms:created>
  <dcterms:modified xsi:type="dcterms:W3CDTF">2026-08-29T10:26:31.325Z</dcterms:modified>
</cp:coreProperties>
</file>

<file path=docProps/custom.xml><?xml version="1.0" encoding="utf-8"?>
<Properties xmlns="http://schemas.openxmlformats.org/officeDocument/2006/custom-properties" xmlns:vt="http://schemas.openxmlformats.org/officeDocument/2006/docPropsVTypes"/>
</file>