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r>
        <w:br w:type="page"/>
      </w:r>
    </w:p>
    <w:p>
      <w:pPr>
        <w:pStyle w:val="CaptionedFigure"/>
      </w:pPr>
      <w:r>
        <w:drawing>
          <wp:inline>
            <wp:extent cx="5943600" cy="4754880"/>
            <wp:effectExtent b="0" l="0" r="0" t="0"/>
            <wp:docPr descr="Figure 8. Release mortality rates for 16 commercial fisheries management unit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for 16 commercial fisheries management units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for 16 commercial fisheries management units 1977-2024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for 16 commercial fisheries management units 1977-2024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for 16 commercial fisheries management units 1977-2024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for 16 commercial fisheries management units 1977-2024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cial fishing managment units, 1977-2024.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commercial fishing managment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cial fishing manamgent units, 1977-2024.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commercial fishing manamgent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for 16 commercial fisheries management unit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for 16 commercial fisheries management units.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6.-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7.- Annual proportion of other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8.-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9.-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20.-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w:t>
      </w:r>
    </w:p>
    <w:p>
      <w:r>
        <w:br w:type="page"/>
      </w:r>
    </w:p>
    <w:p>
      <w:pPr>
        <w:pStyle w:val="CaptionedFigure"/>
      </w:pPr>
      <w:r>
        <w:drawing>
          <wp:inline>
            <wp:extent cx="5943600" cy="5943600"/>
            <wp:effectExtent b="0" l="0" r="0" t="0"/>
            <wp:docPr descr="Figure 21.-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w:t>
      </w:r>
    </w:p>
    <w:p>
      <w:r>
        <w:br w:type="page"/>
      </w:r>
    </w:p>
    <w:p>
      <w:pPr>
        <w:pStyle w:val="CaptionedFigure"/>
      </w:pPr>
      <w:r>
        <w:drawing>
          <wp:inline>
            <wp:extent cx="5943600" cy="2971800"/>
            <wp:effectExtent b="0" l="0" r="0" t="0"/>
            <wp:docPr descr="Figure 23.-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CaptionedFigure"/>
      </w:pPr>
      <w:r>
        <w:drawing>
          <wp:inline>
            <wp:extent cx="5943600" cy="2971800"/>
            <wp:effectExtent b="0" l="0" r="0" t="0"/>
            <wp:docPr descr="Figure 24.-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roportion of total sport fish harvest taken by charter anglers for 16 commercial fishing management units, 1977-2024 as observed in the SWHS and estimated in the model."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proportion of total sport fish harvest taken by charter anglers for 16 commercial fishing management units, 1977-2024 as observed in the SWHS and estimated in the model.</w:t>
      </w:r>
    </w:p>
    <w:p>
      <w:r>
        <w:br w:type="page"/>
      </w:r>
    </w:p>
    <w:p>
      <w:pPr>
        <w:pStyle w:val="CaptionedFigure"/>
      </w:pPr>
      <w:r>
        <w:drawing>
          <wp:inline>
            <wp:extent cx="5943600" cy="4754880"/>
            <wp:effectExtent b="0" l="0" r="0" t="0"/>
            <wp:docPr descr="Figure 26.- Total rockfish harvests for 16 commercial fisheries management units 1977-2024. Lines and error polygons represent model estimates and 95% credibility intervals, respectively, and points represent Howard et al. (2020)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7.- Black rockfish harvests for 16 commercial fisheries management units 1977-2024. Lines and error polygons represent model estimates and 95% credibility intervals, respectively, and points represent Howard et al. (2020)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8.- Yellow rockfish harvests for 16 commercial fisheries management units 1977-2024. Lines and error polygons represent model estimates and 95% credibility intervals, respectively, and points represent Howard et al. (2020)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29.- Non-yelloweye DSR rockfish harvests for 6 Southeast Alaska commercial fisheries management units in Southeast Alaska 1977–2024. Lines and error polygons represent model estimates and 95% credibility intervals, respectively, and points represent Howard et al. (2020)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Non-yelloweye DSR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0.- Slope rockfish harvests for 6 Southeast Alaska commercial fisheries management units in Southeast Alaska 1977–2024. Lines and error polygons represent model estimates and 95% credibility intervals, respectively, and points represent Howard et al. (2020)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4754880"/>
            <wp:effectExtent b="0" l="0" r="0" t="0"/>
            <wp:docPr descr="Figure 31.- Total rockfish releases for 16 commercial fisheries management units 1977–2024. Lines and error polygons represent model estimates and 95% credibility intervals, respectively, and points represent Howard et al. (2020)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2.- Black rockfish releases for 16 commercial fisheries management units 1977–2024. Lines and error polygons represent model estimates and 95% credibility intervals, respectively, and points represent Howard et al. (2020)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3.- Yellow rockfish releases for 16 commercial fisheries management units 1977–2024. Lines and error polygons represent model estimates and 95% credibility intervals, respectively, and points represent Howard et al. (2020)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4.- Non-yelloweye DSR rockfish releases for 6 Southeast Alaska commercial fisheries management units 1977–2024. Lines and error polygons represent model estimates and 95% credibility intervals, respectively, and points represent Howard et al. (2020)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Non-yelloweye DSR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5.- Slope rockfish releases for 6 Southeast Alaska commercial fisheries management units 1977–2024. Lines and error polygons represent model estimates and 95% credibility intervals, respectively, and points represent Howard et al. (2020)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6.- Total removals of black rockfish by guided and unguided anglers in 16 Alaska commercial fishery management units as dervided from harvests and release mortalities 1977-2024. The grey polygon in the backround represents 95% credibility intervals of the total removal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anglers in 16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5943600"/>
            <wp:effectExtent b="0" l="0" r="0" t="0"/>
            <wp:docPr descr="Figure 37.- Total removals of yelloweye rockfish by guided and unguided anglers in Alaska commercial fishery management units as dervided from harvests and release mortalities 1977-2024. The grey polygon in the backround represents 95% credibility intervals of the total removal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anglers in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8.-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9.-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40.- Total removals of slope rockfish by guided and unguided anglers in Southeast Alaska commercial fishery management units as dervided from harvests and release mortalities 1977-2024. The grey polygon in the backround represents 95% credibility intervals of the total removal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2026-04-27T17:59:47Z</dcterms:created>
  <dcterms:modified xsi:type="dcterms:W3CDTF">2026-04-27T17:59:47Z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