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EB9AFC" w14:textId="77777777" w:rsidR="0087299B" w:rsidRDefault="00000000">
      <w:pPr>
        <w:pStyle w:val="Heading1"/>
      </w:pPr>
      <w:bookmarkStart w:id="0" w:name="tables"/>
      <w:r>
        <w:t>Tables</w:t>
      </w:r>
    </w:p>
    <w:p w14:paraId="0BA55EB0" w14:textId="77777777" w:rsidR="0087299B" w:rsidRDefault="00000000">
      <w:pPr>
        <w:pStyle w:val="FirstParagraph"/>
      </w:pPr>
      <w:r>
        <w:rPr>
          <w:b/>
          <w:bCs/>
        </w:rPr>
        <w:t>Table 1.</w:t>
      </w:r>
      <w:r>
        <w:t xml:space="preserve"> Summary of key improvements in reconstructing sport fish removals of rockfish using the Bayesian model as compared to the Howard et al. (2020) methods.</w:t>
      </w:r>
    </w:p>
    <w:tbl>
      <w:tblPr>
        <w:tblW w:w="5000" w:type="pct"/>
        <w:jc w:val="center"/>
        <w:tblLook w:val="0420" w:firstRow="1" w:lastRow="0" w:firstColumn="0" w:lastColumn="0" w:noHBand="0" w:noVBand="1"/>
      </w:tblPr>
      <w:tblGrid>
        <w:gridCol w:w="1561"/>
        <w:gridCol w:w="3765"/>
        <w:gridCol w:w="4034"/>
      </w:tblGrid>
      <w:tr w:rsidR="0087299B" w14:paraId="50AC5DAD" w14:textId="77777777">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22E2EB2"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Issue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C25BAD"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Howard</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43BCB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Bayes</w:t>
            </w:r>
          </w:p>
        </w:tc>
      </w:tr>
      <w:tr w:rsidR="0087299B" w14:paraId="6CB3E0F7" w14:textId="77777777">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928678"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Time series</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D948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1999 - present</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776D95"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1977 - present</w:t>
            </w:r>
          </w:p>
        </w:tc>
      </w:tr>
      <w:tr w:rsidR="0087299B" w14:paraId="3971DE1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A5CE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Bias in SWHS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5A65BB"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Not explicitly dealt with. Relies on logbook data and ratios of guided/unguided from SWHS data to estimate unguided releases and harvests.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D74A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Explicitly estimates bias in SWHS harvest and release estimates based on logbook data.</w:t>
            </w:r>
          </w:p>
        </w:tc>
      </w:tr>
      <w:tr w:rsidR="0087299B" w14:paraId="3380B299"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624969"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Species composition of releases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A7234D"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Assumes that species composition of releases is equal to that of the harvest, which is not evident in the logbook data.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0218DD"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Recognizes different release probabilities by species / species assemblage and estimates it from logbook data, portside interview data, and bias corrected SWHS data</w:t>
            </w:r>
          </w:p>
        </w:tc>
      </w:tr>
      <w:tr w:rsidR="0087299B" w14:paraId="62027BBD"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506907"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Sample size limitations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DA1C65"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Uses sample size threshholds such that when areas fall below those threshholds values are borrowed from nearby areas.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800310"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 xml:space="preserve">Uses a hierarchichacal modelling approach that shares information between areas in the same region. Thus all data is used, even with small sample sizes. This is a more sound method that avoids assumptions and uses all of the data. </w:t>
            </w:r>
          </w:p>
        </w:tc>
      </w:tr>
      <w:tr w:rsidR="0087299B" w14:paraId="3D134E19" w14:textId="77777777">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51F67A"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Error propogation</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769609E"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Error is propogated when variance estimates are available, but there is uncertainty associated with borrowing values from nearby areas, or the assumption of species compositions being identical in harvest and releases, are not dealt with.</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AC4D0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rPr>
            </w:pPr>
            <w:r>
              <w:rPr>
                <w:color w:val="000000"/>
              </w:rPr>
              <w:t>By breaking the assumption that species composition is equal between harvests and releases, uncertainty in the release estimates is more reflective of the fishery. Furthermore, the hyerarchichal approach more accurately captures uncertainy within and between areas within a region.</w:t>
            </w:r>
          </w:p>
        </w:tc>
      </w:tr>
    </w:tbl>
    <w:p w14:paraId="28A7DF0A" w14:textId="77777777" w:rsidR="0087299B" w:rsidRDefault="00000000">
      <w:r>
        <w:br w:type="page"/>
      </w:r>
    </w:p>
    <w:p w14:paraId="4B2440D3" w14:textId="77777777" w:rsidR="0087299B" w:rsidRDefault="00000000">
      <w:pPr>
        <w:pStyle w:val="BodyText"/>
      </w:pPr>
      <w:r>
        <w:rPr>
          <w:b/>
          <w:bCs/>
        </w:rPr>
        <w:lastRenderedPageBreak/>
        <w:t>Table 2.</w:t>
      </w:r>
      <w:r>
        <w:t xml:space="preserve"> Model priors for parameters associated with species composition, retention probability, the harvest trend spline, SWHS bias and proportion guided.</w:t>
      </w:r>
    </w:p>
    <w:tbl>
      <w:tblPr>
        <w:tblW w:w="0" w:type="auto"/>
        <w:jc w:val="center"/>
        <w:tblLayout w:type="fixed"/>
        <w:tblLook w:val="0420" w:firstRow="1" w:lastRow="0" w:firstColumn="0" w:lastColumn="0" w:noHBand="0" w:noVBand="1"/>
      </w:tblPr>
      <w:tblGrid>
        <w:gridCol w:w="2448"/>
        <w:gridCol w:w="1296"/>
        <w:gridCol w:w="2304"/>
        <w:gridCol w:w="1440"/>
        <w:gridCol w:w="864"/>
        <w:gridCol w:w="1008"/>
      </w:tblGrid>
      <w:tr w:rsidR="0087299B" w14:paraId="285CD9B5" w14:textId="77777777">
        <w:trPr>
          <w:tblHeader/>
          <w:jc w:val="center"/>
        </w:trPr>
        <w:tc>
          <w:tcPr>
            <w:tcW w:w="2448"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48D7AF5A"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b/>
                <w:color w:val="000000"/>
                <w:sz w:val="22"/>
                <w:szCs w:val="22"/>
              </w:rPr>
            </w:pPr>
            <w:r>
              <w:rPr>
                <w:b/>
                <w:color w:val="000000"/>
                <w:sz w:val="22"/>
                <w:szCs w:val="22"/>
              </w:rPr>
              <w:t>Model Component</w:t>
            </w:r>
          </w:p>
        </w:tc>
        <w:tc>
          <w:tcPr>
            <w:tcW w:w="1296"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156EDB3A"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Parameter</w:t>
            </w:r>
          </w:p>
        </w:tc>
        <w:tc>
          <w:tcPr>
            <w:tcW w:w="2304"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58DCF72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Strata</w:t>
            </w:r>
          </w:p>
        </w:tc>
        <w:tc>
          <w:tcPr>
            <w:tcW w:w="1440"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30020D53"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Distribution</w:t>
            </w:r>
          </w:p>
        </w:tc>
        <w:tc>
          <w:tcPr>
            <w:tcW w:w="864"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59C5FC8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1st</w:t>
            </w:r>
            <w:r>
              <w:rPr>
                <w:b/>
                <w:color w:val="000000"/>
                <w:sz w:val="22"/>
                <w:szCs w:val="22"/>
              </w:rPr>
              <w:br/>
              <w:t>term</w:t>
            </w:r>
          </w:p>
        </w:tc>
        <w:tc>
          <w:tcPr>
            <w:tcW w:w="1008" w:type="dxa"/>
            <w:tcBorders>
              <w:top w:val="single" w:sz="12" w:space="0" w:color="000000"/>
              <w:left w:val="none" w:sz="0" w:space="0" w:color="000000"/>
              <w:bottom w:val="single" w:sz="10" w:space="0" w:color="000000"/>
              <w:right w:val="none" w:sz="0" w:space="0" w:color="000000"/>
            </w:tcBorders>
            <w:shd w:val="clear" w:color="auto" w:fill="FFFFFF"/>
            <w:tcMar>
              <w:top w:w="0" w:type="dxa"/>
              <w:left w:w="0" w:type="dxa"/>
              <w:bottom w:w="0" w:type="dxa"/>
              <w:right w:w="0" w:type="dxa"/>
            </w:tcMar>
            <w:vAlign w:val="center"/>
          </w:tcPr>
          <w:p w14:paraId="1B766712"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b/>
                <w:color w:val="000000"/>
                <w:sz w:val="22"/>
                <w:szCs w:val="22"/>
              </w:rPr>
            </w:pPr>
            <w:r>
              <w:rPr>
                <w:b/>
                <w:color w:val="000000"/>
                <w:sz w:val="22"/>
                <w:szCs w:val="22"/>
              </w:rPr>
              <w:t>2nd</w:t>
            </w:r>
            <w:r>
              <w:rPr>
                <w:b/>
                <w:color w:val="000000"/>
                <w:sz w:val="22"/>
                <w:szCs w:val="22"/>
              </w:rPr>
              <w:br/>
              <w:t>term</w:t>
            </w:r>
          </w:p>
        </w:tc>
      </w:tr>
      <w:tr w:rsidR="0087299B" w14:paraId="4236F080"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451B49"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Harvest trend spline</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34989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μ</w:t>
            </w:r>
            <w:r>
              <w:rPr>
                <w:color w:val="000000"/>
                <w:sz w:val="22"/>
                <w:szCs w:val="22"/>
                <w:vertAlign w:val="subscript"/>
              </w:rPr>
              <w:t>λ</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CF716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region</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3DBF35"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DCF85E"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311D1E"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0.1</w:t>
            </w:r>
          </w:p>
        </w:tc>
      </w:tr>
      <w:tr w:rsidR="0087299B" w14:paraId="1EAA16C3" w14:textId="77777777">
        <w:trPr>
          <w:jc w:val="center"/>
        </w:trPr>
        <w:tc>
          <w:tcPr>
            <w:tcW w:w="2448" w:type="dxa"/>
            <w:vMerge w:val="restart"/>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0B527DB" w14:textId="77777777" w:rsidR="0087299B" w:rsidRDefault="0087299B">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C6CFBA"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λ</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1C043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region</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DB60B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19398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C1822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20</w:t>
            </w:r>
          </w:p>
        </w:tc>
      </w:tr>
      <w:tr w:rsidR="0087299B" w14:paraId="5AB64770" w14:textId="77777777">
        <w:trPr>
          <w:jc w:val="center"/>
        </w:trPr>
        <w:tc>
          <w:tcPr>
            <w:tcW w:w="2448" w:type="dxa"/>
            <w:vMerge/>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380A75" w14:textId="77777777" w:rsidR="0087299B" w:rsidRDefault="0087299B">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F61F9E"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Ha</w:t>
            </w:r>
          </w:p>
        </w:tc>
        <w:tc>
          <w:tcPr>
            <w:tcW w:w="23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27C6A3"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FC5E09"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B0852B"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0.2</w:t>
            </w:r>
          </w:p>
        </w:tc>
        <w:tc>
          <w:tcPr>
            <w:tcW w:w="100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1F18CDF"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r>
      <w:tr w:rsidR="0087299B" w14:paraId="4CB68525" w14:textId="77777777">
        <w:trPr>
          <w:jc w:val="center"/>
        </w:trPr>
        <w:tc>
          <w:tcPr>
            <w:tcW w:w="2448" w:type="dxa"/>
            <w:vMerge/>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DDF7A6B" w14:textId="77777777" w:rsidR="0087299B" w:rsidRDefault="0087299B">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1680F79"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β</w:t>
            </w:r>
            <w:r>
              <w:rPr>
                <w:color w:val="000000"/>
                <w:sz w:val="22"/>
                <w:szCs w:val="22"/>
                <w:vertAlign w:val="subscript"/>
              </w:rPr>
              <w:t>0H</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0265C1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AA6BA1D"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93EBE60"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71A72E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1e-06</w:t>
            </w:r>
          </w:p>
        </w:tc>
      </w:tr>
      <w:tr w:rsidR="0087299B" w14:paraId="1B016B85"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1EC113"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SWHS harvest bias</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E1A73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μ</w:t>
            </w:r>
            <w:r>
              <w:rPr>
                <w:color w:val="000000"/>
                <w:sz w:val="22"/>
                <w:szCs w:val="22"/>
                <w:vertAlign w:val="subscript"/>
              </w:rPr>
              <w:t>Hb</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D863A9"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742835"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D373C9D"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B1D383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0.001</w:t>
            </w:r>
          </w:p>
        </w:tc>
      </w:tr>
      <w:tr w:rsidR="0087299B" w14:paraId="41EC88D9" w14:textId="77777777">
        <w:trPr>
          <w:jc w:val="center"/>
        </w:trPr>
        <w:tc>
          <w:tcPr>
            <w:tcW w:w="24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869E3E" w14:textId="77777777" w:rsidR="0087299B" w:rsidRDefault="0087299B">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7716A97"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Hb</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5131A4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8E4774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gamma</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FBFC17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A6CFB2B"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r>
      <w:tr w:rsidR="0087299B" w14:paraId="23F7147A"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4AB9C9"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SWHS release bias</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C61C67"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μ</w:t>
            </w:r>
            <w:r>
              <w:rPr>
                <w:color w:val="000000"/>
                <w:sz w:val="22"/>
                <w:szCs w:val="22"/>
                <w:vertAlign w:val="subscript"/>
              </w:rPr>
              <w:t>Rb</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3C60BA"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579A16"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normal</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BF01A8"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AF3E54"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0.001</w:t>
            </w:r>
          </w:p>
        </w:tc>
      </w:tr>
      <w:tr w:rsidR="0087299B" w14:paraId="1D6AC31D" w14:textId="77777777">
        <w:trPr>
          <w:jc w:val="center"/>
        </w:trPr>
        <w:tc>
          <w:tcPr>
            <w:tcW w:w="244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8D95ED1" w14:textId="77777777" w:rsidR="0087299B" w:rsidRDefault="0087299B">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617513E"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σ</w:t>
            </w:r>
            <w:r>
              <w:rPr>
                <w:color w:val="000000"/>
                <w:sz w:val="22"/>
                <w:szCs w:val="22"/>
                <w:vertAlign w:val="subscript"/>
              </w:rPr>
              <w:t>Rb</w:t>
            </w:r>
          </w:p>
        </w:tc>
        <w:tc>
          <w:tcPr>
            <w:tcW w:w="230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7947EC7"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6D08E88"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gamma</w:t>
            </w:r>
          </w:p>
        </w:tc>
        <w:tc>
          <w:tcPr>
            <w:tcW w:w="864"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9F8C302"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c>
          <w:tcPr>
            <w:tcW w:w="1008" w:type="dxa"/>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75E0821"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2</w:t>
            </w:r>
          </w:p>
        </w:tc>
      </w:tr>
      <w:tr w:rsidR="0087299B" w14:paraId="5FAD261C" w14:textId="77777777">
        <w:trPr>
          <w:jc w:val="center"/>
        </w:trPr>
        <w:tc>
          <w:tcPr>
            <w:tcW w:w="244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CC034F"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r>
              <w:rPr>
                <w:color w:val="000000"/>
                <w:sz w:val="22"/>
                <w:szCs w:val="22"/>
              </w:rPr>
              <w:t>Proportion Guided</w:t>
            </w:r>
          </w:p>
        </w:tc>
        <w:tc>
          <w:tcPr>
            <w:tcW w:w="1296"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A7A405"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λ1</w:t>
            </w:r>
            <w:r>
              <w:rPr>
                <w:color w:val="000000"/>
                <w:sz w:val="22"/>
                <w:szCs w:val="22"/>
                <w:vertAlign w:val="subscript"/>
              </w:rPr>
              <w:t>a</w:t>
            </w:r>
          </w:p>
        </w:tc>
        <w:tc>
          <w:tcPr>
            <w:tcW w:w="230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4C481C"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F770A0E"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C9712F"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c>
          <w:tcPr>
            <w:tcW w:w="1008" w:type="dxa"/>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07F776"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50</w:t>
            </w:r>
          </w:p>
        </w:tc>
      </w:tr>
      <w:tr w:rsidR="0087299B" w14:paraId="315BDCB5" w14:textId="77777777">
        <w:trPr>
          <w:jc w:val="center"/>
        </w:trPr>
        <w:tc>
          <w:tcPr>
            <w:tcW w:w="2448"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109BDB83" w14:textId="77777777" w:rsidR="0087299B" w:rsidRDefault="0087299B">
            <w:pPr>
              <w:pBdr>
                <w:top w:val="none" w:sz="0" w:space="0" w:color="000000"/>
                <w:left w:val="none" w:sz="0" w:space="0" w:color="000000"/>
                <w:bottom w:val="none" w:sz="0" w:space="0" w:color="000000"/>
                <w:right w:val="none" w:sz="0" w:space="0" w:color="000000"/>
              </w:pBdr>
              <w:spacing w:before="100" w:after="100"/>
              <w:ind w:left="100" w:right="100"/>
              <w:jc w:val="left"/>
              <w:rPr>
                <w:color w:val="000000"/>
                <w:sz w:val="22"/>
                <w:szCs w:val="22"/>
              </w:rPr>
            </w:pPr>
          </w:p>
        </w:tc>
        <w:tc>
          <w:tcPr>
            <w:tcW w:w="129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4640F42D"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λ2</w:t>
            </w:r>
            <w:r>
              <w:rPr>
                <w:color w:val="000000"/>
                <w:sz w:val="22"/>
                <w:szCs w:val="22"/>
                <w:vertAlign w:val="subscript"/>
              </w:rPr>
              <w:t>a</w:t>
            </w:r>
          </w:p>
        </w:tc>
        <w:tc>
          <w:tcPr>
            <w:tcW w:w="230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44E4360B"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by area</w:t>
            </w:r>
          </w:p>
        </w:tc>
        <w:tc>
          <w:tcPr>
            <w:tcW w:w="144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01FA19B8"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uniform</w:t>
            </w:r>
          </w:p>
        </w:tc>
        <w:tc>
          <w:tcPr>
            <w:tcW w:w="86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72B95386"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1</w:t>
            </w:r>
          </w:p>
        </w:tc>
        <w:tc>
          <w:tcPr>
            <w:tcW w:w="1008"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tcPr>
          <w:p w14:paraId="4AC637EA" w14:textId="77777777" w:rsidR="0087299B" w:rsidRDefault="00000000">
            <w:pPr>
              <w:pBdr>
                <w:top w:val="none" w:sz="0" w:space="0" w:color="000000"/>
                <w:left w:val="none" w:sz="0" w:space="0" w:color="000000"/>
                <w:bottom w:val="none" w:sz="0" w:space="0" w:color="000000"/>
                <w:right w:val="none" w:sz="0" w:space="0" w:color="000000"/>
              </w:pBdr>
              <w:spacing w:before="100" w:after="100"/>
              <w:ind w:left="100" w:right="100"/>
              <w:jc w:val="center"/>
              <w:rPr>
                <w:color w:val="000000"/>
                <w:sz w:val="22"/>
                <w:szCs w:val="22"/>
              </w:rPr>
            </w:pPr>
            <w:r>
              <w:rPr>
                <w:color w:val="000000"/>
                <w:sz w:val="22"/>
                <w:szCs w:val="22"/>
              </w:rPr>
              <w:t>50</w:t>
            </w:r>
          </w:p>
        </w:tc>
      </w:tr>
    </w:tbl>
    <w:p w14:paraId="2C2ED748" w14:textId="77777777" w:rsidR="0087299B" w:rsidRDefault="00000000">
      <w:r>
        <w:br w:type="page"/>
      </w:r>
    </w:p>
    <w:p w14:paraId="1C05C298" w14:textId="77777777" w:rsidR="0087299B" w:rsidRDefault="00000000">
      <w:pPr>
        <w:pStyle w:val="BodyText"/>
      </w:pPr>
      <w:r>
        <w:rPr>
          <w:b/>
          <w:bCs/>
        </w:rPr>
        <w:lastRenderedPageBreak/>
        <w:t>Table 3.</w:t>
      </w:r>
      <w:r>
        <w:t xml:space="preserve"> Tables summarizing unconverged parameters…</w:t>
      </w:r>
    </w:p>
    <w:p w14:paraId="2407081A" w14:textId="77777777" w:rsidR="0087299B" w:rsidRDefault="00000000">
      <w:r>
        <w:br w:type="page"/>
      </w:r>
      <w:bookmarkEnd w:id="0"/>
    </w:p>
    <w:sectPr w:rsidR="0087299B" w:rsidSect="000D6A2A">
      <w:footerReference w:type="default" r:id="rId7"/>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BD9A1" w14:textId="77777777" w:rsidR="004D3B45" w:rsidRDefault="004D3B45">
      <w:pPr>
        <w:spacing w:after="0"/>
      </w:pPr>
      <w:r>
        <w:separator/>
      </w:r>
    </w:p>
  </w:endnote>
  <w:endnote w:type="continuationSeparator" w:id="0">
    <w:p w14:paraId="7C60E5D8" w14:textId="77777777" w:rsidR="004D3B45" w:rsidRDefault="004D3B4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5AA6F"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D484C40"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C8391E" w14:textId="77777777" w:rsidR="004D3B45" w:rsidRDefault="004D3B45">
      <w:pPr>
        <w:spacing w:after="0"/>
      </w:pPr>
      <w:r>
        <w:separator/>
      </w:r>
    </w:p>
  </w:footnote>
  <w:footnote w:type="continuationSeparator" w:id="0">
    <w:p w14:paraId="26500705" w14:textId="77777777" w:rsidR="004D3B45" w:rsidRDefault="004D3B4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1EAA3B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6"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6"/>
  </w:num>
  <w:num w:numId="2" w16cid:durableId="1697196370">
    <w:abstractNumId w:val="9"/>
  </w:num>
  <w:num w:numId="3" w16cid:durableId="823203623">
    <w:abstractNumId w:val="16"/>
  </w:num>
  <w:num w:numId="4" w16cid:durableId="1002195541">
    <w:abstractNumId w:val="23"/>
  </w:num>
  <w:num w:numId="5" w16cid:durableId="23678503">
    <w:abstractNumId w:val="15"/>
  </w:num>
  <w:num w:numId="6" w16cid:durableId="582764881">
    <w:abstractNumId w:val="11"/>
  </w:num>
  <w:num w:numId="7" w16cid:durableId="1615206266">
    <w:abstractNumId w:val="17"/>
  </w:num>
  <w:num w:numId="8" w16cid:durableId="1447501962">
    <w:abstractNumId w:val="1"/>
  </w:num>
  <w:num w:numId="9" w16cid:durableId="146943494">
    <w:abstractNumId w:val="2"/>
  </w:num>
  <w:num w:numId="10" w16cid:durableId="1932003288">
    <w:abstractNumId w:val="7"/>
  </w:num>
  <w:num w:numId="11" w16cid:durableId="1701660045">
    <w:abstractNumId w:val="13"/>
  </w:num>
  <w:num w:numId="12" w16cid:durableId="419639843">
    <w:abstractNumId w:val="18"/>
  </w:num>
  <w:num w:numId="13" w16cid:durableId="1950114990">
    <w:abstractNumId w:val="21"/>
  </w:num>
  <w:num w:numId="14" w16cid:durableId="79644334">
    <w:abstractNumId w:val="6"/>
  </w:num>
  <w:num w:numId="15" w16cid:durableId="1637249986">
    <w:abstractNumId w:val="14"/>
  </w:num>
  <w:num w:numId="16" w16cid:durableId="1894657587">
    <w:abstractNumId w:val="24"/>
  </w:num>
  <w:num w:numId="17" w16cid:durableId="1276520612">
    <w:abstractNumId w:val="3"/>
  </w:num>
  <w:num w:numId="18" w16cid:durableId="1184368509">
    <w:abstractNumId w:val="12"/>
  </w:num>
  <w:num w:numId="19" w16cid:durableId="179512789">
    <w:abstractNumId w:val="5"/>
  </w:num>
  <w:num w:numId="20" w16cid:durableId="1160000273">
    <w:abstractNumId w:val="22"/>
  </w:num>
  <w:num w:numId="21" w16cid:durableId="1979872988">
    <w:abstractNumId w:val="19"/>
  </w:num>
  <w:num w:numId="22" w16cid:durableId="1362635024">
    <w:abstractNumId w:val="25"/>
  </w:num>
  <w:num w:numId="23" w16cid:durableId="1410889386">
    <w:abstractNumId w:val="10"/>
  </w:num>
  <w:num w:numId="24" w16cid:durableId="1990207080">
    <w:abstractNumId w:val="20"/>
  </w:num>
  <w:num w:numId="25" w16cid:durableId="685012224">
    <w:abstractNumId w:val="4"/>
  </w:num>
  <w:num w:numId="26" w16cid:durableId="1979919492">
    <w:abstractNumId w:val="8"/>
  </w:num>
  <w:num w:numId="27" w16cid:durableId="6990093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activeWritingStyle w:appName="MSWord" w:lang="en-US" w:vendorID="64" w:dllVersion="5" w:nlCheck="1" w:checkStyle="1"/>
  <w:activeWritingStyle w:appName="MSWord" w:lang="en-US"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8A4"/>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3AF4"/>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6996"/>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6A4B"/>
    <w:rsid w:val="002679A6"/>
    <w:rsid w:val="0027038D"/>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D66F4"/>
    <w:rsid w:val="002E1D26"/>
    <w:rsid w:val="002E4C79"/>
    <w:rsid w:val="002E54B8"/>
    <w:rsid w:val="002E6CBE"/>
    <w:rsid w:val="002F263E"/>
    <w:rsid w:val="002F30F4"/>
    <w:rsid w:val="002F4A31"/>
    <w:rsid w:val="00301B6E"/>
    <w:rsid w:val="00304AC9"/>
    <w:rsid w:val="00312355"/>
    <w:rsid w:val="00313BB9"/>
    <w:rsid w:val="0031540A"/>
    <w:rsid w:val="00320942"/>
    <w:rsid w:val="003263F0"/>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2A77"/>
    <w:rsid w:val="00404DCE"/>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B45"/>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7880"/>
    <w:rsid w:val="005525D1"/>
    <w:rsid w:val="00553A2C"/>
    <w:rsid w:val="00554E6C"/>
    <w:rsid w:val="00556AD1"/>
    <w:rsid w:val="00567DCF"/>
    <w:rsid w:val="00570AFD"/>
    <w:rsid w:val="005809F5"/>
    <w:rsid w:val="00581279"/>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299B"/>
    <w:rsid w:val="0087409B"/>
    <w:rsid w:val="008759EE"/>
    <w:rsid w:val="008823BE"/>
    <w:rsid w:val="00885C9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D1C"/>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1E4A"/>
    <w:rsid w:val="00C067B4"/>
    <w:rsid w:val="00C17864"/>
    <w:rsid w:val="00C2079B"/>
    <w:rsid w:val="00C23156"/>
    <w:rsid w:val="00C240E1"/>
    <w:rsid w:val="00C268AD"/>
    <w:rsid w:val="00C31FF6"/>
    <w:rsid w:val="00C37101"/>
    <w:rsid w:val="00C43EBF"/>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FC6E8F"/>
  <w15:docId w15:val="{058DDA20-F56E-431F-B1C0-4F62D4001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next w:val="Normal"/>
    <w:link w:val="CaptionChar"/>
    <w:uiPriority w:val="35"/>
    <w:unhideWhenUsed/>
    <w:qFormat/>
    <w:rsid w:val="001C6996"/>
    <w:pPr>
      <w:keepLines/>
      <w:tabs>
        <w:tab w:val="right" w:pos="9360"/>
      </w:tabs>
      <w:suppressAutoHyphens/>
      <w:ind w:firstLine="288"/>
    </w:pPr>
    <w:rPr>
      <w:sz w:val="22"/>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6A5120"/>
    <w:rPr>
      <w:sz w:val="22"/>
    </w:rPr>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uiPriority w:val="35"/>
    <w:rsid w:val="001C6996"/>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5"/>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uiPriority w:val="39"/>
    <w:unhideWhenUsed/>
    <w:qFormat/>
    <w:rsid w:val="00C64739"/>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30</TotalTime>
  <Pages>4</Pages>
  <Words>347</Words>
  <Characters>1979</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ADF&amp;G</Company>
  <LinksUpToDate>false</LinksUpToDate>
  <CharactersWithSpaces>2322</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Joy, Philip J (DFG)</cp:lastModifiedBy>
  <cp:revision>3</cp:revision>
  <dcterms:created xsi:type="dcterms:W3CDTF">2025-12-19T00:28:00Z</dcterms:created>
  <dcterms:modified xsi:type="dcterms:W3CDTF">2026-04-27T21:10:00Z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