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s"/>
    <w:p>
      <w:pPr>
        <w:pStyle w:val="Heading1"/>
      </w:pPr>
      <w:r>
        <w:t xml:space="preserve">Tables</w:t>
      </w:r>
    </w:p>
    <w:p>
      <w:pPr>
        <w:pStyle w:val="FirstParagraph"/>
      </w:pPr>
      <w:r>
        <w:rPr>
          <w:b/>
          <w:bCs/>
        </w:rPr>
        <w:t xml:space="preserve">Table 1.</w:t>
      </w:r>
      <w:r>
        <w:t xml:space="preserve"> </w:t>
      </w:r>
      <w:r>
        <w:t xml:space="preserve">Summary of key improvements in reconstructing sport fish removals of rockfish using the Bayesian model as compared to the Howard et al. (2020)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Issue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Howard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Bayes</w:t>
            </w:r>
          </w:p>
        </w:tc>
      </w:tr>
      <w:tr>
        <w:trPr>
          <w:trHeight w:val="61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Time series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1999 - 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1977 - present</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Bias in SWHS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explicitly dealt with. Relies on logbook data and ratios of guided/unguided from SWHS data to estimate unguided releases and harvests.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Explicitly estimates bias in SWHS harvest and release estimates based on logbook data.</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Species composition of releases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Assumes that species composition of releases is equal to that of the harvest, which is not evident in the logbook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Recognizes different release probabilities by species / species assemblage and estimates it from logbook data, portside interview data, and bias corrected SWHS data</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Sample size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sample size threshholds such that when areas fall below those threshholds values are borrowed from nearby areas.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a hierarchichacal modelling approach that shares information between areas in the same region. Thus all data is used, even with small sample sizes. This is a more sound method that avoids assumptions and uses all of the data. </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propogation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is propogated when variance estimates are available, but there is uncertainty associated with borrowing values from nearby areas, or the assumption of species compositions being identical in harvest and releases, are not dealt with.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By breaking the assumption that species composition is equal between harvests and releases, uncertainty in the release estimates is more reflective of the fishery. Furthermore, the hyerarchichal approach more accurately captures uncertainy within and between areas within a region.</w:t>
            </w:r>
          </w:p>
        </w:tc>
      </w:tr>
    </w:tbl>
    <w:p>
      <w:r>
        <w:br w:type="page"/>
      </w:r>
    </w:p>
    <w:p>
      <w:pPr>
        <w:pStyle w:val="BodyText"/>
      </w:pPr>
      <w:r>
        <w:rPr>
          <w:b/>
          <w:bCs/>
        </w:rPr>
        <w:t xml:space="preserve">Table 2.</w:t>
      </w:r>
      <w:r>
        <w:t xml:space="preserve"> </w:t>
      </w:r>
      <w:r>
        <w:t xml:space="preserve">Model priors for parameters associated with species composition, retention probability, the harvest trend spline, SWHS bias and proportion guided.</w:t>
      </w:r>
    </w:p>
    <w:p>
      <w:pPr>
        <w:pStyle w:val="BodyText"/>
      </w:pPr>
      <w:r>
        <w:rPr>
          <w:b/>
          <w:bCs/>
          <w:i/>
          <w:iCs/>
        </w:rPr>
        <w:t xml:space="preserve">PASTE TABLEs HERE FROM Prior_Tab.docx</w:t>
      </w:r>
    </w:p>
    <w:p>
      <w:r>
        <w:br w:type="page"/>
      </w:r>
    </w:p>
    <w:p>
      <w:pPr>
        <w:pStyle w:val="BodyText"/>
      </w:pPr>
      <w:r>
        <w:rPr>
          <w:b/>
          <w:bCs/>
        </w:rPr>
        <w:t xml:space="preserve">Table 3.</w:t>
      </w:r>
      <w:r>
        <w:t xml:space="preserve"> </w:t>
      </w:r>
      <w:r>
        <w:t xml:space="preserve">Priors used for the logistic curve fit to the species composition of the proportion pelagic in all rockfish,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4.</w:t>
      </w:r>
      <w:r>
        <w:t xml:space="preserve"> </w:t>
      </w:r>
      <w:r>
        <w:t xml:space="preserve">Priors used for the logistic curve fit to the species composition of the proportion black in pelagic rockfish,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5.</w:t>
      </w:r>
      <w:r>
        <w:t xml:space="preserve"> </w:t>
      </w:r>
      <w:r>
        <w:t xml:space="preserve">Priors used for the logistic curve fit to the species composition of the proportion yelloweye rockfish in non-pelagic (Southcentral and Kodiak) or demersal shelf rockfish (Southeast region) including the hyper priors and area specific priors derived from the hyper priors and the distribution (dist.) and terms defining the distributions.</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6.</w:t>
      </w:r>
      <w:r>
        <w:t xml:space="preserve"> </w:t>
      </w:r>
      <w:r>
        <w:t xml:space="preserve">Priors used for the logistic curve fit to the species composition of the proportion demersal shelf and slope rockfish in non-pelagic rockfish in Southeast region,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7.</w:t>
      </w:r>
      <w:r>
        <w:t xml:space="preserve"> </w:t>
      </w:r>
      <w:r>
        <w:t xml:space="preserve">Priors used for the logistic curve fit to the retention probability,</w:t>
      </w:r>
      <w:r>
        <w:t xml:space="preserve"> </w:t>
      </w:r>
      <w:r>
        <w:rPr>
          <w:i/>
          <w:iCs/>
        </w:rPr>
        <w:t xml:space="preserve">pH</w:t>
      </w:r>
      <w:r>
        <w:t xml:space="preserve">, for pelagic rockfish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8.</w:t>
      </w:r>
      <w:r>
        <w:t xml:space="preserve"> </w:t>
      </w:r>
      <w:r>
        <w:t xml:space="preserve">Priors used for the logistic curve fit to the retention probability,</w:t>
      </w:r>
      <w:r>
        <w:t xml:space="preserve"> </w:t>
      </w:r>
      <w:r>
        <w:rPr>
          <w:i/>
          <w:iCs/>
        </w:rPr>
        <w:t xml:space="preserve">pH</w:t>
      </w:r>
      <w:r>
        <w:t xml:space="preserve">, for yelloweye rockfish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p>
      <w:pPr>
        <w:pStyle w:val="BodyText"/>
      </w:pPr>
      <w:r>
        <w:rPr>
          <w:b/>
          <w:bCs/>
        </w:rPr>
        <w:t xml:space="preserve">Table 9.</w:t>
      </w:r>
      <w:r>
        <w:t xml:space="preserve"> </w:t>
      </w:r>
      <w:r>
        <w:t xml:space="preserve">Priors used for the logistic curve fit to the retention probability,</w:t>
      </w:r>
      <w:r>
        <w:t xml:space="preserve"> </w:t>
      </w:r>
      <w:r>
        <w:rPr>
          <w:i/>
          <w:iCs/>
        </w:rPr>
        <w:t xml:space="preserve">pH</w:t>
      </w:r>
      <w:r>
        <w:t xml:space="preserve">, for</w:t>
      </w:r>
      <w:r>
        <w:t xml:space="preserve"> </w:t>
      </w:r>
      <w:r>
        <w:t xml:space="preserve">“</w:t>
      </w:r>
      <w:r>
        <w:t xml:space="preserve">other</w:t>
      </w:r>
      <w:r>
        <w:t xml:space="preserve">”</w:t>
      </w:r>
      <w:r>
        <w:t xml:space="preserve"> </w:t>
      </w:r>
      <w:r>
        <w:t xml:space="preserve">(non-pelagic, non-yelloweye) rockfish including the hyper priors and area specific priors derived from the hyper priors and the distribution (dist.) and terms defining the distributions.</w:t>
      </w:r>
      <w:r>
        <w:t xml:space="preserve"> </w:t>
      </w:r>
      <m:oMath>
        <m:r>
          <m:t>τ</m:t>
        </m:r>
      </m:oMath>
      <w:r>
        <w:t xml:space="preserve"> </w:t>
      </w:r>
      <w:r>
        <w:t xml:space="preserve">is related to the standard deviation (SD) as</w:t>
      </w:r>
      <w:r>
        <w:t xml:space="preserve"> </w:t>
      </w:r>
      <m:oMath>
        <m:r>
          <m:t>τ</m:t>
        </m:r>
      </m:oMath>
      <w:r>
        <w:t xml:space="preserve"> </w:t>
      </w:r>
      <w:r>
        <w:t xml:space="preserve">= 1 / SD / SD. Y represents the terminal year of the time series.</w:t>
      </w:r>
    </w:p>
    <w:p>
      <w:pPr>
        <w:pStyle w:val="BodyText"/>
      </w:pPr>
      <w:r>
        <w:rPr>
          <w:b/>
          <w:bCs/>
          <w:i/>
          <w:iCs/>
        </w:rPr>
        <w:t xml:space="preserve">PASTE TABLEs HERE FROM Prior_Tab.docx</w:t>
      </w:r>
    </w:p>
    <w:p>
      <w:r>
        <w:br w:type="page"/>
      </w:r>
    </w:p>
    <w:bookmarkEnd w:id="20"/>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next w:val="Normal"/>
    <w:link w:val="CaptionChar"/>
    <w:uiPriority w:val="35"/>
    <w:unhideWhenUsed/>
    <w:qFormat/>
    <w:rsid w:val="001C6996"/>
    <w:pPr>
      <w:keepLines/>
      <w:tabs>
        <w:tab w:pos="9360" w:val="right"/>
      </w:tabs>
      <w:suppressAutoHyphens/>
      <w:ind w:firstLine="288"/>
    </w:pPr>
    <w:rPr>
      <w:sz w:val="22"/>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6A5120"/>
    <w:rPr>
      <w:sz w:val="22"/>
    </w:rPr>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uiPriority w:val="35"/>
    <w:rsid w:val="001C6996"/>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 w:val="24"/>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C64739"/>
    <w:pPr>
      <w:spacing w:after="180" w:before="180"/>
      <w:jc w:val="left"/>
    </w:pPr>
    <w:rPr>
      <w:rFonts w:eastAsiaTheme="minorHAnsi"/>
      <w:sz w:val="24"/>
    </w:rPr>
  </w:style>
  <w:style w:customStyle="1" w:styleId="Compact" w:type="paragraph">
    <w:name w:val="Compact"/>
    <w:basedOn w:val="BodyText"/>
    <w:qFormat/>
    <w:rsid w:val="00C64739"/>
    <w:pPr>
      <w:numPr>
        <w:numId w:val="5"/>
      </w:numPr>
      <w:spacing w:after="36" w:before="36"/>
      <w:jc w:val="left"/>
    </w:pPr>
    <w:rPr>
      <w:rFonts w:eastAsiaTheme="minorHAnsi"/>
      <w:sz w:val="24"/>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uiPriority w:val="39"/>
    <w:unhideWhenUsed/>
    <w:qFormat/>
    <w:rsid w:val="00C64739"/>
    <w:pPr>
      <w:suppressAutoHyphens w:val="0"/>
      <w:spacing w:after="0" w:before="240" w:line="259" w:lineRule="auto"/>
      <w:ind w:left="0" w:right="0"/>
      <w:jc w:val="left"/>
      <w:outlineLvl w:val="9"/>
    </w:pPr>
    <w:rPr>
      <w:rFonts w:asciiTheme="majorHAnsi" w:cstheme="majorBidi" w:eastAsiaTheme="majorEastAsia" w:hAnsiTheme="majorHAnsi"/>
      <w:b w:val="0"/>
      <w:caps w:val="0"/>
      <w:color w:themeColor="accent1" w:themeShade="BF" w:val="365F91"/>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2025-11-12T00:02:45Z</dcterms:created>
  <dcterms:modified xsi:type="dcterms:W3CDTF">2025-11-12T00:02:45Z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