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71C53" w14:textId="77777777" w:rsidR="003B2CDA" w:rsidRDefault="00000000">
      <w:pPr>
        <w:pStyle w:val="Title"/>
      </w:pPr>
      <w:r>
        <w:t>Rockfish Removals in Alaska Sport Fisheries 1977 - 2024</w:t>
      </w:r>
    </w:p>
    <w:p w14:paraId="1566856E" w14:textId="77777777" w:rsidR="003B2CDA" w:rsidRDefault="00000000">
      <w:pPr>
        <w:pStyle w:val="Author"/>
      </w:pPr>
      <w:r>
        <w:t>Philip Joy, Clay McKean, Chris Hinds and Diana Tersteeg</w:t>
      </w:r>
    </w:p>
    <w:sdt>
      <w:sdtPr>
        <w:rPr>
          <w:rFonts w:eastAsia="Times New Roman" w:cs="Times New Roman"/>
          <w:color w:val="auto"/>
          <w:sz w:val="24"/>
          <w:szCs w:val="24"/>
        </w:rPr>
        <w:id w:val="-1419236803"/>
        <w:docPartObj>
          <w:docPartGallery w:val="Table of Contents"/>
          <w:docPartUnique/>
        </w:docPartObj>
      </w:sdtPr>
      <w:sdtContent>
        <w:p w14:paraId="1919884F" w14:textId="77777777" w:rsidR="003B2CDA" w:rsidRDefault="00000000">
          <w:pPr>
            <w:pStyle w:val="TOCHeading"/>
          </w:pPr>
          <w:r>
            <w:t>Table of Contents</w:t>
          </w:r>
        </w:p>
        <w:p w14:paraId="5EB635DE" w14:textId="52B4AA31" w:rsidR="0080343D"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19449491" w:history="1">
            <w:r w:rsidR="0080343D" w:rsidRPr="00CA2CE0">
              <w:rPr>
                <w:rStyle w:val="Hyperlink"/>
                <w:noProof/>
              </w:rPr>
              <w:t>Abstract</w:t>
            </w:r>
            <w:r w:rsidR="0080343D">
              <w:rPr>
                <w:noProof/>
                <w:webHidden/>
              </w:rPr>
              <w:tab/>
            </w:r>
            <w:r w:rsidR="0080343D">
              <w:rPr>
                <w:noProof/>
                <w:webHidden/>
              </w:rPr>
              <w:fldChar w:fldCharType="begin"/>
            </w:r>
            <w:r w:rsidR="0080343D">
              <w:rPr>
                <w:noProof/>
                <w:webHidden/>
              </w:rPr>
              <w:instrText xml:space="preserve"> PAGEREF _Toc219449491 \h </w:instrText>
            </w:r>
            <w:r w:rsidR="0080343D">
              <w:rPr>
                <w:noProof/>
                <w:webHidden/>
              </w:rPr>
            </w:r>
            <w:r w:rsidR="0080343D">
              <w:rPr>
                <w:noProof/>
                <w:webHidden/>
              </w:rPr>
              <w:fldChar w:fldCharType="separate"/>
            </w:r>
            <w:r w:rsidR="0080343D">
              <w:rPr>
                <w:noProof/>
                <w:webHidden/>
              </w:rPr>
              <w:t>2</w:t>
            </w:r>
            <w:r w:rsidR="0080343D">
              <w:rPr>
                <w:noProof/>
                <w:webHidden/>
              </w:rPr>
              <w:fldChar w:fldCharType="end"/>
            </w:r>
          </w:hyperlink>
        </w:p>
        <w:p w14:paraId="0F3D6BC7" w14:textId="175EF4CA"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492" w:history="1">
            <w:r w:rsidRPr="00CA2CE0">
              <w:rPr>
                <w:rStyle w:val="Hyperlink"/>
                <w:noProof/>
              </w:rPr>
              <w:t>Introduction</w:t>
            </w:r>
            <w:r>
              <w:rPr>
                <w:noProof/>
                <w:webHidden/>
              </w:rPr>
              <w:tab/>
            </w:r>
            <w:r>
              <w:rPr>
                <w:noProof/>
                <w:webHidden/>
              </w:rPr>
              <w:fldChar w:fldCharType="begin"/>
            </w:r>
            <w:r>
              <w:rPr>
                <w:noProof/>
                <w:webHidden/>
              </w:rPr>
              <w:instrText xml:space="preserve"> PAGEREF _Toc219449492 \h </w:instrText>
            </w:r>
            <w:r>
              <w:rPr>
                <w:noProof/>
                <w:webHidden/>
              </w:rPr>
            </w:r>
            <w:r>
              <w:rPr>
                <w:noProof/>
                <w:webHidden/>
              </w:rPr>
              <w:fldChar w:fldCharType="separate"/>
            </w:r>
            <w:r>
              <w:rPr>
                <w:noProof/>
                <w:webHidden/>
              </w:rPr>
              <w:t>2</w:t>
            </w:r>
            <w:r>
              <w:rPr>
                <w:noProof/>
                <w:webHidden/>
              </w:rPr>
              <w:fldChar w:fldCharType="end"/>
            </w:r>
          </w:hyperlink>
        </w:p>
        <w:p w14:paraId="425C7ADF" w14:textId="5ABE706B"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493" w:history="1">
            <w:r w:rsidRPr="00CA2CE0">
              <w:rPr>
                <w:rStyle w:val="Hyperlink"/>
                <w:noProof/>
              </w:rPr>
              <w:t>Objective</w:t>
            </w:r>
            <w:r>
              <w:rPr>
                <w:noProof/>
                <w:webHidden/>
              </w:rPr>
              <w:tab/>
            </w:r>
            <w:r>
              <w:rPr>
                <w:noProof/>
                <w:webHidden/>
              </w:rPr>
              <w:fldChar w:fldCharType="begin"/>
            </w:r>
            <w:r>
              <w:rPr>
                <w:noProof/>
                <w:webHidden/>
              </w:rPr>
              <w:instrText xml:space="preserve"> PAGEREF _Toc219449493 \h </w:instrText>
            </w:r>
            <w:r>
              <w:rPr>
                <w:noProof/>
                <w:webHidden/>
              </w:rPr>
            </w:r>
            <w:r>
              <w:rPr>
                <w:noProof/>
                <w:webHidden/>
              </w:rPr>
              <w:fldChar w:fldCharType="separate"/>
            </w:r>
            <w:r>
              <w:rPr>
                <w:noProof/>
                <w:webHidden/>
              </w:rPr>
              <w:t>4</w:t>
            </w:r>
            <w:r>
              <w:rPr>
                <w:noProof/>
                <w:webHidden/>
              </w:rPr>
              <w:fldChar w:fldCharType="end"/>
            </w:r>
          </w:hyperlink>
        </w:p>
        <w:p w14:paraId="70E2A516" w14:textId="2A61B402"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494" w:history="1">
            <w:r w:rsidRPr="00CA2CE0">
              <w:rPr>
                <w:rStyle w:val="Hyperlink"/>
                <w:noProof/>
              </w:rPr>
              <w:t>Study Area</w:t>
            </w:r>
            <w:r>
              <w:rPr>
                <w:noProof/>
                <w:webHidden/>
              </w:rPr>
              <w:tab/>
            </w:r>
            <w:r>
              <w:rPr>
                <w:noProof/>
                <w:webHidden/>
              </w:rPr>
              <w:fldChar w:fldCharType="begin"/>
            </w:r>
            <w:r>
              <w:rPr>
                <w:noProof/>
                <w:webHidden/>
              </w:rPr>
              <w:instrText xml:space="preserve"> PAGEREF _Toc219449494 \h </w:instrText>
            </w:r>
            <w:r>
              <w:rPr>
                <w:noProof/>
                <w:webHidden/>
              </w:rPr>
            </w:r>
            <w:r>
              <w:rPr>
                <w:noProof/>
                <w:webHidden/>
              </w:rPr>
              <w:fldChar w:fldCharType="separate"/>
            </w:r>
            <w:r>
              <w:rPr>
                <w:noProof/>
                <w:webHidden/>
              </w:rPr>
              <w:t>5</w:t>
            </w:r>
            <w:r>
              <w:rPr>
                <w:noProof/>
                <w:webHidden/>
              </w:rPr>
              <w:fldChar w:fldCharType="end"/>
            </w:r>
          </w:hyperlink>
        </w:p>
        <w:p w14:paraId="41E4224C" w14:textId="16EE30F0"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495" w:history="1">
            <w:r w:rsidRPr="00CA2CE0">
              <w:rPr>
                <w:rStyle w:val="Hyperlink"/>
                <w:noProof/>
              </w:rPr>
              <w:t>Methods</w:t>
            </w:r>
            <w:r>
              <w:rPr>
                <w:noProof/>
                <w:webHidden/>
              </w:rPr>
              <w:tab/>
            </w:r>
            <w:r>
              <w:rPr>
                <w:noProof/>
                <w:webHidden/>
              </w:rPr>
              <w:fldChar w:fldCharType="begin"/>
            </w:r>
            <w:r>
              <w:rPr>
                <w:noProof/>
                <w:webHidden/>
              </w:rPr>
              <w:instrText xml:space="preserve"> PAGEREF _Toc219449495 \h </w:instrText>
            </w:r>
            <w:r>
              <w:rPr>
                <w:noProof/>
                <w:webHidden/>
              </w:rPr>
            </w:r>
            <w:r>
              <w:rPr>
                <w:noProof/>
                <w:webHidden/>
              </w:rPr>
              <w:fldChar w:fldCharType="separate"/>
            </w:r>
            <w:r>
              <w:rPr>
                <w:noProof/>
                <w:webHidden/>
              </w:rPr>
              <w:t>5</w:t>
            </w:r>
            <w:r>
              <w:rPr>
                <w:noProof/>
                <w:webHidden/>
              </w:rPr>
              <w:fldChar w:fldCharType="end"/>
            </w:r>
          </w:hyperlink>
        </w:p>
        <w:p w14:paraId="68048743" w14:textId="604CFFE0"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496" w:history="1">
            <w:r w:rsidRPr="00CA2CE0">
              <w:rPr>
                <w:rStyle w:val="Hyperlink"/>
                <w:noProof/>
              </w:rPr>
              <w:t>Data</w:t>
            </w:r>
            <w:r>
              <w:rPr>
                <w:noProof/>
                <w:webHidden/>
              </w:rPr>
              <w:tab/>
            </w:r>
            <w:r>
              <w:rPr>
                <w:noProof/>
                <w:webHidden/>
              </w:rPr>
              <w:fldChar w:fldCharType="begin"/>
            </w:r>
            <w:r>
              <w:rPr>
                <w:noProof/>
                <w:webHidden/>
              </w:rPr>
              <w:instrText xml:space="preserve"> PAGEREF _Toc219449496 \h </w:instrText>
            </w:r>
            <w:r>
              <w:rPr>
                <w:noProof/>
                <w:webHidden/>
              </w:rPr>
            </w:r>
            <w:r>
              <w:rPr>
                <w:noProof/>
                <w:webHidden/>
              </w:rPr>
              <w:fldChar w:fldCharType="separate"/>
            </w:r>
            <w:r>
              <w:rPr>
                <w:noProof/>
                <w:webHidden/>
              </w:rPr>
              <w:t>5</w:t>
            </w:r>
            <w:r>
              <w:rPr>
                <w:noProof/>
                <w:webHidden/>
              </w:rPr>
              <w:fldChar w:fldCharType="end"/>
            </w:r>
          </w:hyperlink>
        </w:p>
        <w:p w14:paraId="10C60463" w14:textId="196D8D66"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497" w:history="1">
            <w:r w:rsidRPr="00CA2CE0">
              <w:rPr>
                <w:rStyle w:val="Hyperlink"/>
                <w:noProof/>
              </w:rPr>
              <w:t>Process equations</w:t>
            </w:r>
            <w:r>
              <w:rPr>
                <w:noProof/>
                <w:webHidden/>
              </w:rPr>
              <w:tab/>
            </w:r>
            <w:r>
              <w:rPr>
                <w:noProof/>
                <w:webHidden/>
              </w:rPr>
              <w:fldChar w:fldCharType="begin"/>
            </w:r>
            <w:r>
              <w:rPr>
                <w:noProof/>
                <w:webHidden/>
              </w:rPr>
              <w:instrText xml:space="preserve"> PAGEREF _Toc219449497 \h </w:instrText>
            </w:r>
            <w:r>
              <w:rPr>
                <w:noProof/>
                <w:webHidden/>
              </w:rPr>
            </w:r>
            <w:r>
              <w:rPr>
                <w:noProof/>
                <w:webHidden/>
              </w:rPr>
              <w:fldChar w:fldCharType="separate"/>
            </w:r>
            <w:r>
              <w:rPr>
                <w:noProof/>
                <w:webHidden/>
              </w:rPr>
              <w:t>8</w:t>
            </w:r>
            <w:r>
              <w:rPr>
                <w:noProof/>
                <w:webHidden/>
              </w:rPr>
              <w:fldChar w:fldCharType="end"/>
            </w:r>
          </w:hyperlink>
        </w:p>
        <w:p w14:paraId="17A304C9" w14:textId="284EC2E1"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498" w:history="1">
            <w:r w:rsidRPr="00CA2CE0">
              <w:rPr>
                <w:rStyle w:val="Hyperlink"/>
                <w:noProof/>
              </w:rPr>
              <w:t>Observation equations</w:t>
            </w:r>
            <w:r>
              <w:rPr>
                <w:noProof/>
                <w:webHidden/>
              </w:rPr>
              <w:tab/>
            </w:r>
            <w:r>
              <w:rPr>
                <w:noProof/>
                <w:webHidden/>
              </w:rPr>
              <w:fldChar w:fldCharType="begin"/>
            </w:r>
            <w:r>
              <w:rPr>
                <w:noProof/>
                <w:webHidden/>
              </w:rPr>
              <w:instrText xml:space="preserve"> PAGEREF _Toc219449498 \h </w:instrText>
            </w:r>
            <w:r>
              <w:rPr>
                <w:noProof/>
                <w:webHidden/>
              </w:rPr>
            </w:r>
            <w:r>
              <w:rPr>
                <w:noProof/>
                <w:webHidden/>
              </w:rPr>
              <w:fldChar w:fldCharType="separate"/>
            </w:r>
            <w:r>
              <w:rPr>
                <w:noProof/>
                <w:webHidden/>
              </w:rPr>
              <w:t>15</w:t>
            </w:r>
            <w:r>
              <w:rPr>
                <w:noProof/>
                <w:webHidden/>
              </w:rPr>
              <w:fldChar w:fldCharType="end"/>
            </w:r>
          </w:hyperlink>
        </w:p>
        <w:p w14:paraId="63FB5D0C" w14:textId="6BEC3239"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499" w:history="1">
            <w:r w:rsidRPr="00CA2CE0">
              <w:rPr>
                <w:rStyle w:val="Hyperlink"/>
                <w:noProof/>
              </w:rPr>
              <w:t>Model platform and diagnostics</w:t>
            </w:r>
            <w:r>
              <w:rPr>
                <w:noProof/>
                <w:webHidden/>
              </w:rPr>
              <w:tab/>
            </w:r>
            <w:r>
              <w:rPr>
                <w:noProof/>
                <w:webHidden/>
              </w:rPr>
              <w:fldChar w:fldCharType="begin"/>
            </w:r>
            <w:r>
              <w:rPr>
                <w:noProof/>
                <w:webHidden/>
              </w:rPr>
              <w:instrText xml:space="preserve"> PAGEREF _Toc219449499 \h </w:instrText>
            </w:r>
            <w:r>
              <w:rPr>
                <w:noProof/>
                <w:webHidden/>
              </w:rPr>
            </w:r>
            <w:r>
              <w:rPr>
                <w:noProof/>
                <w:webHidden/>
              </w:rPr>
              <w:fldChar w:fldCharType="separate"/>
            </w:r>
            <w:r>
              <w:rPr>
                <w:noProof/>
                <w:webHidden/>
              </w:rPr>
              <w:t>19</w:t>
            </w:r>
            <w:r>
              <w:rPr>
                <w:noProof/>
                <w:webHidden/>
              </w:rPr>
              <w:fldChar w:fldCharType="end"/>
            </w:r>
          </w:hyperlink>
        </w:p>
        <w:p w14:paraId="3D2D80E2" w14:textId="0C8F066B"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500" w:history="1">
            <w:r w:rsidRPr="00CA2CE0">
              <w:rPr>
                <w:rStyle w:val="Hyperlink"/>
                <w:noProof/>
              </w:rPr>
              <w:t>Results</w:t>
            </w:r>
            <w:r>
              <w:rPr>
                <w:noProof/>
                <w:webHidden/>
              </w:rPr>
              <w:tab/>
            </w:r>
            <w:r>
              <w:rPr>
                <w:noProof/>
                <w:webHidden/>
              </w:rPr>
              <w:fldChar w:fldCharType="begin"/>
            </w:r>
            <w:r>
              <w:rPr>
                <w:noProof/>
                <w:webHidden/>
              </w:rPr>
              <w:instrText xml:space="preserve"> PAGEREF _Toc219449500 \h </w:instrText>
            </w:r>
            <w:r>
              <w:rPr>
                <w:noProof/>
                <w:webHidden/>
              </w:rPr>
            </w:r>
            <w:r>
              <w:rPr>
                <w:noProof/>
                <w:webHidden/>
              </w:rPr>
              <w:fldChar w:fldCharType="separate"/>
            </w:r>
            <w:r>
              <w:rPr>
                <w:noProof/>
                <w:webHidden/>
              </w:rPr>
              <w:t>20</w:t>
            </w:r>
            <w:r>
              <w:rPr>
                <w:noProof/>
                <w:webHidden/>
              </w:rPr>
              <w:fldChar w:fldCharType="end"/>
            </w:r>
          </w:hyperlink>
        </w:p>
        <w:p w14:paraId="15B62AAE" w14:textId="24BF1A6E"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1" w:history="1">
            <w:r w:rsidRPr="00CA2CE0">
              <w:rPr>
                <w:rStyle w:val="Hyperlink"/>
                <w:noProof/>
              </w:rPr>
              <w:t>Residual Patterns</w:t>
            </w:r>
            <w:r>
              <w:rPr>
                <w:noProof/>
                <w:webHidden/>
              </w:rPr>
              <w:tab/>
            </w:r>
            <w:r>
              <w:rPr>
                <w:noProof/>
                <w:webHidden/>
              </w:rPr>
              <w:fldChar w:fldCharType="begin"/>
            </w:r>
            <w:r>
              <w:rPr>
                <w:noProof/>
                <w:webHidden/>
              </w:rPr>
              <w:instrText xml:space="preserve"> PAGEREF _Toc219449501 \h </w:instrText>
            </w:r>
            <w:r>
              <w:rPr>
                <w:noProof/>
                <w:webHidden/>
              </w:rPr>
            </w:r>
            <w:r>
              <w:rPr>
                <w:noProof/>
                <w:webHidden/>
              </w:rPr>
              <w:fldChar w:fldCharType="separate"/>
            </w:r>
            <w:r>
              <w:rPr>
                <w:noProof/>
                <w:webHidden/>
              </w:rPr>
              <w:t>21</w:t>
            </w:r>
            <w:r>
              <w:rPr>
                <w:noProof/>
                <w:webHidden/>
              </w:rPr>
              <w:fldChar w:fldCharType="end"/>
            </w:r>
          </w:hyperlink>
        </w:p>
        <w:p w14:paraId="0890211E" w14:textId="238F8D97"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2" w:history="1">
            <w:r w:rsidRPr="00CA2CE0">
              <w:rPr>
                <w:rStyle w:val="Hyperlink"/>
                <w:noProof/>
              </w:rPr>
              <w:t>Bias Estimation</w:t>
            </w:r>
            <w:r>
              <w:rPr>
                <w:noProof/>
                <w:webHidden/>
              </w:rPr>
              <w:tab/>
            </w:r>
            <w:r>
              <w:rPr>
                <w:noProof/>
                <w:webHidden/>
              </w:rPr>
              <w:fldChar w:fldCharType="begin"/>
            </w:r>
            <w:r>
              <w:rPr>
                <w:noProof/>
                <w:webHidden/>
              </w:rPr>
              <w:instrText xml:space="preserve"> PAGEREF _Toc219449502 \h </w:instrText>
            </w:r>
            <w:r>
              <w:rPr>
                <w:noProof/>
                <w:webHidden/>
              </w:rPr>
            </w:r>
            <w:r>
              <w:rPr>
                <w:noProof/>
                <w:webHidden/>
              </w:rPr>
              <w:fldChar w:fldCharType="separate"/>
            </w:r>
            <w:r>
              <w:rPr>
                <w:noProof/>
                <w:webHidden/>
              </w:rPr>
              <w:t>21</w:t>
            </w:r>
            <w:r>
              <w:rPr>
                <w:noProof/>
                <w:webHidden/>
              </w:rPr>
              <w:fldChar w:fldCharType="end"/>
            </w:r>
          </w:hyperlink>
        </w:p>
        <w:p w14:paraId="1C532F74" w14:textId="50E21448"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3" w:history="1">
            <w:r w:rsidRPr="00CA2CE0">
              <w:rPr>
                <w:rStyle w:val="Hyperlink"/>
                <w:noProof/>
              </w:rPr>
              <w:t>Proportion Harvested</w:t>
            </w:r>
            <w:r>
              <w:rPr>
                <w:noProof/>
                <w:webHidden/>
              </w:rPr>
              <w:tab/>
            </w:r>
            <w:r>
              <w:rPr>
                <w:noProof/>
                <w:webHidden/>
              </w:rPr>
              <w:fldChar w:fldCharType="begin"/>
            </w:r>
            <w:r>
              <w:rPr>
                <w:noProof/>
                <w:webHidden/>
              </w:rPr>
              <w:instrText xml:space="preserve"> PAGEREF _Toc219449503 \h </w:instrText>
            </w:r>
            <w:r>
              <w:rPr>
                <w:noProof/>
                <w:webHidden/>
              </w:rPr>
            </w:r>
            <w:r>
              <w:rPr>
                <w:noProof/>
                <w:webHidden/>
              </w:rPr>
              <w:fldChar w:fldCharType="separate"/>
            </w:r>
            <w:r>
              <w:rPr>
                <w:noProof/>
                <w:webHidden/>
              </w:rPr>
              <w:t>22</w:t>
            </w:r>
            <w:r>
              <w:rPr>
                <w:noProof/>
                <w:webHidden/>
              </w:rPr>
              <w:fldChar w:fldCharType="end"/>
            </w:r>
          </w:hyperlink>
        </w:p>
        <w:p w14:paraId="3E50276B" w14:textId="4B271479"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4" w:history="1">
            <w:r w:rsidRPr="00CA2CE0">
              <w:rPr>
                <w:rStyle w:val="Hyperlink"/>
                <w:noProof/>
              </w:rPr>
              <w:t>Species Composition</w:t>
            </w:r>
            <w:r>
              <w:rPr>
                <w:noProof/>
                <w:webHidden/>
              </w:rPr>
              <w:tab/>
            </w:r>
            <w:r>
              <w:rPr>
                <w:noProof/>
                <w:webHidden/>
              </w:rPr>
              <w:fldChar w:fldCharType="begin"/>
            </w:r>
            <w:r>
              <w:rPr>
                <w:noProof/>
                <w:webHidden/>
              </w:rPr>
              <w:instrText xml:space="preserve"> PAGEREF _Toc219449504 \h </w:instrText>
            </w:r>
            <w:r>
              <w:rPr>
                <w:noProof/>
                <w:webHidden/>
              </w:rPr>
            </w:r>
            <w:r>
              <w:rPr>
                <w:noProof/>
                <w:webHidden/>
              </w:rPr>
              <w:fldChar w:fldCharType="separate"/>
            </w:r>
            <w:r>
              <w:rPr>
                <w:noProof/>
                <w:webHidden/>
              </w:rPr>
              <w:t>23</w:t>
            </w:r>
            <w:r>
              <w:rPr>
                <w:noProof/>
                <w:webHidden/>
              </w:rPr>
              <w:fldChar w:fldCharType="end"/>
            </w:r>
          </w:hyperlink>
        </w:p>
        <w:p w14:paraId="24050924" w14:textId="55DF29C1"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5" w:history="1">
            <w:r w:rsidRPr="00CA2CE0">
              <w:rPr>
                <w:rStyle w:val="Hyperlink"/>
                <w:noProof/>
              </w:rPr>
              <w:t>Proportion Guided</w:t>
            </w:r>
            <w:r>
              <w:rPr>
                <w:noProof/>
                <w:webHidden/>
              </w:rPr>
              <w:tab/>
            </w:r>
            <w:r>
              <w:rPr>
                <w:noProof/>
                <w:webHidden/>
              </w:rPr>
              <w:fldChar w:fldCharType="begin"/>
            </w:r>
            <w:r>
              <w:rPr>
                <w:noProof/>
                <w:webHidden/>
              </w:rPr>
              <w:instrText xml:space="preserve"> PAGEREF _Toc219449505 \h </w:instrText>
            </w:r>
            <w:r>
              <w:rPr>
                <w:noProof/>
                <w:webHidden/>
              </w:rPr>
            </w:r>
            <w:r>
              <w:rPr>
                <w:noProof/>
                <w:webHidden/>
              </w:rPr>
              <w:fldChar w:fldCharType="separate"/>
            </w:r>
            <w:r>
              <w:rPr>
                <w:noProof/>
                <w:webHidden/>
              </w:rPr>
              <w:t>24</w:t>
            </w:r>
            <w:r>
              <w:rPr>
                <w:noProof/>
                <w:webHidden/>
              </w:rPr>
              <w:fldChar w:fldCharType="end"/>
            </w:r>
          </w:hyperlink>
        </w:p>
        <w:p w14:paraId="703C78AD" w14:textId="73BBA5EB"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6" w:history="1">
            <w:r w:rsidRPr="00CA2CE0">
              <w:rPr>
                <w:rStyle w:val="Hyperlink"/>
                <w:noProof/>
              </w:rPr>
              <w:t>Weight</w:t>
            </w:r>
            <w:r>
              <w:rPr>
                <w:noProof/>
                <w:webHidden/>
              </w:rPr>
              <w:tab/>
            </w:r>
            <w:r>
              <w:rPr>
                <w:noProof/>
                <w:webHidden/>
              </w:rPr>
              <w:fldChar w:fldCharType="begin"/>
            </w:r>
            <w:r>
              <w:rPr>
                <w:noProof/>
                <w:webHidden/>
              </w:rPr>
              <w:instrText xml:space="preserve"> PAGEREF _Toc219449506 \h </w:instrText>
            </w:r>
            <w:r>
              <w:rPr>
                <w:noProof/>
                <w:webHidden/>
              </w:rPr>
            </w:r>
            <w:r>
              <w:rPr>
                <w:noProof/>
                <w:webHidden/>
              </w:rPr>
              <w:fldChar w:fldCharType="separate"/>
            </w:r>
            <w:r>
              <w:rPr>
                <w:noProof/>
                <w:webHidden/>
              </w:rPr>
              <w:t>24</w:t>
            </w:r>
            <w:r>
              <w:rPr>
                <w:noProof/>
                <w:webHidden/>
              </w:rPr>
              <w:fldChar w:fldCharType="end"/>
            </w:r>
          </w:hyperlink>
        </w:p>
        <w:p w14:paraId="5AEE7371" w14:textId="2480B1F7"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7" w:history="1">
            <w:r w:rsidRPr="00CA2CE0">
              <w:rPr>
                <w:rStyle w:val="Hyperlink"/>
                <w:noProof/>
              </w:rPr>
              <w:t>Harvest, Release and Total Removal Estimates</w:t>
            </w:r>
            <w:r>
              <w:rPr>
                <w:noProof/>
                <w:webHidden/>
              </w:rPr>
              <w:tab/>
            </w:r>
            <w:r>
              <w:rPr>
                <w:noProof/>
                <w:webHidden/>
              </w:rPr>
              <w:fldChar w:fldCharType="begin"/>
            </w:r>
            <w:r>
              <w:rPr>
                <w:noProof/>
                <w:webHidden/>
              </w:rPr>
              <w:instrText xml:space="preserve"> PAGEREF _Toc219449507 \h </w:instrText>
            </w:r>
            <w:r>
              <w:rPr>
                <w:noProof/>
                <w:webHidden/>
              </w:rPr>
            </w:r>
            <w:r>
              <w:rPr>
                <w:noProof/>
                <w:webHidden/>
              </w:rPr>
              <w:fldChar w:fldCharType="separate"/>
            </w:r>
            <w:r>
              <w:rPr>
                <w:noProof/>
                <w:webHidden/>
              </w:rPr>
              <w:t>24</w:t>
            </w:r>
            <w:r>
              <w:rPr>
                <w:noProof/>
                <w:webHidden/>
              </w:rPr>
              <w:fldChar w:fldCharType="end"/>
            </w:r>
          </w:hyperlink>
        </w:p>
        <w:p w14:paraId="08CF93CA" w14:textId="18CC9982"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508" w:history="1">
            <w:r w:rsidRPr="00CA2CE0">
              <w:rPr>
                <w:rStyle w:val="Hyperlink"/>
                <w:noProof/>
              </w:rPr>
              <w:t>Discussion</w:t>
            </w:r>
            <w:r>
              <w:rPr>
                <w:noProof/>
                <w:webHidden/>
              </w:rPr>
              <w:tab/>
            </w:r>
            <w:r>
              <w:rPr>
                <w:noProof/>
                <w:webHidden/>
              </w:rPr>
              <w:fldChar w:fldCharType="begin"/>
            </w:r>
            <w:r>
              <w:rPr>
                <w:noProof/>
                <w:webHidden/>
              </w:rPr>
              <w:instrText xml:space="preserve"> PAGEREF _Toc219449508 \h </w:instrText>
            </w:r>
            <w:r>
              <w:rPr>
                <w:noProof/>
                <w:webHidden/>
              </w:rPr>
            </w:r>
            <w:r>
              <w:rPr>
                <w:noProof/>
                <w:webHidden/>
              </w:rPr>
              <w:fldChar w:fldCharType="separate"/>
            </w:r>
            <w:r>
              <w:rPr>
                <w:noProof/>
                <w:webHidden/>
              </w:rPr>
              <w:t>26</w:t>
            </w:r>
            <w:r>
              <w:rPr>
                <w:noProof/>
                <w:webHidden/>
              </w:rPr>
              <w:fldChar w:fldCharType="end"/>
            </w:r>
          </w:hyperlink>
        </w:p>
        <w:p w14:paraId="1E6568C7" w14:textId="690C24A6" w:rsidR="0080343D" w:rsidRDefault="0080343D">
          <w:pPr>
            <w:pStyle w:val="TOC2"/>
            <w:rPr>
              <w:rFonts w:asciiTheme="minorHAnsi" w:eastAsiaTheme="minorEastAsia" w:hAnsiTheme="minorHAnsi" w:cstheme="minorBidi"/>
              <w:noProof/>
              <w:kern w:val="2"/>
              <w:sz w:val="24"/>
              <w:szCs w:val="24"/>
              <w14:ligatures w14:val="standardContextual"/>
            </w:rPr>
          </w:pPr>
          <w:hyperlink w:anchor="_Toc219449509" w:history="1">
            <w:r w:rsidRPr="00CA2CE0">
              <w:rPr>
                <w:rStyle w:val="Hyperlink"/>
                <w:noProof/>
              </w:rPr>
              <w:t>Conclusions and Recommendations</w:t>
            </w:r>
            <w:r>
              <w:rPr>
                <w:noProof/>
                <w:webHidden/>
              </w:rPr>
              <w:tab/>
            </w:r>
            <w:r>
              <w:rPr>
                <w:noProof/>
                <w:webHidden/>
              </w:rPr>
              <w:fldChar w:fldCharType="begin"/>
            </w:r>
            <w:r>
              <w:rPr>
                <w:noProof/>
                <w:webHidden/>
              </w:rPr>
              <w:instrText xml:space="preserve"> PAGEREF _Toc219449509 \h </w:instrText>
            </w:r>
            <w:r>
              <w:rPr>
                <w:noProof/>
                <w:webHidden/>
              </w:rPr>
            </w:r>
            <w:r>
              <w:rPr>
                <w:noProof/>
                <w:webHidden/>
              </w:rPr>
              <w:fldChar w:fldCharType="separate"/>
            </w:r>
            <w:r>
              <w:rPr>
                <w:noProof/>
                <w:webHidden/>
              </w:rPr>
              <w:t>29</w:t>
            </w:r>
            <w:r>
              <w:rPr>
                <w:noProof/>
                <w:webHidden/>
              </w:rPr>
              <w:fldChar w:fldCharType="end"/>
            </w:r>
          </w:hyperlink>
        </w:p>
        <w:p w14:paraId="33715D34" w14:textId="5F4E29CD"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510" w:history="1">
            <w:r w:rsidRPr="00CA2CE0">
              <w:rPr>
                <w:rStyle w:val="Hyperlink"/>
                <w:noProof/>
              </w:rPr>
              <w:t>Acknowledgments</w:t>
            </w:r>
            <w:r>
              <w:rPr>
                <w:noProof/>
                <w:webHidden/>
              </w:rPr>
              <w:tab/>
            </w:r>
            <w:r>
              <w:rPr>
                <w:noProof/>
                <w:webHidden/>
              </w:rPr>
              <w:fldChar w:fldCharType="begin"/>
            </w:r>
            <w:r>
              <w:rPr>
                <w:noProof/>
                <w:webHidden/>
              </w:rPr>
              <w:instrText xml:space="preserve"> PAGEREF _Toc219449510 \h </w:instrText>
            </w:r>
            <w:r>
              <w:rPr>
                <w:noProof/>
                <w:webHidden/>
              </w:rPr>
            </w:r>
            <w:r>
              <w:rPr>
                <w:noProof/>
                <w:webHidden/>
              </w:rPr>
              <w:fldChar w:fldCharType="separate"/>
            </w:r>
            <w:r>
              <w:rPr>
                <w:noProof/>
                <w:webHidden/>
              </w:rPr>
              <w:t>29</w:t>
            </w:r>
            <w:r>
              <w:rPr>
                <w:noProof/>
                <w:webHidden/>
              </w:rPr>
              <w:fldChar w:fldCharType="end"/>
            </w:r>
          </w:hyperlink>
        </w:p>
        <w:p w14:paraId="1F117599" w14:textId="12B1B8ED" w:rsidR="0080343D" w:rsidRDefault="0080343D">
          <w:pPr>
            <w:pStyle w:val="TOC1"/>
            <w:rPr>
              <w:rFonts w:asciiTheme="minorHAnsi" w:eastAsiaTheme="minorEastAsia" w:hAnsiTheme="minorHAnsi" w:cstheme="minorBidi"/>
              <w:caps w:val="0"/>
              <w:noProof/>
              <w:kern w:val="2"/>
              <w:sz w:val="24"/>
              <w:szCs w:val="24"/>
              <w14:ligatures w14:val="standardContextual"/>
            </w:rPr>
          </w:pPr>
          <w:hyperlink w:anchor="_Toc219449511" w:history="1">
            <w:r w:rsidRPr="00CA2CE0">
              <w:rPr>
                <w:rStyle w:val="Hyperlink"/>
                <w:noProof/>
              </w:rPr>
              <w:t>Literature Cited</w:t>
            </w:r>
            <w:r>
              <w:rPr>
                <w:noProof/>
                <w:webHidden/>
              </w:rPr>
              <w:tab/>
            </w:r>
            <w:r>
              <w:rPr>
                <w:noProof/>
                <w:webHidden/>
              </w:rPr>
              <w:fldChar w:fldCharType="begin"/>
            </w:r>
            <w:r>
              <w:rPr>
                <w:noProof/>
                <w:webHidden/>
              </w:rPr>
              <w:instrText xml:space="preserve"> PAGEREF _Toc219449511 \h </w:instrText>
            </w:r>
            <w:r>
              <w:rPr>
                <w:noProof/>
                <w:webHidden/>
              </w:rPr>
            </w:r>
            <w:r>
              <w:rPr>
                <w:noProof/>
                <w:webHidden/>
              </w:rPr>
              <w:fldChar w:fldCharType="separate"/>
            </w:r>
            <w:r>
              <w:rPr>
                <w:noProof/>
                <w:webHidden/>
              </w:rPr>
              <w:t>30</w:t>
            </w:r>
            <w:r>
              <w:rPr>
                <w:noProof/>
                <w:webHidden/>
              </w:rPr>
              <w:fldChar w:fldCharType="end"/>
            </w:r>
          </w:hyperlink>
        </w:p>
        <w:p w14:paraId="78FDC9BA" w14:textId="7BD94306" w:rsidR="003B2CDA" w:rsidRDefault="00000000">
          <w:r>
            <w:fldChar w:fldCharType="end"/>
          </w:r>
        </w:p>
      </w:sdtContent>
    </w:sdt>
    <w:p w14:paraId="3B30E213" w14:textId="77777777" w:rsidR="003B2CDA" w:rsidRDefault="00000000">
      <w:r>
        <w:br w:type="page"/>
      </w:r>
    </w:p>
    <w:p w14:paraId="5D5DD655" w14:textId="77777777" w:rsidR="003B2CDA" w:rsidRDefault="00000000">
      <w:pPr>
        <w:pStyle w:val="Heading1"/>
      </w:pPr>
      <w:bookmarkStart w:id="0" w:name="abstract"/>
      <w:bookmarkStart w:id="1" w:name="_Toc219449491"/>
      <w:r>
        <w:lastRenderedPageBreak/>
        <w:t>Abstract</w:t>
      </w:r>
      <w:bookmarkEnd w:id="1"/>
    </w:p>
    <w:p w14:paraId="73F45624" w14:textId="77777777" w:rsidR="003B2CDA" w:rsidRDefault="00000000">
      <w:pPr>
        <w:pStyle w:val="FirstParagraph"/>
      </w:pPr>
      <w:r>
        <w:t>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w:t>
      </w:r>
      <w:r>
        <w:rPr>
          <w:i/>
          <w:iCs/>
        </w:rPr>
        <w:t>Sebastes melanops</w:t>
      </w:r>
      <w:r>
        <w:t>) and yelloweye rockfishes (</w:t>
      </w:r>
      <w:r>
        <w:rPr>
          <w:i/>
          <w:iCs/>
        </w:rPr>
        <w:t>S. ruberrimus</w:t>
      </w:r>
      <w:r>
        <w:t>) as well as demersal shelf, slope, and non-black pelagic rockfish complexes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faulty assumptions that were necessary in the original Howard methodology, incorporates portside interview data, and provides a unified, reproducible and hierarchical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length and weight data, and interview data on angler retention behavior. The Bayesian model calculates harvests very similar to the methods used in Howard et al. (2020) but differs in its approach to estimating unguided harvest and release numbers. Bias in the SWHS harvest and release numbers are quantified and accomodated and the model applies a hierarchical approach to more appropriately share information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The new model provides a unfied approach to quantifying rockfish removals going forward and these methods are recommended for use in stock assessments.</w:t>
      </w:r>
    </w:p>
    <w:p w14:paraId="7F99860E" w14:textId="77777777" w:rsidR="003B2CDA"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3FB8C557" w14:textId="77777777" w:rsidR="003B2CDA" w:rsidRDefault="00000000">
      <w:pPr>
        <w:pStyle w:val="Heading1"/>
      </w:pPr>
      <w:bookmarkStart w:id="2" w:name="introduction"/>
      <w:bookmarkStart w:id="3" w:name="_Toc219449492"/>
      <w:bookmarkEnd w:id="0"/>
      <w:r>
        <w:t>Introduction</w:t>
      </w:r>
      <w:bookmarkEnd w:id="3"/>
    </w:p>
    <w:p w14:paraId="2E7776FE" w14:textId="77777777" w:rsidR="003B2CDA"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14:paraId="381CC6B1" w14:textId="77777777" w:rsidR="003B2CDA" w:rsidRDefault="00000000">
      <w:pPr>
        <w:pStyle w:val="BodyText"/>
      </w:pPr>
      <w:r>
        <w:lastRenderedPageBreak/>
        <w:t>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such based on methods developed by Howard et al. (2020).</w:t>
      </w:r>
    </w:p>
    <w:p w14:paraId="42FF34AA" w14:textId="77777777" w:rsidR="003B2CDA" w:rsidRDefault="00000000">
      <w:pPr>
        <w:pStyle w:val="BodyText"/>
      </w:pPr>
      <w:r>
        <w:t>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539438B8" w14:textId="77777777" w:rsidR="003B2CDA" w:rsidRDefault="00000000">
      <w:pPr>
        <w:pStyle w:val="BodyText"/>
      </w:pPr>
      <w:r>
        <w:t>Sport harvest port sampling programs provide information on biological characteristics of the harvest, including species composition and angler retention behavior (McKean and Ford 2025; Richards et al. 2025). Port sampling programs vary regionally in their design, history, and information collected. Post sampling data is used to estimate apportion harvests and releases by species in guided and unguided trips and provide length and weight data.</w:t>
      </w:r>
    </w:p>
    <w:p w14:paraId="7850D850" w14:textId="77777777" w:rsidR="003B2CDA"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50875D5D" w14:textId="77777777" w:rsidR="003B2CDA" w:rsidRDefault="00000000">
      <w:pPr>
        <w:pStyle w:val="BodyText"/>
      </w:pPr>
      <w:r>
        <w:t>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stock assessments.</w:t>
      </w:r>
    </w:p>
    <w:p w14:paraId="74158CA1" w14:textId="77777777" w:rsidR="003B2CDA" w:rsidRDefault="00000000">
      <w:pPr>
        <w:pStyle w:val="BodyText"/>
      </w:pPr>
      <w:r>
        <w:t>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and thus only provides estimates since that time even though rockfish have been harvested by sport anglers since at least the 1960s. The Howard methods also rely on a “decision tree” 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14:paraId="79C0E024" w14:textId="77777777" w:rsidR="003B2CDA" w:rsidRDefault="00000000">
      <w:pPr>
        <w:pStyle w:val="BodyText"/>
      </w:pPr>
      <w:r>
        <w:lastRenderedPageBreak/>
        <w:t>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hierachichal model that more accurately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These methods also incorporate port sampling interview data to better estimate fish releases which were not utilized in the Howard methods. The model incorporates fish weight and release mortality probabilities (Jarvis and Lowe 2008; Hochhalter and Reed 2011; Blain and Sutton 2016; Blain-Roth and Sutton 2019) directly into the model so that previously unpublished biomass-based are also produced in one place.</w:t>
      </w:r>
    </w:p>
    <w:p w14:paraId="7763B565" w14:textId="77777777" w:rsidR="003B2CDA" w:rsidRDefault="00000000">
      <w:pPr>
        <w:pStyle w:val="BodyText"/>
      </w:pPr>
      <w:r>
        <w:t>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w:t>
      </w:r>
    </w:p>
    <w:p w14:paraId="4732C852" w14:textId="77777777" w:rsidR="003B2CDA" w:rsidRDefault="00000000">
      <w:pPr>
        <w:pStyle w:val="Heading1"/>
      </w:pPr>
      <w:bookmarkStart w:id="4" w:name="objective"/>
      <w:bookmarkStart w:id="5" w:name="_Toc219449493"/>
      <w:bookmarkEnd w:id="2"/>
      <w:r>
        <w:t>Objective</w:t>
      </w:r>
      <w:bookmarkEnd w:id="5"/>
    </w:p>
    <w:p w14:paraId="023BC989" w14:textId="77777777" w:rsidR="003B2CDA" w:rsidRDefault="00000000">
      <w:pPr>
        <w:numPr>
          <w:ilvl w:val="0"/>
          <w:numId w:val="28"/>
        </w:numPr>
      </w:pPr>
      <w:r>
        <w:t>Estimate annual sport harvests,releases and total removals in biomass of rockfishes in Gulf of Alaska CFMUs from 1977–2024. Estimates are for the following species / complexes in the following regions:</w:t>
      </w:r>
    </w:p>
    <w:p w14:paraId="4AAF34C8" w14:textId="77777777" w:rsidR="003B2CDA" w:rsidRDefault="00000000">
      <w:pPr>
        <w:pStyle w:val="Compact"/>
        <w:numPr>
          <w:ilvl w:val="1"/>
          <w:numId w:val="29"/>
        </w:numPr>
      </w:pPr>
      <w:r>
        <w:t>black rockfish (all regions)</w:t>
      </w:r>
    </w:p>
    <w:p w14:paraId="3E88B659" w14:textId="77777777" w:rsidR="003B2CDA" w:rsidRDefault="00000000">
      <w:pPr>
        <w:pStyle w:val="Compact"/>
        <w:numPr>
          <w:ilvl w:val="1"/>
          <w:numId w:val="29"/>
        </w:numPr>
      </w:pPr>
      <w:r>
        <w:t>yelloweye rockfish (all regions)</w:t>
      </w:r>
    </w:p>
    <w:p w14:paraId="1DC84F13" w14:textId="77777777" w:rsidR="003B2CDA"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288E3E1B" w14:textId="77777777" w:rsidR="003B2CDA"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73F1601B" w14:textId="77777777" w:rsidR="003B2CDA"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and vermillion </w:t>
      </w:r>
      <w:r>
        <w:rPr>
          <w:i/>
          <w:iCs/>
        </w:rPr>
        <w:t>S. miniatus</w:t>
      </w:r>
      <w:r>
        <w:t xml:space="preserve"> rockfish); Southeast only.</w:t>
      </w:r>
    </w:p>
    <w:p w14:paraId="0E00E4E5" w14:textId="77777777" w:rsidR="003B2CDA" w:rsidRDefault="00000000">
      <w:pPr>
        <w:pStyle w:val="Heading1"/>
      </w:pPr>
      <w:bookmarkStart w:id="6" w:name="study-area"/>
      <w:bookmarkStart w:id="7" w:name="_Toc219449494"/>
      <w:bookmarkEnd w:id="4"/>
      <w:r>
        <w:lastRenderedPageBreak/>
        <w:t>Study Area</w:t>
      </w:r>
      <w:bookmarkEnd w:id="7"/>
    </w:p>
    <w:p w14:paraId="5359ED0C" w14:textId="77777777" w:rsidR="003B2CDA"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3BE7C69E" w14:textId="77777777" w:rsidR="003B2CDA"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45BB6C65" w14:textId="77777777" w:rsidR="003B2CDA" w:rsidRDefault="00000000">
      <w:pPr>
        <w:pStyle w:val="Heading1"/>
      </w:pPr>
      <w:bookmarkStart w:id="8" w:name="methods"/>
      <w:bookmarkStart w:id="9" w:name="_Toc219449495"/>
      <w:bookmarkEnd w:id="6"/>
      <w:r>
        <w:t>Methods</w:t>
      </w:r>
      <w:bookmarkEnd w:id="9"/>
    </w:p>
    <w:p w14:paraId="423A4618" w14:textId="77777777" w:rsidR="003B2CDA" w:rsidRDefault="00000000">
      <w:pPr>
        <w:pStyle w:val="Heading2"/>
      </w:pPr>
      <w:bookmarkStart w:id="10" w:name="data"/>
      <w:bookmarkStart w:id="11" w:name="_Toc219449496"/>
      <w:r>
        <w:t>Data</w:t>
      </w:r>
      <w:bookmarkEnd w:id="11"/>
    </w:p>
    <w:p w14:paraId="509FD3AB" w14:textId="77777777" w:rsidR="003B2CDA" w:rsidRDefault="00000000">
      <w:pPr>
        <w:pStyle w:val="Heading4"/>
      </w:pPr>
      <w:bookmarkStart w:id="12" w:name="logbook-data"/>
      <w:r>
        <w:t>Logbook Data</w:t>
      </w:r>
    </w:p>
    <w:p w14:paraId="1E8835DE" w14:textId="77777777" w:rsidR="003B2CDA" w:rsidRDefault="00000000">
      <w:pPr>
        <w:pStyle w:val="FirstParagraph"/>
      </w:pPr>
      <w:r>
        <w:t>The department’s charter logbook program provides data on guided sport fishing in state waters in a similar manner to how fish tickets are used in commercial fisheries.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6A874AF4" w14:textId="77777777" w:rsidR="003B2CDA" w:rsidRDefault="00000000">
      <w:pPr>
        <w:pStyle w:val="Heading4"/>
      </w:pPr>
      <w:bookmarkStart w:id="13" w:name="statewide-harvest-survey-data"/>
      <w:bookmarkEnd w:id="12"/>
      <w:r>
        <w:t>Statewide Harvest Survey Data</w:t>
      </w:r>
    </w:p>
    <w:p w14:paraId="63537384" w14:textId="77777777" w:rsidR="003B2CDA" w:rsidRDefault="00000000">
      <w:pPr>
        <w:pStyle w:val="FirstParagraph"/>
      </w:pPr>
      <w:r>
        <w:t>Statewide harvest survey estimates of total rockfish (all species combined) catch and harvest are available for 29 years (1996-2024) for all users and are broken down by guided and unguided trips since 2011 (Figure 5 DATA_SOURCES). Additionally, there are overall harvest estimates from 1977- 1995 and release estimates from 1990-1995 that required partitioning into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138378FB" w14:textId="77777777" w:rsidR="003B2CDA" w:rsidRDefault="00000000">
      <w:pPr>
        <w:pStyle w:val="BodyText"/>
      </w:pPr>
      <w:r>
        <w:t xml:space="preserve">SWHS Rockfish release estimates are inferred from the difference between catch and harvest estimates. SWHS release estimates were assumed to equal the total catch minus the harvest and </w:t>
      </w:r>
      <w:r>
        <w:lastRenderedPageBreak/>
        <w:t>the standard deviation of the releases was derived from the standard deviation of the harvest and catch estimates such that</w:t>
      </w:r>
    </w:p>
    <w:p w14:paraId="35C4E97C" w14:textId="77777777" w:rsidR="003B2CDA"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5E3E0BA4" w14:textId="77777777" w:rsidR="003B2CDA"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0D518B5E" w14:textId="77777777" w:rsidR="003B2CDA" w:rsidRDefault="00000000">
      <w:pPr>
        <w:pStyle w:val="Heading4"/>
      </w:pPr>
      <w:bookmarkStart w:id="14" w:name="port-sampling-data"/>
      <w:bookmarkEnd w:id="13"/>
      <w:r>
        <w:t>Port Sampling Data</w:t>
      </w:r>
    </w:p>
    <w:p w14:paraId="0C5C4123" w14:textId="77777777" w:rsidR="003B2CDA" w:rsidRDefault="00000000">
      <w:pPr>
        <w:pStyle w:val="FirstParagraph"/>
      </w:pPr>
      <w:r>
        <w:t>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(McKean and Ford 2025; Richards et al. 2025;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14:paraId="4A3B80BB" w14:textId="77777777" w:rsidR="003B2CDA" w:rsidRDefault="00000000">
      <w:pPr>
        <w:pStyle w:val="Heading4"/>
      </w:pPr>
      <w:bookmarkStart w:id="15" w:name="release-mortality-estimates"/>
      <w:bookmarkEnd w:id="14"/>
      <w:r>
        <w:t>Release Mortality Estimates</w:t>
      </w:r>
    </w:p>
    <w:p w14:paraId="67C6556E" w14:textId="77777777" w:rsidR="003B2CDA" w:rsidRDefault="00000000">
      <w:pPr>
        <w:pStyle w:val="FirstParagraph"/>
      </w:pPr>
      <w:r>
        <w:t>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depth-of-release data pooled across years. This data is not sufficient for annual estimates but is instead pooled across years to provide an average depth profile of releases for each species assemblage and area. For each Southcentral and Kodiak area, user group and species assemblage has pre- and post-DWR release mortality estimates calculated by averaging the mortality estimates from the different depth strata weighted by the estimated proportion released within each depth strata (Appendix CLAYS TABLE).</w:t>
      </w:r>
    </w:p>
    <w:p w14:paraId="3EC85273" w14:textId="77777777" w:rsidR="003B2CDA" w:rsidRDefault="00000000">
      <w:pPr>
        <w:pStyle w:val="Heading4"/>
      </w:pPr>
      <w:bookmarkStart w:id="16" w:name="weight-data-and-estimates"/>
      <w:bookmarkEnd w:id="15"/>
      <w:r>
        <w:t>Weight Data and Estimates</w:t>
      </w:r>
    </w:p>
    <w:p w14:paraId="260FD86D" w14:textId="77777777" w:rsidR="003B2CDA" w:rsidRDefault="00000000">
      <w:pPr>
        <w:pStyle w:val="FirstParagraph"/>
      </w:pPr>
      <w:r>
        <w:t xml:space="preserve">Port sampling programs also provide the data necessary to convert fish numbers to biomass. All rockfish are sampled for length and in Southcentral Alaska a subsample are weighed. All measured fish that were not weighed have weights estimated using a weight ~ length regression. In southcentral and Kodiak regions the weight ~ length relationship for black and yelloweye rockfish </w:t>
      </w:r>
      <w:r>
        <w:lastRenderedPageBreak/>
        <w:t xml:space="preserve">is estimated from samples collected between 1996 and 2021 such that the predicted weight is related to the measured length, </w:t>
      </w:r>
      <w:r>
        <w:rPr>
          <w:i/>
          <w:iCs/>
        </w:rPr>
        <w:t>L</w:t>
      </w:r>
      <w:r>
        <w:t xml:space="preserve"> such that</w:t>
      </w:r>
    </w:p>
    <w:p w14:paraId="48EE8E7C" w14:textId="77777777" w:rsidR="003B2CDA"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02DD106E" w14:textId="77777777" w:rsidR="003B2CDA"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(McKean and Ford 2025; Schuster et al. 2025). Southeast rockfish weights are also estimated from weight length regressions but rely on published values (Richards et al. 2025).</w:t>
      </w:r>
    </w:p>
    <w:p w14:paraId="75CBF638" w14:textId="77777777" w:rsidR="003B2CDA" w:rsidRDefault="00000000">
      <w:pPr>
        <w:pStyle w:val="BodyText"/>
      </w:pPr>
      <w:r>
        <w:t>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For Southcentral and Kodiak regions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14:paraId="2CB1AD45" w14:textId="77777777" w:rsidR="003B2CDA" w:rsidRDefault="00000000">
      <w:pPr>
        <w:pStyle w:val="BodyText"/>
      </w:pPr>
      <w:r>
        <w:t>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14:paraId="37510243" w14:textId="77777777" w:rsidR="003B2CDA" w:rsidRDefault="00000000">
      <w:pPr>
        <w:pStyle w:val="BodyText"/>
      </w:pPr>
      <w:r>
        <w:t>Southeast Alaska uses a 4-stage weighted average routine to estimate mean weights because random sampling is not possible across the region’s ports (Richards et al. 2025). The 4-stage approach is detailed in Richards et al. (2025).</w:t>
      </w:r>
    </w:p>
    <w:p w14:paraId="39D0A825" w14:textId="77777777" w:rsidR="003B2CDA" w:rsidRDefault="00000000">
      <w:pPr>
        <w:pStyle w:val="Heading4"/>
      </w:pPr>
      <w:bookmarkStart w:id="17" w:name="kodiak-stereoscopic-camera-data"/>
      <w:bookmarkEnd w:id="16"/>
      <w:r>
        <w:t>Kodiak Stereoscopic Camera Data</w:t>
      </w:r>
    </w:p>
    <w:p w14:paraId="14CF6B2F" w14:textId="77777777" w:rsidR="003B2CDA" w:rsidRDefault="00000000">
      <w:pPr>
        <w:pStyle w:val="FirstParagraph"/>
      </w:pPr>
      <w:r>
        <w:t>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are estimated using stereoscopic cameras (Tschersich et al. 2023). The species apportionment data from those cameras was used as supplemental data in this model to further inform the species composition in the Kodiak CFMUs.</w:t>
      </w:r>
    </w:p>
    <w:p w14:paraId="744FB872" w14:textId="77777777" w:rsidR="003B2CDA" w:rsidRDefault="00000000">
      <w:pPr>
        <w:pStyle w:val="Heading3"/>
      </w:pPr>
      <w:bookmarkStart w:id="18" w:name="model-structure"/>
      <w:bookmarkEnd w:id="17"/>
      <w:r>
        <w:t>Model Structure</w:t>
      </w:r>
    </w:p>
    <w:p w14:paraId="3163ED78" w14:textId="77777777" w:rsidR="003B2CDA" w:rsidRDefault="00000000">
      <w:pPr>
        <w:pStyle w:val="FirstParagraph"/>
      </w:pPr>
      <w:r>
        <w:t xml:space="preserve">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alternatively,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w:t>
      </w:r>
      <w:r>
        <w:lastRenderedPageBreak/>
        <w:t>rockfish harvests, including fishery closures and more severe bag limit reductions (Arthur et al 2024; Blain-Roth et al. 2024; Polum et al. 2025).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through 2019.</w:t>
      </w:r>
    </w:p>
    <w:p w14:paraId="6199D867" w14:textId="77777777" w:rsidR="003B2CDA" w:rsidRDefault="00000000">
      <w:pPr>
        <w:pStyle w:val="Heading2"/>
      </w:pPr>
      <w:bookmarkStart w:id="19" w:name="process-equations"/>
      <w:bookmarkStart w:id="20" w:name="_Toc219449497"/>
      <w:bookmarkEnd w:id="10"/>
      <w:bookmarkEnd w:id="18"/>
      <w:r>
        <w:t>Process equations</w:t>
      </w:r>
      <w:bookmarkEnd w:id="20"/>
    </w:p>
    <w:p w14:paraId="660FD004" w14:textId="77777777" w:rsidR="003B2CDA"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07AC192D" w14:textId="77777777" w:rsidR="003B2CDA" w:rsidRDefault="00000000">
      <w:pPr>
        <w:pStyle w:val="Heading3"/>
      </w:pPr>
      <w:bookmarkStart w:id="21" w:name="harvests"/>
      <w:r>
        <w:t>Harvests</w:t>
      </w:r>
    </w:p>
    <w:p w14:paraId="704E8027" w14:textId="77777777" w:rsidR="003B2CDA"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0E9749D6" w14:textId="77777777" w:rsidR="003B2CDA"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5CF85F59" w14:textId="77777777" w:rsidR="003B2CDA"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A)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A).</w:t>
      </w:r>
    </w:p>
    <w:p w14:paraId="3F6EB38C" w14:textId="77777777" w:rsidR="003B2CDA"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14EAD003" w14:textId="77777777" w:rsidR="003B2CDA"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0F3AC7E1" w14:textId="77777777" w:rsidR="003B2CDA"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5D12AC79"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306F7E77" w14:textId="77777777" w:rsidR="003B2CDA"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40537346" w14:textId="77777777" w:rsidR="003B2CDA" w:rsidRDefault="00000000">
      <w:pPr>
        <w:pStyle w:val="BodyText"/>
      </w:pPr>
      <w:r>
        <w:t>with non-informative priors on both parameters (Table 2 PRIORS).</w:t>
      </w:r>
    </w:p>
    <w:p w14:paraId="5C7A0850" w14:textId="77777777" w:rsidR="003B2CDA" w:rsidRDefault="00000000">
      <w:pPr>
        <w:pStyle w:val="Heading3"/>
      </w:pPr>
      <w:bookmarkStart w:id="22" w:name="species-apportionment"/>
      <w:bookmarkEnd w:id="21"/>
      <w:r>
        <w:t>Species Apportionment</w:t>
      </w:r>
    </w:p>
    <w:p w14:paraId="509DD4A1" w14:textId="77777777" w:rsidR="003B2CDA" w:rsidRDefault="00000000">
      <w:pPr>
        <w:pStyle w:val="FirstParagraph"/>
      </w:pPr>
      <w:r>
        <w:t>The total harvest of rockfish is apportioned to species and species complexes beginning with a partition into pelagic and non-pelagic categories such that</w:t>
      </w:r>
    </w:p>
    <w:p w14:paraId="51F31016" w14:textId="77777777" w:rsidR="003B2C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74BCEF89" w14:textId="77777777" w:rsidR="003B2CDA" w:rsidRDefault="00000000">
      <w:pPr>
        <w:pStyle w:val="BodyText"/>
      </w:pPr>
      <w:r>
        <w:lastRenderedPageBreak/>
        <w:t>and</w:t>
      </w:r>
    </w:p>
    <w:p w14:paraId="0F3E48EB" w14:textId="77777777" w:rsidR="003B2C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63801372"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4376DF78" w14:textId="77777777" w:rsidR="003B2C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4267DD61"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25A4A376" w14:textId="77777777" w:rsidR="003B2CDA" w:rsidRDefault="00000000">
      <w:pPr>
        <w:pStyle w:val="BodyText"/>
      </w:pPr>
      <w:r>
        <w:t>Yelloweye rockfish comprise a component of the non-pelagic assemblage such that the harvest of yelloweye</w:t>
      </w:r>
    </w:p>
    <w:p w14:paraId="381FBBD0" w14:textId="77777777" w:rsidR="003B2C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3474DB27"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020830AD" w14:textId="77777777" w:rsidR="003B2CDA" w:rsidRDefault="00000000">
      <w:pPr>
        <w:pStyle w:val="BodyText"/>
      </w:pPr>
      <w:r>
        <w:t>The Southeast region tracks two other non-pelagic rockfish assemblages, demersal shelf rockfish (DSR, which technically includes yelloweye) and slope rockfish that are also components of the non-pelagic species assemblage such that</w:t>
      </w:r>
    </w:p>
    <w:p w14:paraId="0F401798" w14:textId="77777777" w:rsidR="003B2C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28D5E549" w14:textId="77777777" w:rsidR="003B2C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30C9DB71"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Although yelloweye rockfish are technically part of the DSR assemblage, in this analysis DSR do not include yelloweye rockfish.</w:t>
      </w:r>
    </w:p>
    <w:p w14:paraId="4AF44130" w14:textId="77777777" w:rsidR="003B2CDA" w:rsidRDefault="00000000">
      <w:pPr>
        <w:pStyle w:val="BodyText"/>
      </w:pPr>
      <w:r>
        <w:t>During the modern period beginning in 2020 the species composition was modeled as deviations about a mean value using a logit function to facilitate fitting linear models to probabilities such that</w:t>
      </w:r>
    </w:p>
    <w:p w14:paraId="17759EB0" w14:textId="77777777" w:rsidR="003B2CDA"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6558E05" w14:textId="77777777" w:rsidR="003B2C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6B36259D" w14:textId="77777777" w:rsidR="003B2CDA"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174DE309" w14:textId="77777777" w:rsidR="003B2CDA" w:rsidRDefault="00000000">
      <w:pPr>
        <w:pStyle w:val="BodyText"/>
      </w:pPr>
      <m:oMathPara>
        <m:oMath>
          <m:r>
            <m:rPr>
              <m:nor/>
            </m:rPr>
            <w:lastRenderedPageBreak/>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220B926F" w14:textId="77777777" w:rsidR="003B2C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30FD6EB6" w14:textId="77777777" w:rsidR="003B2CDA"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where</w:t>
      </w:r>
    </w:p>
    <w:p w14:paraId="058D136A"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102E6E13" w14:textId="77777777" w:rsidR="003B2CDA" w:rsidRDefault="00000000">
      <w:pPr>
        <w:pStyle w:val="BodyText"/>
      </w:pPr>
      <w:r>
        <w:t>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parameters interact such that when both have the same sign (positive or negative), the realized slope of the curve is positive and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Thus, </w:t>
      </w:r>
      <m:oMath>
        <m:r>
          <w:rPr>
            <w:rFonts w:ascii="Cambria Math" w:hAnsi="Cambria Math"/>
          </w:rPr>
          <m:t>β1</m:t>
        </m:r>
      </m:oMath>
      <w:r>
        <w:t xml:space="preserve"> priors were</w:t>
      </w:r>
    </w:p>
    <w:p w14:paraId="60419AF4"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pelagic</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black</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0.1</m:t>
                  </m:r>
                </m:e>
              </m:d>
              <m:r>
                <m:rPr>
                  <m:sty m:val="p"/>
                </m:rPr>
                <w:rPr>
                  <w:rFonts w:ascii="Cambria Math" w:hAnsi="Cambria Math"/>
                </w:rPr>
                <m:t>,</m:t>
              </m:r>
              <m:r>
                <w:rPr>
                  <w:rFonts w:ascii="Cambria Math" w:hAnsi="Cambria Math"/>
                </w:rPr>
                <m:t>10</m:t>
              </m:r>
            </m:e>
          </m:d>
        </m:oMath>
      </m:oMathPara>
    </w:p>
    <w:p w14:paraId="4FE26A7E"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yelloweye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0.0001</m:t>
                  </m:r>
                </m:e>
              </m:d>
              <m:r>
                <m:rPr>
                  <m:sty m:val="p"/>
                </m:rPr>
                <w:rPr>
                  <w:rFonts w:ascii="Cambria Math" w:hAnsi="Cambria Math"/>
                </w:rPr>
                <m:t>,</m:t>
              </m:r>
              <m:r>
                <w:rPr>
                  <w:rFonts w:ascii="Cambria Math" w:hAnsi="Cambria Math"/>
                </w:rPr>
                <m:t>10</m:t>
              </m:r>
            </m:e>
          </m:d>
        </m:oMath>
      </m:oMathPara>
    </w:p>
    <w:p w14:paraId="3C1C342C" w14:textId="77777777" w:rsidR="003B2CDA" w:rsidRDefault="00000000">
      <w:pPr>
        <w:pStyle w:val="BodyText"/>
      </w:pPr>
      <w:r>
        <w:t xml:space="preserve">and the </w:t>
      </w:r>
      <m:oMath>
        <m:r>
          <w:rPr>
            <w:rFonts w:ascii="Cambria Math" w:hAnsi="Cambria Math"/>
          </w:rPr>
          <m:t>β2</m:t>
        </m:r>
      </m:oMath>
      <w:r>
        <w:t xml:space="preserve"> priors were</w:t>
      </w:r>
    </w:p>
    <w:p w14:paraId="210A5201"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23F8B7EC" w14:textId="77777777" w:rsidR="003B2CDA" w:rsidRDefault="00000000">
      <w:pPr>
        <w:pStyle w:val="BodyText"/>
      </w:pPr>
      <w:r>
        <w:t>for all areas and species assemblages other than Southeast pelagics which were given a prior of</w:t>
      </w:r>
    </w:p>
    <w:p w14:paraId="17B49E1F"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pelagics</m:t>
                  </m:r>
                </m:e>
              </m:d>
              <m:sSub>
                <m:sSubPr>
                  <m:ctrlPr>
                    <w:rPr>
                      <w:rFonts w:ascii="Cambria Math" w:hAnsi="Cambria Math"/>
                    </w:rPr>
                  </m:ctrlPr>
                </m:sSubPr>
                <m:e>
                  <m:r>
                    <w:rPr>
                      <w:rFonts w:ascii="Cambria Math" w:hAnsi="Cambria Math"/>
                    </w:rPr>
                    <m:t>a</m:t>
                  </m:r>
                </m:e>
                <m:sub>
                  <m:r>
                    <w:rPr>
                      <w:rFonts w:ascii="Cambria Math" w:hAnsi="Cambria Math"/>
                    </w:rPr>
                    <m:t>SE</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0722C662" w14:textId="77777777" w:rsidR="003B2CDA" w:rsidRDefault="00000000">
      <w:pPr>
        <w:pStyle w:val="BodyText"/>
      </w:pPr>
      <w:r>
        <w:t>to speed convergence. A uniform prior was applied to the inflection point parameters (</w:t>
      </w:r>
      <m:oMath>
        <m:r>
          <w:rPr>
            <w:rFonts w:ascii="Cambria Math" w:hAnsi="Cambria Math"/>
          </w:rPr>
          <m:t>β3</m:t>
        </m:r>
      </m:oMath>
      <w:r>
        <w:t>) bracketed by the time period during which data was available.</w:t>
      </w:r>
    </w:p>
    <w:p w14:paraId="5C215D24" w14:textId="77777777" w:rsidR="003B2CDA" w:rsidRDefault="00000000">
      <w:pPr>
        <w:pStyle w:val="BodyText"/>
      </w:pPr>
      <w:r>
        <w:t xml:space="preserve">The </w:t>
      </w:r>
      <m:oMath>
        <m:r>
          <w:rPr>
            <w:rFonts w:ascii="Cambria Math" w:hAnsi="Cambria Math"/>
          </w:rPr>
          <m:t>β</m:t>
        </m:r>
      </m:oMath>
      <w:r>
        <w:t xml:space="preserve"> parameters were generally slow to converge given the combinations of values that can fit plausible curves to the data. To speed convergence the </w:t>
      </w:r>
      <m:oMath>
        <m:r>
          <w:rPr>
            <w:rFonts w:ascii="Cambria Math" w:hAnsi="Cambria Math"/>
          </w:rPr>
          <m:t>β</m:t>
        </m:r>
      </m:oMath>
      <w:r>
        <w:t xml:space="preserve"> parameters were truncated during model development based on examination of posteriors and traceplots.</w:t>
      </w:r>
    </w:p>
    <w:p w14:paraId="06FF091F" w14:textId="77777777" w:rsidR="003B2CDA"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010D91FA" w14:textId="77777777" w:rsidR="003B2CDA"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00A5E1A4" w14:textId="77777777" w:rsidR="003B2CDA" w:rsidRDefault="00000000">
      <w:pPr>
        <w:pStyle w:val="BodyText"/>
      </w:pPr>
      <w:r>
        <w:t>where</w:t>
      </w:r>
    </w:p>
    <w:p w14:paraId="76CDFE6F" w14:textId="77777777" w:rsidR="003B2CDA"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comp</m:t>
                  </m:r>
                </m:sub>
              </m:sSub>
            </m:e>
          </m:d>
        </m:oMath>
      </m:oMathPara>
    </w:p>
    <w:p w14:paraId="57A6D3F5" w14:textId="77777777" w:rsidR="003B2CDA"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comp</m:t>
              </m:r>
            </m:sub>
          </m:sSub>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361E3140" w14:textId="77777777" w:rsidR="003B2CDA" w:rsidRDefault="00000000">
      <w:pPr>
        <w:pStyle w:val="BodyText"/>
      </w:pPr>
      <w:r>
        <w:t>It was necessary to describe three time periods around which the random effects were divided. The first period started in 1977 (</w:t>
      </w:r>
      <m:oMath>
        <m:sSub>
          <m:sSubPr>
            <m:ctrlPr>
              <w:rPr>
                <w:rFonts w:ascii="Cambria Math" w:hAnsi="Cambria Math"/>
              </w:rPr>
            </m:ctrlPr>
          </m:sSubPr>
          <m:e>
            <m:r>
              <w:rPr>
                <w:rFonts w:ascii="Cambria Math" w:hAnsi="Cambria Math"/>
              </w:rPr>
              <m:t>y</m:t>
            </m:r>
          </m:e>
          <m:sub>
            <m:r>
              <w:rPr>
                <w:rFonts w:ascii="Cambria Math" w:hAnsi="Cambria Math"/>
              </w:rPr>
              <m:t>1</m:t>
            </m:r>
          </m:sub>
        </m:sSub>
      </m:oMath>
      <w:r>
        <w:t>) and went through the period that lacked species composition data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14:paraId="3F543686" w14:textId="77777777" w:rsidR="003B2CDA"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w:t>
      </w:r>
      <m:oMath>
        <m:r>
          <w:rPr>
            <w:rFonts w:ascii="Cambria Math" w:hAnsi="Cambria Math"/>
          </w:rPr>
          <m:t>β3</m:t>
        </m:r>
      </m:oMath>
      <w:r>
        <w:t xml:space="preserve"> (inflection point) was fixed to an arbitrary number and thus equation </w:t>
      </w:r>
      <w:r>
        <w:rPr>
          <w:b/>
          <w:bCs/>
        </w:rPr>
        <w:t>XX</w:t>
      </w:r>
      <w:r>
        <w:t xml:space="preserve"> resolves to equation </w:t>
      </w:r>
      <w:r>
        <w:rPr>
          <w:b/>
          <w:bCs/>
        </w:rPr>
        <w:t>XX</w:t>
      </w:r>
      <w:r>
        <w:t xml:space="preserve"> so that the long term mean value was used for hindcasting. Pelagics in the CI, NG, EWYKT and all Kodiak areas, all black rockfish other than in the NSEI, yelloweye in CI, EWYKT, SSEO and all Kodiak areas, and all DSR and slope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assumed a long term mean.</w:t>
      </w:r>
    </w:p>
    <w:p w14:paraId="1CBC7717" w14:textId="77777777" w:rsidR="003B2CDA" w:rsidRDefault="00000000">
      <w:pPr>
        <w:pStyle w:val="BodyText"/>
      </w:pPr>
      <w:r>
        <w:t xml:space="preserve">A regional hierarchical approach was considered for modelling species compositions over time, but it was decided that species composition likely reflected local habitat and that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such that</w:t>
      </w:r>
    </w:p>
    <w:p w14:paraId="053180FB"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e>
          </m:d>
        </m:oMath>
      </m:oMathPara>
    </w:p>
    <w:p w14:paraId="572DC592"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e>
          </m:d>
        </m:oMath>
      </m:oMathPara>
    </w:p>
    <w:p w14:paraId="12014836" w14:textId="77777777" w:rsidR="003B2CDA" w:rsidRDefault="00000000">
      <w:pPr>
        <w:pStyle w:val="BodyText"/>
      </w:pPr>
      <w:r>
        <w:t>where</w:t>
      </w:r>
    </w:p>
    <w:p w14:paraId="563BEEBF"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5442F8E4" w14:textId="77777777" w:rsidR="003B2CD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28532510" w14:textId="77777777" w:rsidR="003B2CD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18C18F50" w14:textId="77777777" w:rsidR="003B2CDA" w:rsidRDefault="00000000">
      <w:pPr>
        <w:pStyle w:val="BodyText"/>
      </w:pPr>
      <w:r>
        <w:t xml:space="preserve">Note that Kodiak species compositions were all modelled with long term means so </w:t>
      </w:r>
      <m:oMath>
        <m:r>
          <w:rPr>
            <w:rFonts w:ascii="Cambria Math" w:hAnsi="Cambria Math"/>
          </w:rPr>
          <m:t>β1</m:t>
        </m:r>
      </m:oMath>
      <w:r>
        <w:t xml:space="preserve">, </w:t>
      </w:r>
      <m:oMath>
        <m:r>
          <w:rPr>
            <w:rFonts w:ascii="Cambria Math" w:hAnsi="Cambria Math"/>
          </w:rPr>
          <m:t>β2</m:t>
        </m:r>
      </m:oMath>
      <w:r>
        <w:t xml:space="preserve"> and </w:t>
      </w:r>
      <m:oMath>
        <m:r>
          <w:rPr>
            <w:rFonts w:ascii="Cambria Math" w:hAnsi="Cambria Math"/>
          </w:rPr>
          <m:t>β3</m:t>
        </m:r>
      </m:oMath>
      <w:r>
        <w:t xml:space="preserve"> were fixed.</w:t>
      </w:r>
    </w:p>
    <w:p w14:paraId="54A3A1E4" w14:textId="77777777" w:rsidR="003B2CDA" w:rsidRDefault="00000000">
      <w:pPr>
        <w:pStyle w:val="Heading3"/>
      </w:pPr>
      <w:bookmarkStart w:id="23" w:name="releases"/>
      <w:bookmarkEnd w:id="22"/>
      <w:r>
        <w:t>Releases</w:t>
      </w:r>
    </w:p>
    <w:p w14:paraId="248679A7" w14:textId="77777777" w:rsidR="003B2CDA" w:rsidRDefault="00000000">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w:t>
      </w:r>
      <w:r>
        <w:lastRenderedPageBreak/>
        <w:t xml:space="preserve">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55F5BCA1" w14:textId="77777777" w:rsidR="003B2CDA" w:rsidRDefault="00000000">
      <w:pPr>
        <w:pStyle w:val="BodyText"/>
      </w:pPr>
      <w:r>
        <w:t xml:space="preserve">Release data from the SWHS is for all rockfish combined and the release data from logbooks is subdivided into pelagics, yelloweye and “other” (non-pelagic, non-yelloweye).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4F5258D5" w14:textId="77777777" w:rsidR="003B2CDA"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2526D63F" w14:textId="77777777" w:rsidR="003B2CDA"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DF5F3D2" w14:textId="77777777" w:rsidR="003B2CDA" w:rsidRDefault="00000000">
      <w:pPr>
        <w:pStyle w:val="BodyText"/>
      </w:pPr>
      <w:r>
        <w:t>with total releases equal to the sum of the compositional releases.</w:t>
      </w:r>
    </w:p>
    <w:p w14:paraId="3F979D53" w14:textId="77777777" w:rsidR="003B2CDA" w:rsidRDefault="00000000">
      <w:pPr>
        <w:pStyle w:val="BodyText"/>
      </w:pPr>
      <w:r>
        <w:t>For the modern period beginning in 2020 the proportion harvested, pH, was modeled as deviations about a mean such that</w:t>
      </w:r>
    </w:p>
    <w:p w14:paraId="367B516B" w14:textId="77777777" w:rsidR="003B2CDA"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33EF4EAA" w14:textId="77777777" w:rsidR="003B2C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7EA98C99" w14:textId="77777777" w:rsidR="003B2CDA" w:rsidRDefault="00000000">
      <w:pPr>
        <w:pStyle w:val="BodyText"/>
      </w:pPr>
      <w:r>
        <w:t xml:space="preserve">For this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4983B64D" w14:textId="77777777" w:rsidR="003B2CDA"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CF59764" w14:textId="77777777" w:rsidR="003B2C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w:t>
      </w:r>
      <w:r>
        <w:lastRenderedPageBreak/>
        <w:t xml:space="preserve">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 </w:t>
      </w:r>
      <w:r>
        <w:rPr>
          <w:b/>
          <w:bCs/>
        </w:rPr>
        <w:t>XX</w:t>
      </w:r>
      <w:r>
        <w:t xml:space="preserve"> for species compositions.</w:t>
      </w:r>
    </w:p>
    <w:p w14:paraId="54BDB4FD" w14:textId="77777777" w:rsidR="003B2CDA"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area specific </w:t>
      </w:r>
      <m:oMath>
        <m:r>
          <w:rPr>
            <w:rFonts w:ascii="Cambria Math" w:hAnsi="Cambria Math"/>
          </w:rPr>
          <m:t>β0</m:t>
        </m:r>
      </m:oMath>
      <w:r>
        <w:t xml:space="preserve">, </w:t>
      </w:r>
      <m:oMath>
        <m:r>
          <w:rPr>
            <w:rFonts w:ascii="Cambria Math" w:hAnsi="Cambria Math"/>
          </w:rPr>
          <m:t>β1</m:t>
        </m:r>
      </m:oMath>
      <w:r>
        <w:t xml:space="preserve">, and </w:t>
      </w:r>
      <m:oMath>
        <m:r>
          <w:rPr>
            <w:rFonts w:ascii="Cambria Math" w:hAnsi="Cambria Math"/>
          </w:rPr>
          <m:t>β2</m:t>
        </m:r>
      </m:oMath>
      <w:r>
        <w:t xml:space="preserve"> parameters were centered around region-specific hyperpriors such that</w:t>
      </w:r>
    </w:p>
    <w:p w14:paraId="0CD529B3"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e>
          </m:d>
        </m:oMath>
      </m:oMathPara>
    </w:p>
    <w:p w14:paraId="68AD7F0F"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62F043C7"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3665279F" w14:textId="77777777" w:rsidR="003B2CDA" w:rsidRDefault="00000000">
      <w:pPr>
        <w:pStyle w:val="BodyText"/>
      </w:pPr>
      <w:r>
        <w:t>where</w:t>
      </w:r>
    </w:p>
    <w:p w14:paraId="61ADE20A"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66C58D52"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0.00001</m:t>
                  </m:r>
                </m:e>
              </m:d>
              <m:r>
                <m:rPr>
                  <m:sty m:val="p"/>
                </m:rPr>
                <w:rPr>
                  <w:rFonts w:ascii="Cambria Math" w:hAnsi="Cambria Math"/>
                </w:rPr>
                <m:t>,</m:t>
              </m:r>
              <m:r>
                <w:rPr>
                  <w:rFonts w:ascii="Cambria Math" w:hAnsi="Cambria Math"/>
                </w:rPr>
                <m:t>10</m:t>
              </m:r>
            </m:e>
          </m:d>
        </m:oMath>
      </m:oMathPara>
    </w:p>
    <w:p w14:paraId="43CB6E03" w14:textId="77777777" w:rsidR="003B2CD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6E484027" w14:textId="77777777" w:rsidR="003B2CDA" w:rsidRDefault="00000000">
      <w:pPr>
        <w:pStyle w:val="BodyText"/>
      </w:pPr>
      <m:oMathPara>
        <m:oMath>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64D21AEA" w14:textId="77777777" w:rsidR="003B2CDA" w:rsidRDefault="00000000">
      <w:pPr>
        <w:pStyle w:val="BodyText"/>
      </w:pPr>
      <w:r>
        <w:t xml:space="preserve">where </w:t>
      </w:r>
      <w:r>
        <w:rPr>
          <w:i/>
          <w:iCs/>
        </w:rPr>
        <w:t>region</w:t>
      </w:r>
      <w:r>
        <w:t xml:space="preserve"> refers to Kodiak, Southcentral and Southeast. 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parameters were also truncated as necessary during model development to speed convergence and based on examination of traceplots and posterior distributions.</w:t>
      </w:r>
    </w:p>
    <w:p w14:paraId="6B5F81DC" w14:textId="77777777" w:rsidR="003B2CDA" w:rsidRDefault="00000000">
      <w:pPr>
        <w:pStyle w:val="BodyText"/>
      </w:pPr>
      <w:r>
        <w:t xml:space="preserve">When </w:t>
      </w:r>
      <m:oMath>
        <m:r>
          <w:rPr>
            <w:rFonts w:ascii="Cambria Math" w:hAnsi="Cambria Math"/>
          </w:rPr>
          <m:t>β</m:t>
        </m:r>
      </m:oMath>
      <w:r>
        <w:t xml:space="preserve"> parameters were inestimable as a result of no discernible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and </w:t>
      </w:r>
      <m:oMath>
        <m:r>
          <w:rPr>
            <w:rFonts w:ascii="Cambria Math" w:hAnsi="Cambria Math"/>
          </w:rPr>
          <m:t>β3</m:t>
        </m:r>
      </m:oMath>
      <w:r>
        <w:t xml:space="preserve"> (inflection point) was fixed to an arbitrary value so that equation </w:t>
      </w:r>
      <w:r>
        <w:rPr>
          <w:b/>
          <w:bCs/>
        </w:rPr>
        <w:t>XX</w:t>
      </w:r>
      <w:r>
        <w:t xml:space="preserve"> resolves to equation </w:t>
      </w:r>
      <w:r>
        <w:rPr>
          <w:b/>
          <w:bCs/>
        </w:rPr>
        <w:t>XX</w:t>
      </w:r>
      <w:r>
        <w:t xml:space="preserve"> and the long term mean value was used for hindcasting. Long term means were fit for WKMA pelagics, all yelloweye, CI, BSAI, SOKO2SAP, and WKMA “other” rockfish, and SE slope rockfish assemblages.</w:t>
      </w:r>
    </w:p>
    <w:p w14:paraId="4A05C29E" w14:textId="77777777" w:rsidR="003B2CDA" w:rsidRDefault="00000000">
      <w:pPr>
        <w:pStyle w:val="BodyText"/>
      </w:pPr>
      <w:r>
        <w:t xml:space="preserve">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describing the offset of the </w:t>
      </w:r>
      <w:r>
        <w:rPr>
          <w:i/>
          <w:iCs/>
        </w:rPr>
        <w:t>pH</w:t>
      </w:r>
      <w:r>
        <w:t xml:space="preserve"> logistic curve (or long-term average) for unguided anglers used a prior developed from the SWHS data that indicated whether private anglers were more or less likely to harvest a landed rockfish. The SWHS provides information on the relative number of total rockfish caught, retained and released for each user group and was used to derive an informative prior on retention probabilities, </w:t>
      </w:r>
      <w:r>
        <w:rPr>
          <w:i/>
          <w:iCs/>
        </w:rPr>
        <w:t>pH</w:t>
      </w:r>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xml:space="preserve">), to </w:t>
      </w:r>
      <w:r>
        <w:lastRenderedPageBreak/>
        <w:t>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5A07FE3D" w14:textId="77777777" w:rsidR="003B2CD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7FB15800" w14:textId="77777777" w:rsidR="003B2CDA" w:rsidRDefault="00000000">
      <w:pPr>
        <w:pStyle w:val="BodyText"/>
      </w:pPr>
      <w:r>
        <w:t xml:space="preserve">such that the proportion harvested for each user group, </w:t>
      </w:r>
      <w:r>
        <w:rPr>
          <w:i/>
          <w:iCs/>
        </w:rPr>
        <w:t>u</w:t>
      </w:r>
      <w:r>
        <w:t>, is</w:t>
      </w:r>
    </w:p>
    <w:p w14:paraId="518A0324" w14:textId="77777777" w:rsidR="003B2CD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36A761C2" w14:textId="77777777" w:rsidR="003B2CDA"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4E5E159C" w14:textId="77777777" w:rsidR="003B2CDA"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0A6FDC1D" w14:textId="77777777" w:rsidR="003B2CDA" w:rsidRDefault="00000000">
      <w:pPr>
        <w:pStyle w:val="BodyText"/>
      </w:pPr>
      <w:r>
        <w:t xml:space="preserve">For each area the area specific mean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005C013B" w14:textId="77777777" w:rsidR="003B2C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64A7ECDA" w14:textId="77777777" w:rsidR="003B2CDA"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19365EC9" w14:textId="77777777" w:rsidR="003B2CD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r>
                    <w:rPr>
                      <w:rFonts w:ascii="Cambria Math" w:hAnsi="Cambria Math"/>
                    </w:rPr>
                    <m:t>pHayu</m:t>
                  </m:r>
                </m:sub>
                <m:sup>
                  <m:r>
                    <w:rPr>
                      <w:rFonts w:ascii="Cambria Math" w:hAnsi="Cambria Math"/>
                    </w:rPr>
                    <m:t>2</m:t>
                  </m:r>
                </m:sup>
              </m:sSubSup>
            </m:e>
          </m:d>
        </m:oMath>
      </m:oMathPara>
    </w:p>
    <w:p w14:paraId="55DF02FC" w14:textId="77777777" w:rsidR="003B2CDA" w:rsidRDefault="00000000">
      <w:pPr>
        <w:pStyle w:val="BodyText"/>
      </w:pPr>
      <w:r>
        <w:t>and</w:t>
      </w:r>
    </w:p>
    <w:p w14:paraId="67825FB3" w14:textId="77777777" w:rsidR="003B2CDA"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0F9E5449" w14:textId="77777777" w:rsidR="003B2CDA"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oMath>
      <w:r>
        <w:t xml:space="preserve"> assumed vague priors</w:t>
      </w:r>
    </w:p>
    <w:p w14:paraId="48142A78" w14:textId="77777777" w:rsidR="003B2CDA"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32</m:t>
              </m:r>
            </m:e>
          </m:d>
        </m:oMath>
      </m:oMathPara>
    </w:p>
    <w:p w14:paraId="48AE0F0A" w14:textId="77777777" w:rsidR="003B2CDA" w:rsidRDefault="00000000">
      <w:pPr>
        <w:pStyle w:val="BodyText"/>
      </w:pPr>
      <m:oMathPara>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Gamma</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0.1</m:t>
              </m:r>
            </m:e>
          </m:d>
        </m:oMath>
      </m:oMathPara>
    </w:p>
    <w:p w14:paraId="5883DD7B" w14:textId="77777777" w:rsidR="003B2CDA" w:rsidRDefault="00000000">
      <w:pPr>
        <w:pStyle w:val="Heading3"/>
      </w:pPr>
      <w:bookmarkStart w:id="24" w:name="total-mortality"/>
      <w:bookmarkEnd w:id="23"/>
      <w:r>
        <w:t>Total mortality</w:t>
      </w:r>
    </w:p>
    <w:p w14:paraId="55D49245" w14:textId="77777777" w:rsidR="003B2CDA" w:rsidRDefault="00000000">
      <w:pPr>
        <w:pStyle w:val="FirstParagraph"/>
      </w:pPr>
      <w:r>
        <w:t>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56FC520F" w14:textId="77777777" w:rsidR="003B2CDA" w:rsidRDefault="00000000">
      <w:pPr>
        <w:pStyle w:val="BodyText"/>
      </w:pPr>
      <w:r>
        <w:lastRenderedPageBreak/>
        <w:t>The total number of mortalities by year, area, user and species/species assemblage in numbers was calculated by summing harvests and release mortality such that</w:t>
      </w:r>
    </w:p>
    <w:p w14:paraId="28E4DFFE" w14:textId="77777777" w:rsidR="003B2CDA"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F71E53E"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8 REL_MORT).</w:t>
      </w:r>
    </w:p>
    <w:p w14:paraId="7F7470C8" w14:textId="77777777" w:rsidR="003B2CDA" w:rsidRDefault="00000000">
      <w:pPr>
        <w:pStyle w:val="Heading3"/>
      </w:pPr>
      <w:bookmarkStart w:id="25" w:name="biomass-conversions"/>
      <w:bookmarkEnd w:id="24"/>
      <w:r>
        <w:t>Biomass conversions</w:t>
      </w:r>
    </w:p>
    <w:p w14:paraId="3117B333" w14:textId="77777777" w:rsidR="003B2CDA" w:rsidRDefault="00000000">
      <w:pPr>
        <w:pStyle w:val="FirstParagraph"/>
      </w:pPr>
      <w:r>
        <w:t>Total removals in numbers of fish were converted to biomass in pounds using the average weight of fish as estimated from port sampling. Weights were modeled hierarchically to estimate weights in years when data was missing. The total biomass of removals by year, area, user and species was thus</w:t>
      </w:r>
    </w:p>
    <w:p w14:paraId="75427FD2" w14:textId="77777777" w:rsidR="003B2CDA"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32E8265" w14:textId="77777777" w:rsidR="003B2CDA"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7A4D0DC4" w14:textId="77777777" w:rsidR="003B2CDA" w:rsidRDefault="00000000">
      <w:pPr>
        <w:pStyle w:val="Heading2"/>
      </w:pPr>
      <w:bookmarkStart w:id="26" w:name="observation-equations"/>
      <w:bookmarkStart w:id="27" w:name="_Toc219449498"/>
      <w:bookmarkEnd w:id="19"/>
      <w:bookmarkEnd w:id="25"/>
      <w:r>
        <w:t>Observation equations</w:t>
      </w:r>
      <w:bookmarkEnd w:id="27"/>
    </w:p>
    <w:p w14:paraId="7916176E" w14:textId="77777777" w:rsidR="003B2CDA" w:rsidRDefault="00000000">
      <w:pPr>
        <w:pStyle w:val="Heading3"/>
      </w:pPr>
      <w:bookmarkStart w:id="28" w:name="harvests-1"/>
      <w:r>
        <w:t>Harvests</w:t>
      </w:r>
    </w:p>
    <w:p w14:paraId="5F8DC148" w14:textId="77777777" w:rsidR="003B2CDA"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5C3CDDC4"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261496A6" w14:textId="77777777" w:rsidR="003B2CDA"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7EE42E1A" w14:textId="77777777" w:rsidR="003B2CDA"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12C98672" w14:textId="77777777" w:rsidR="003B2CDA"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58378593"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650C4126" w14:textId="77777777" w:rsidR="003B2CDA"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222C4C76"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187E15CC"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3816FF2A"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6547AFBE"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0A2E02CA" w14:textId="77777777" w:rsidR="003B2CDA"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non-yelloweye DSR and slope harvests. Although yelloweye rockfish are </w:t>
      </w:r>
      <w:r>
        <w:lastRenderedPageBreak/>
        <w:t>technically part of the DSR complex, the DSR estimates in this report do not include yelloweye rockfish.</w:t>
      </w:r>
    </w:p>
    <w:p w14:paraId="222DAF0A" w14:textId="77777777" w:rsidR="003B2CDA" w:rsidRDefault="00000000">
      <w:pPr>
        <w:pStyle w:val="Heading3"/>
      </w:pPr>
      <w:bookmarkStart w:id="29" w:name="species-compositions-port-sampling"/>
      <w:bookmarkEnd w:id="28"/>
      <w:r>
        <w:t>Species Compositions (Port Sampling)</w:t>
      </w:r>
    </w:p>
    <w:p w14:paraId="4DA0DA30" w14:textId="77777777" w:rsidR="003B2CDA"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 relative to the true proportion of the harvest comprised of pelagic rockfish,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in area </w:t>
      </w:r>
      <w:r>
        <w:rPr>
          <w:i/>
          <w:iCs/>
        </w:rPr>
        <w:t>a</w:t>
      </w:r>
      <w:r>
        <w:t xml:space="preserve">, year </w:t>
      </w:r>
      <w:r>
        <w:rPr>
          <w:i/>
          <w:iCs/>
        </w:rPr>
        <w:t>y</w:t>
      </w:r>
      <w:r>
        <w:t xml:space="preserve"> by user group </w:t>
      </w:r>
      <w:r>
        <w:rPr>
          <w:i/>
          <w:iCs/>
        </w:rPr>
        <w:t>u</w:t>
      </w:r>
      <w:r>
        <w:t>, such that:</w:t>
      </w:r>
    </w:p>
    <w:p w14:paraId="2EDF4F30" w14:textId="77777777" w:rsidR="003B2C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47ED9F8E"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020EF07E" w14:textId="77777777" w:rsidR="003B2C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122CC673" w14:textId="77777777" w:rsidR="003B2CDA"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5AC5F7DB" w14:textId="77777777" w:rsidR="003B2C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77C26160" w14:textId="77777777" w:rsidR="003B2CDA" w:rsidRDefault="00000000">
      <w:pPr>
        <w:pStyle w:val="BodyText"/>
      </w:pPr>
      <w:r>
        <w:t>Southeast areas have two other non-pelagic groupings such that non-yelloweye DSR and slope rockfish are a proportion of non-pelagics such that</w:t>
      </w:r>
    </w:p>
    <w:p w14:paraId="771E9163" w14:textId="77777777" w:rsidR="003B2C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6ABC8A5C" w14:textId="77777777" w:rsidR="003B2CDA" w:rsidRDefault="00000000">
      <w:pPr>
        <w:pStyle w:val="BodyText"/>
      </w:pPr>
      <w:r>
        <w:t>and</w:t>
      </w:r>
    </w:p>
    <w:p w14:paraId="5E14CDF3" w14:textId="77777777" w:rsidR="003B2C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5F2DDE02" w14:textId="77777777" w:rsidR="003B2CDA" w:rsidRDefault="00000000">
      <w:pPr>
        <w:pStyle w:val="Heading3"/>
      </w:pPr>
      <w:bookmarkStart w:id="30" w:name="releases-1"/>
      <w:bookmarkEnd w:id="29"/>
      <w:r>
        <w:t>Releases</w:t>
      </w:r>
    </w:p>
    <w:p w14:paraId="7DAAE0CB" w14:textId="77777777" w:rsidR="003B2CDA"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1F7EC56F"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5D68E633" w14:textId="77777777" w:rsidR="003B2CDA" w:rsidRDefault="00000000">
      <w:pPr>
        <w:pStyle w:val="BodyText"/>
      </w:pPr>
      <w:r>
        <w:t>SWHS estimates of guided angler releases assumed an independent bias from that of the harvests such that</w:t>
      </w:r>
    </w:p>
    <w:p w14:paraId="1C54192E" w14:textId="77777777" w:rsidR="003B2CDA"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6156CDB4" w14:textId="77777777" w:rsidR="003B2CDA"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5A1E63FB" w14:textId="77777777" w:rsidR="003B2CDA"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5AEE7C1C"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0A1C158B"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72732107"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45C6F7D6"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7D1EB4F7" w14:textId="77777777" w:rsidR="003B2CDA" w:rsidRDefault="00000000">
      <w:pPr>
        <w:pStyle w:val="BodyText"/>
      </w:pPr>
      <w:r>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1E115AF9" w14:textId="77777777" w:rsidR="003B2C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1ADBC406"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of that species assemblage landed.</w:t>
      </w:r>
    </w:p>
    <w:p w14:paraId="7BFBCB2E" w14:textId="77777777" w:rsidR="003B2CDA"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w:t>
      </w:r>
      <w:r>
        <w:rPr>
          <w:strike/>
        </w:rPr>
        <w:t>However, the DSR assemblage has generally received more attention from the department and the DSR data is regarded as more reliable.</w:t>
      </w:r>
      <w:r>
        <w:t xml:space="preserve"> To accommodate apparent overdispersion in the angler interview data for the slope and DSR assemblages a logistic-normal random effect was used to inflate the variance (Molenberghs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oMath>
      <w:r>
        <w:t>, with area-specific overdispersion such that</w:t>
      </w:r>
    </w:p>
    <w:p w14:paraId="05AE9BFA" w14:textId="77777777" w:rsidR="003B2CDA"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m:oMathPara>
    </w:p>
    <w:p w14:paraId="16A26777"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is an area-specific random effect that compensates for overdisperion</w:t>
      </w:r>
    </w:p>
    <w:p w14:paraId="6F68090F" w14:textId="77777777" w:rsidR="003B2CDA"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e>
          </m:d>
        </m:oMath>
      </m:oMathPara>
    </w:p>
    <w:p w14:paraId="05307392" w14:textId="77777777" w:rsidR="003B2CDA"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was modelled with a uniform prior between 0 and 6, resulting in an adjusted binomial likelihood that accommodates the overdispersed probability as</w:t>
      </w:r>
    </w:p>
    <w:p w14:paraId="2ECE69E7" w14:textId="77777777" w:rsidR="003B2C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oMath>
      </m:oMathPara>
    </w:p>
    <w:p w14:paraId="3FC18FCB" w14:textId="77777777" w:rsidR="003B2CDA" w:rsidRDefault="00000000">
      <w:pPr>
        <w:pStyle w:val="BodyText"/>
      </w:pPr>
      <w:r>
        <w:rPr>
          <w:strike/>
        </w:rPr>
        <w:t>Initial modelling efforts included inflated variation for both DSR and slope assemblages, but those models were unable to discriminate between overdispersion in the two assemblages. In addition to the greater attention paid to DSR, sample sizes were also greater and the model performed well when overdispersion was only invoked for the slope assemblage.</w:t>
      </w:r>
    </w:p>
    <w:p w14:paraId="7FB64685" w14:textId="77777777" w:rsidR="003B2CDA" w:rsidRDefault="00000000">
      <w:pPr>
        <w:pStyle w:val="BodyText"/>
      </w:pPr>
      <w:r>
        <w:t>Release estimates interact such that the model estimates of species-specific releases must sum to the bias corrected SWHS estimate of releases for both user groups such that</w:t>
      </w:r>
    </w:p>
    <w:p w14:paraId="0EBC4C1D" w14:textId="77777777" w:rsidR="003B2CDA"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68C0A84F" w14:textId="77777777" w:rsidR="003B2CDA" w:rsidRDefault="00000000">
      <w:pPr>
        <w:pStyle w:val="BodyText"/>
      </w:pPr>
      <w:r>
        <w:t>and for Southeast areas</w:t>
      </w:r>
    </w:p>
    <w:p w14:paraId="4205CC3F" w14:textId="77777777" w:rsidR="003B2CDA"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737955CA" w14:textId="77777777" w:rsidR="003B2CDA"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w:t>
      </w:r>
      <w:r>
        <w:lastRenderedPageBreak/>
        <w:t xml:space="preserve">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portside interview data is the primary driver of unguided release estimates, but the other data sources and modelled interactions provide further information where interview data is limited or absent.</w:t>
      </w:r>
    </w:p>
    <w:p w14:paraId="10DD1C79" w14:textId="77777777" w:rsidR="003B2CDA" w:rsidRDefault="00000000">
      <w:pPr>
        <w:pStyle w:val="Heading3"/>
      </w:pPr>
      <w:bookmarkStart w:id="31" w:name="weights"/>
      <w:bookmarkEnd w:id="30"/>
      <w:r>
        <w:t>Weights</w:t>
      </w:r>
    </w:p>
    <w:p w14:paraId="0D9A0BA0" w14:textId="77777777" w:rsidR="003B2CDA"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69BCBF68" w14:textId="77777777" w:rsidR="003B2CDA"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0907E129" w14:textId="77777777" w:rsidR="003B2CDA"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prior for the species mean weight was centered on the mean of the data and corresponding variance and standard deviation.</w:t>
      </w:r>
    </w:p>
    <w:p w14:paraId="0E559659" w14:textId="77777777" w:rsidR="003B2CDA" w:rsidRDefault="00000000">
      <w:pPr>
        <w:pStyle w:val="BodyText"/>
      </w:pPr>
      <w:r>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04758D82" w14:textId="77777777" w:rsidR="003B2CDA"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2CC2580B"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36B87118" w14:textId="77777777" w:rsidR="003B2CDA" w:rsidRDefault="00000000">
      <w:pPr>
        <w:pStyle w:val="BodyText"/>
      </w:pPr>
      <w:r>
        <w:t>Observed mean weights assume a normal distribution such that</w:t>
      </w:r>
    </w:p>
    <w:p w14:paraId="5CD76A0D" w14:textId="77777777" w:rsidR="003B2CDA"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4F0C67BD"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w:t>
      </w:r>
    </w:p>
    <w:p w14:paraId="29F49088" w14:textId="77777777" w:rsidR="003B2CDA" w:rsidRDefault="00000000">
      <w:pPr>
        <w:pStyle w:val="Heading3"/>
      </w:pPr>
      <w:bookmarkStart w:id="32" w:name="X80429dd3efbff01d1a40e42b33042e32d99ec3c"/>
      <w:bookmarkEnd w:id="31"/>
      <w:r>
        <w:t>Kodiak Stereoscopic Species Apportionment</w:t>
      </w:r>
    </w:p>
    <w:p w14:paraId="26598733" w14:textId="77777777" w:rsidR="003B2CDA" w:rsidRDefault="00000000">
      <w:pPr>
        <w:pStyle w:val="FirstParagraph"/>
      </w:pPr>
      <w:r>
        <w:t>Kodiak has limited port sampling beyond the main harbors but has a robust hydroacoustic survey that is used to quantify black rockfish abundance across the management area and uses stereocameras to define the species compositions of the hydroacoustic based fish counts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53A4888B" w14:textId="77777777" w:rsidR="003B2C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au</m:t>
              </m:r>
            </m:sub>
          </m:sSub>
        </m:oMath>
      </m:oMathPara>
    </w:p>
    <w:p w14:paraId="6A170E3E" w14:textId="77777777" w:rsidR="003B2CDA" w:rsidRDefault="00000000">
      <w:pPr>
        <w:pStyle w:val="BodyText"/>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118A40E2" w14:textId="77777777" w:rsidR="003B2CDA"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7FE7E834" w14:textId="77777777" w:rsidR="003B2CDA" w:rsidRDefault="00000000">
      <w:pPr>
        <w:pStyle w:val="BodyText"/>
      </w:pPr>
      <w:r>
        <w:t>where</w:t>
      </w:r>
    </w:p>
    <w:p w14:paraId="7EC40561" w14:textId="77777777" w:rsidR="003B2CDA"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410F490F" w14:textId="77777777" w:rsidR="003B2CDA"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027290CE" w14:textId="77777777" w:rsidR="003B2CDA"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0029E5D6" w14:textId="77777777" w:rsidR="003B2CDA"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626302A8" w14:textId="77777777" w:rsidR="003B2CDA"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0B69D58C" w14:textId="77777777" w:rsidR="003B2CDA" w:rsidRDefault="00000000">
      <w:pPr>
        <w:pStyle w:val="BodyText"/>
      </w:pPr>
      <w:r>
        <w:t>and the variance is approximated using the delta method (Casella and Berger 2002) as</w:t>
      </w:r>
    </w:p>
    <w:p w14:paraId="7632225D" w14:textId="77777777" w:rsidR="003B2CDA"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7C5D4710" w14:textId="77777777" w:rsidR="003B2CDA"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217C25A1" w14:textId="77777777" w:rsidR="003B2CDA" w:rsidRDefault="00000000">
      <w:pPr>
        <w:pStyle w:val="Heading2"/>
      </w:pPr>
      <w:bookmarkStart w:id="33" w:name="model-platform-and-diagnostics"/>
      <w:bookmarkStart w:id="34" w:name="_Toc219449499"/>
      <w:bookmarkEnd w:id="26"/>
      <w:bookmarkEnd w:id="32"/>
      <w:r>
        <w:t>Model platform and diagnostics</w:t>
      </w:r>
      <w:bookmarkEnd w:id="34"/>
    </w:p>
    <w:p w14:paraId="32BC4BDC" w14:textId="77777777" w:rsidR="003B2CDA" w:rsidRDefault="00000000">
      <w:pPr>
        <w:pStyle w:val="FirstParagraph"/>
      </w:pPr>
      <w:r>
        <w:t xml:space="preserve">The model was run using JAGS version 4.3.1 using the jagsUI and rjags packages (Plummer et al. 2006, Lunn et al. 2009, Plummer 2024) on the statistical R Statistical Software (v4.4.3;R Core Team 2021). Note that in the JAGS code normal and lognormal distributions take </w:t>
      </w:r>
      <m:oMath>
        <m:r>
          <w:rPr>
            <w:rFonts w:ascii="Cambria Math" w:hAnsi="Cambria Math"/>
          </w:rPr>
          <m:t>τ</m:t>
        </m:r>
      </m:oMath>
      <w:r>
        <w:t xml:space="preserve"> values that are related to true standard deviations such that</w:t>
      </w:r>
    </w:p>
    <w:p w14:paraId="7CB6FD80" w14:textId="77777777" w:rsidR="003B2CDA" w:rsidRDefault="00000000">
      <w:pPr>
        <w:pStyle w:val="BodyText"/>
      </w:pPr>
      <m:oMathPara>
        <m:oMath>
          <m:r>
            <w:rPr>
              <w:rFonts w:ascii="Cambria Math" w:hAnsi="Cambria Math"/>
            </w:rPr>
            <m:t>τ 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oMath>
      </m:oMathPara>
    </w:p>
    <w:p w14:paraId="13281BC0" w14:textId="77777777" w:rsidR="003B2CDA" w:rsidRDefault="00000000">
      <w:pPr>
        <w:pStyle w:val="BodyText"/>
      </w:pPr>
      <w:r>
        <w:t xml:space="preserve">The model was run with 3 MCMC chains for 2,000,000 iterations with a burn-in of 200,000 iterations and a thinning rate of 1,800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04BD5F28" w14:textId="77777777" w:rsidR="003B2CDA" w:rsidRDefault="00000000">
      <w:pPr>
        <w:pStyle w:val="Heading1"/>
      </w:pPr>
      <w:bookmarkStart w:id="35" w:name="results"/>
      <w:bookmarkStart w:id="36" w:name="_Toc219449500"/>
      <w:bookmarkEnd w:id="8"/>
      <w:bookmarkEnd w:id="33"/>
      <w:r>
        <w:lastRenderedPageBreak/>
        <w:t>Results</w:t>
      </w:r>
      <w:bookmarkEnd w:id="36"/>
    </w:p>
    <w:p w14:paraId="6FF8432A" w14:textId="77777777" w:rsidR="003B2CDA" w:rsidRDefault="00000000">
      <w:pPr>
        <w:pStyle w:val="FirstParagraph"/>
      </w:pPr>
      <w:r>
        <w:t>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particularly in recent years that include port side interview data on release and retention behavior. The large difference is unsurprising given the bias correction undertaken in the Bayesian model, the use of the proportion harvested data from the logbook program, and the integration of the portside interview data.</w:t>
      </w:r>
    </w:p>
    <w:p w14:paraId="2235A6F5" w14:textId="77777777" w:rsidR="003B2CDA" w:rsidRDefault="00000000">
      <w:pPr>
        <w:pStyle w:val="BodyText"/>
      </w:pPr>
      <w:r>
        <w:t xml:space="preserve">The model was 99.85% converged based on </w:t>
      </w:r>
      <m:oMath>
        <m:acc>
          <m:accPr>
            <m:ctrlPr>
              <w:rPr>
                <w:rFonts w:ascii="Cambria Math" w:hAnsi="Cambria Math"/>
              </w:rPr>
            </m:ctrlPr>
          </m:accPr>
          <m:e>
            <m:r>
              <w:rPr>
                <w:rFonts w:ascii="Cambria Math" w:hAnsi="Cambria Math"/>
              </w:rPr>
              <m:t>R</m:t>
            </m:r>
          </m:e>
        </m:acc>
      </m:oMath>
      <w:r>
        <w:t xml:space="preserve"> values below 1.1 and 95.33% converged based on </w:t>
      </w:r>
      <m:oMath>
        <m:acc>
          <m:accPr>
            <m:ctrlPr>
              <w:rPr>
                <w:rFonts w:ascii="Cambria Math" w:hAnsi="Cambria Math"/>
              </w:rPr>
            </m:ctrlPr>
          </m:accPr>
          <m:e>
            <m:r>
              <w:rPr>
                <w:rFonts w:ascii="Cambria Math" w:hAnsi="Cambria Math"/>
              </w:rPr>
              <m:t>R</m:t>
            </m:r>
          </m:e>
        </m:acc>
      </m:oMath>
      <w:r>
        <w:t xml:space="preserve"> values below 1.01 (Gelman and Rubin 1992). All contemporary estimates from 2020 onward were well converged and demonstrate this model will be reliable for annual estimation of rockfish harvests. The maximum </w:t>
      </w:r>
      <m:oMath>
        <m:acc>
          <m:accPr>
            <m:ctrlPr>
              <w:rPr>
                <w:rFonts w:ascii="Cambria Math" w:hAnsi="Cambria Math"/>
              </w:rPr>
            </m:ctrlPr>
          </m:accPr>
          <m:e>
            <m:r>
              <w:rPr>
                <w:rFonts w:ascii="Cambria Math" w:hAnsi="Cambria Math"/>
              </w:rPr>
              <m:t>R</m:t>
            </m:r>
          </m:e>
        </m:acc>
      </m:oMath>
      <w:r>
        <w:t xml:space="preserve"> was 1.26.</w:t>
      </w:r>
    </w:p>
    <w:p w14:paraId="7F52D2DA" w14:textId="77777777" w:rsidR="003B2CDA" w:rsidRDefault="00000000">
      <w:pPr>
        <w:pStyle w:val="BodyText"/>
      </w:pPr>
      <w:r>
        <w:t xml:space="preserve">Of the true parameters in the model, 94 failed to converge to an </w:t>
      </w:r>
      <m:oMath>
        <m:acc>
          <m:accPr>
            <m:ctrlPr>
              <w:rPr>
                <w:rFonts w:ascii="Cambria Math" w:hAnsi="Cambria Math"/>
              </w:rPr>
            </m:ctrlPr>
          </m:accPr>
          <m:e>
            <m:r>
              <w:rPr>
                <w:rFonts w:ascii="Cambria Math" w:hAnsi="Cambria Math"/>
              </w:rPr>
              <m:t>R</m:t>
            </m:r>
          </m:e>
        </m:acc>
      </m:oMath>
      <w:r>
        <w:t xml:space="preserve"> of 1.01 but only 3 of those had </w:t>
      </w:r>
      <m:oMath>
        <m:acc>
          <m:accPr>
            <m:ctrlPr>
              <w:rPr>
                <w:rFonts w:ascii="Cambria Math" w:hAnsi="Cambria Math"/>
              </w:rPr>
            </m:ctrlPr>
          </m:accPr>
          <m:e>
            <m:r>
              <w:rPr>
                <w:rFonts w:ascii="Cambria Math" w:hAnsi="Cambria Math"/>
              </w:rPr>
              <m:t>R</m:t>
            </m:r>
          </m:e>
        </m:acc>
      </m:oMath>
      <w:r>
        <w:t xml:space="preserve"> values above 1.1 (Table XXX). The beta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that would likely converge with longer runs. One of the unconverged true parameters was a </w:t>
      </w:r>
      <m:oMath>
        <m:sSub>
          <m:sSubPr>
            <m:ctrlPr>
              <w:rPr>
                <w:rFonts w:ascii="Cambria Math" w:hAnsi="Cambria Math"/>
              </w:rPr>
            </m:ctrlPr>
          </m:sSubPr>
          <m:e>
            <m:r>
              <w:rPr>
                <w:rFonts w:ascii="Cambria Math" w:hAnsi="Cambria Math"/>
              </w:rPr>
              <m:t>λ</m:t>
            </m:r>
          </m:e>
          <m:sub>
            <m:r>
              <w:rPr>
                <w:rFonts w:ascii="Cambria Math" w:hAnsi="Cambria Math"/>
              </w:rPr>
              <m:t>a</m:t>
            </m:r>
          </m:sub>
        </m:sSub>
      </m:oMath>
      <w:r>
        <w:t xml:space="preserve"> from the spline fit to the harvest trend (Appendix A) that demonstrated a very narrow posterior distribution with occasional spikes in the value, but that otherwise demonstrated satisfactory exploration of the posterior parameter space. The 3 parameters with </w:t>
      </w:r>
      <m:oMath>
        <m:acc>
          <m:accPr>
            <m:ctrlPr>
              <w:rPr>
                <w:rFonts w:ascii="Cambria Math" w:hAnsi="Cambria Math"/>
              </w:rPr>
            </m:ctrlPr>
          </m:accPr>
          <m:e>
            <m:r>
              <w:rPr>
                <w:rFonts w:ascii="Cambria Math" w:hAnsi="Cambria Math"/>
              </w:rPr>
              <m:t>R</m:t>
            </m:r>
          </m:e>
        </m:acc>
      </m:oMath>
      <w:r>
        <w:t xml:space="preserve"> values in excess of 1.1 produced </w:t>
      </w:r>
      <m:oMath>
        <m:acc>
          <m:accPr>
            <m:ctrlPr>
              <w:rPr>
                <w:rFonts w:ascii="Cambria Math" w:hAnsi="Cambria Math"/>
              </w:rPr>
            </m:ctrlPr>
          </m:accPr>
          <m:e>
            <m:r>
              <w:rPr>
                <w:rFonts w:ascii="Cambria Math" w:hAnsi="Cambria Math"/>
              </w:rPr>
              <m:t>R</m:t>
            </m:r>
          </m:e>
        </m:acc>
      </m:oMath>
      <w:r>
        <w:t xml:space="preserve"> values of 1.102 and 1.191 and trace plots did not reveal any pathological patterns other than skewed distributions and the need to run longer chains.</w:t>
      </w:r>
    </w:p>
    <w:p w14:paraId="276FEAD6" w14:textId="77777777" w:rsidR="003B2CDA"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0B90CE1D" w14:textId="77777777" w:rsidR="003B2CDA"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476 demonstrating </w:t>
      </w:r>
      <m:oMath>
        <m:acc>
          <m:accPr>
            <m:ctrlPr>
              <w:rPr>
                <w:rFonts w:ascii="Cambria Math" w:hAnsi="Cambria Math"/>
              </w:rPr>
            </m:ctrlPr>
          </m:accPr>
          <m:e>
            <m:r>
              <w:rPr>
                <w:rFonts w:ascii="Cambria Math" w:hAnsi="Cambria Math"/>
              </w:rPr>
              <m:t>R</m:t>
            </m:r>
          </m:e>
        </m:acc>
      </m:oMath>
      <w:r>
        <w:t xml:space="preserve"> values (3.59%) above 1.01 and 12 (0.09%) demonstrating values above 1.1. Unconverged estimates all demonstrated highly skewed posteriors where the bulk of the posterior distributions were near the lower bound. Of the 12 estimates with </w:t>
      </w:r>
      <m:oMath>
        <m:acc>
          <m:accPr>
            <m:ctrlPr>
              <w:rPr>
                <w:rFonts w:ascii="Cambria Math" w:hAnsi="Cambria Math"/>
              </w:rPr>
            </m:ctrlPr>
          </m:accPr>
          <m:e>
            <m:r>
              <w:rPr>
                <w:rFonts w:ascii="Cambria Math" w:hAnsi="Cambria Math"/>
              </w:rPr>
              <m:t>R</m:t>
            </m:r>
          </m:e>
        </m:acc>
      </m:oMath>
      <w:r>
        <w:t xml:space="preserve"> in excess of 1.1, 8 estimates (67%) had medians less than 1 and 12 (100%) had medians less than 10. The other 0 estimates (0%) were associated with highly skewed distributions.</w:t>
      </w:r>
    </w:p>
    <w:p w14:paraId="4D3FF51E" w14:textId="77777777" w:rsidR="003B2CDA"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with 1,501 demonstrating </w:t>
      </w:r>
      <m:oMath>
        <m:acc>
          <m:accPr>
            <m:ctrlPr>
              <w:rPr>
                <w:rFonts w:ascii="Cambria Math" w:hAnsi="Cambria Math"/>
              </w:rPr>
            </m:ctrlPr>
          </m:accPr>
          <m:e>
            <m:r>
              <w:rPr>
                <w:rFonts w:ascii="Cambria Math" w:hAnsi="Cambria Math"/>
              </w:rPr>
              <m:t>R</m:t>
            </m:r>
          </m:e>
        </m:acc>
      </m:oMath>
      <w:r>
        <w:t xml:space="preserve"> values (6.86%) above 1.01 and 107 (0.49%) demonstrating values above 1.1. Unconverged estimates all demonstrated highly skewed posteriors where the bulk of the posterior distributions were near the lower bound. Of the 107 estimates with </w:t>
      </w:r>
      <m:oMath>
        <m:acc>
          <m:accPr>
            <m:ctrlPr>
              <w:rPr>
                <w:rFonts w:ascii="Cambria Math" w:hAnsi="Cambria Math"/>
              </w:rPr>
            </m:ctrlPr>
          </m:accPr>
          <m:e>
            <m:r>
              <w:rPr>
                <w:rFonts w:ascii="Cambria Math" w:hAnsi="Cambria Math"/>
              </w:rPr>
              <m:t>R</m:t>
            </m:r>
          </m:e>
        </m:acc>
      </m:oMath>
      <w:r>
        <w:t xml:space="preserve"> in excess of 1.1, 66 estimates (62%) had medians less than 1 and 85 </w:t>
      </w:r>
      <w:r>
        <w:lastRenderedPageBreak/>
        <w:t>(79%) had medians less than 10. The other 22 estimates (21%) were associated with highly skewed distributions.</w:t>
      </w:r>
    </w:p>
    <w:p w14:paraId="29AB5DC9" w14:textId="77777777" w:rsidR="003B2CDA" w:rsidRDefault="00000000">
      <w:pPr>
        <w:pStyle w:val="Heading2"/>
      </w:pPr>
      <w:bookmarkStart w:id="37" w:name="residual-patterns"/>
      <w:bookmarkStart w:id="38" w:name="_Toc219449501"/>
      <w:r>
        <w:t>Residual Patterns</w:t>
      </w:r>
      <w:bookmarkEnd w:id="38"/>
    </w:p>
    <w:p w14:paraId="2E39B25A" w14:textId="77777777" w:rsidR="003B2CDA" w:rsidRDefault="00000000">
      <w:pPr>
        <w:pStyle w:val="FirstParagraph"/>
      </w:pPr>
      <w:r>
        <w:t>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767BE15C" w14:textId="77777777" w:rsidR="003B2CDA" w:rsidRDefault="00000000">
      <w:pPr>
        <w:pStyle w:val="BodyText"/>
      </w:pPr>
      <w:r>
        <w:t>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14:paraId="09818F3F" w14:textId="77777777" w:rsidR="003B2CDA" w:rsidRDefault="00000000">
      <w:pPr>
        <w:pStyle w:val="BodyText"/>
      </w:pPr>
      <w:r>
        <w:t>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p w14:paraId="4A610B13" w14:textId="77777777" w:rsidR="003B2CDA" w:rsidRDefault="00000000">
      <w:pPr>
        <w:pStyle w:val="Heading2"/>
      </w:pPr>
      <w:bookmarkStart w:id="39" w:name="bias-estimation"/>
      <w:bookmarkStart w:id="40" w:name="_Toc219449502"/>
      <w:bookmarkEnd w:id="37"/>
      <w:r>
        <w:t>Bias Estimation</w:t>
      </w:r>
      <w:bookmarkEnd w:id="40"/>
    </w:p>
    <w:p w14:paraId="07F2B1AC" w14:textId="77777777" w:rsidR="003B2CDA" w:rsidRDefault="00000000">
      <w:pPr>
        <w:pStyle w:val="FirstParagraph"/>
      </w:pPr>
      <w:r>
        <w:t>Model predicted bias in SWHS harvest and release data tracked the observed bias well across years and CFMUs (Figure 12 and 13 YEARAREA_BIAS) and demonstrated that SWHS estimates were generally biased low while release estimates were biased high (Figure 14 MEAN_BIAS). Observed and estimated harvest bias were very consistent with the exception of the very data poor BSAI CFMU (Figure 12 YEARAREA_BIAS).</w:t>
      </w:r>
    </w:p>
    <w:p w14:paraId="0496B7D4" w14:textId="77777777" w:rsidR="003B2CDA" w:rsidRDefault="00000000">
      <w:pPr>
        <w:pStyle w:val="BodyText"/>
      </w:pPr>
      <w:r>
        <w:t>With the exception of some Southcentral CFMUs, estimated release bias tracked observed release bias but generally smoothed the more variable release bias observed in the data (Figure 13 YEARAREA_BIAS). The smoothing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p w14:paraId="2516F72A" w14:textId="77777777" w:rsidR="003B2CDA" w:rsidRDefault="00000000">
      <w:pPr>
        <w:pStyle w:val="BodyText"/>
      </w:pPr>
      <w:r>
        <w:t xml:space="preserve">Release bias for the Southcentral areas was much lower in the model relative to that observed when comparing logbook and SWHS data and was the result of incorporating the port side interview data into the model. When the portside interview data is omitted, the model estimated bias matches the observed similarly to that of the other regions. The reduced bias estimated with the inclusion of the interview data would suggest that private anglers are providing less biased responses to the </w:t>
      </w:r>
      <w:r>
        <w:lastRenderedPageBreak/>
        <w:t>SWHS than are guided anglers and/or logbook records of releases in this region are perhaps less accurate than would be assumed.</w:t>
      </w:r>
    </w:p>
    <w:p w14:paraId="7D14D41B" w14:textId="77777777" w:rsidR="003B2CDA" w:rsidRDefault="00000000">
      <w:pPr>
        <w:pStyle w:val="Heading2"/>
      </w:pPr>
      <w:bookmarkStart w:id="41" w:name="proportion-harvested"/>
      <w:bookmarkStart w:id="42" w:name="_Toc219449503"/>
      <w:bookmarkEnd w:id="39"/>
      <w:r>
        <w:t>Proportion Harvested</w:t>
      </w:r>
      <w:bookmarkEnd w:id="42"/>
    </w:p>
    <w:p w14:paraId="231A0573" w14:textId="77777777" w:rsidR="003B2CDA" w:rsidRDefault="00000000">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 </w:t>
      </w:r>
      <w:r>
        <w:rPr>
          <w:i/>
          <w:iCs/>
        </w:rPr>
        <w:t>pH</w:t>
      </w:r>
      <w:r>
        <w:t xml:space="preserve"> 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w:t>
      </w:r>
    </w:p>
    <w:p w14:paraId="384FC726" w14:textId="77777777" w:rsidR="003B2CDA" w:rsidRDefault="00000000">
      <w:pPr>
        <w:pStyle w:val="BodyText"/>
      </w:pPr>
      <w:r>
        <w:t>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in most regions with the difference most pronounced in Southcentral and with little difference in Southeast.</w:t>
      </w:r>
    </w:p>
    <w:p w14:paraId="6797C363" w14:textId="77777777" w:rsidR="003B2CDA" w:rsidRDefault="00000000">
      <w:pPr>
        <w:pStyle w:val="BodyText"/>
      </w:pPr>
      <w:r>
        <w:t>The proportion harvested of yelloweye rockfish demonstrated a very different pattern from pelagics whereby 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 milder restrictions were enacted. Logbook and portside interviews data were mostly in agreement with regard to yelloweye retention and retention. The model tracked the data well and the hindcasting applied a long term mean because the lack of appreciable change in the data since 2006.</w:t>
      </w:r>
    </w:p>
    <w:p w14:paraId="442F8ADA" w14:textId="77777777" w:rsidR="003B2CDA"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of the WKMA CFMUs which were static. For these two regions, the portside interview data tracked logbook records to various degrees, but demonstrated greater differences relative to the other species assemblages.</w:t>
      </w:r>
    </w:p>
    <w:p w14:paraId="6EEE9786" w14:textId="77777777" w:rsidR="003B2CDA" w:rsidRDefault="00000000">
      <w:pPr>
        <w:pStyle w:val="BodyText"/>
      </w:pPr>
      <w:r>
        <w:t xml:space="preserve">Southeast CFMU’s show a pattern similar to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considerably uncertainty even in recent years as a result of high overdispersion in the interview data that is evident from the disparity between logbook and interview data (Figure 17 pH_OTHER). The “other” rockfish in Southeast Alaska are comprised of slope rockfish and non-yelloweye DSR rockfish, which further informs the model but introduces more tension as the likelihoods compete over the contradictory data. The retention probability of non-yelloweye DSR (Figure XX pH_DSR) and slope rockfish (Figure XX pH_SLOPE) are fit using the portside interview data while the sum of those releases must be equal to the release of the “other” rockfish that are fit to the portside and logbook data. The resolution of these sometimes </w:t>
      </w:r>
      <w:r>
        <w:lastRenderedPageBreak/>
        <w:t>contradictory signals results in pH estimates for DSR that follow the data (Figure XX pH_DSR), but pH estimates for slope rockfish in the SSEO that are substantially less than that reported in portside interviews (Figure XX pH_SLOPE). Sample sizes for slope rockfish are generally smaller than for DSR, particularly in the SSEO and thus the model tracks the DSR data better than the slope rockfish data.</w:t>
      </w:r>
    </w:p>
    <w:p w14:paraId="5237D0B6" w14:textId="77777777" w:rsidR="003B2CDA" w:rsidRDefault="00000000">
      <w:pPr>
        <w:pStyle w:val="Heading2"/>
      </w:pPr>
      <w:bookmarkStart w:id="43" w:name="species-composition"/>
      <w:bookmarkStart w:id="44" w:name="_Toc219449504"/>
      <w:bookmarkEnd w:id="41"/>
      <w:r>
        <w:t>Species Composition</w:t>
      </w:r>
      <w:bookmarkEnd w:id="44"/>
    </w:p>
    <w:p w14:paraId="424EB8A6" w14:textId="77777777" w:rsidR="003B2CDA"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had a much less informative prior than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610E8CAC" w14:textId="77777777" w:rsidR="003B2CDA"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converged with the exception of the Prince William Sound areas and the NSEI in Southeast,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due to the nature of the relative likelihoods (Figure 18 P_Pel).</w:t>
      </w:r>
    </w:p>
    <w:p w14:paraId="0637908F" w14:textId="77777777" w:rsidR="003B2CDA" w:rsidRDefault="00000000">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demonstrates higher black rockfish proportions in these other areas and the model was able to generate more precise and realistic estimates of these parameters.</w:t>
      </w:r>
    </w:p>
    <w:p w14:paraId="1CB16AE9" w14:textId="77777777" w:rsidR="003B2CDA" w:rsidRDefault="00000000">
      <w:pPr>
        <w:pStyle w:val="BodyText"/>
      </w:pPr>
      <w:r>
        <w:t>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consistently low harvests of yelloweye in this region. Southeast yelloweye proportions (relative to the DSR assemblage) were also somewhat noisy, but the trends in the data were adequately captured by the fitted logistic curve.</w:t>
      </w:r>
    </w:p>
    <w:p w14:paraId="5D5F1F85" w14:textId="77777777" w:rsidR="003B2CDA" w:rsidRDefault="00000000">
      <w:pPr>
        <w:pStyle w:val="BodyText"/>
      </w:pPr>
      <w:r>
        <w:t xml:space="preserve">The proportion of the Southeast harvest that were DSR and slope rockfish also appeared to track the data well and provide reasonable predictions for hindcasting (Figure P_DSR 21, P_SLOPE 22, </w:t>
      </w:r>
      <w:r>
        <w:lastRenderedPageBreak/>
        <w:t>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steeply in recent years.</w:t>
      </w:r>
    </w:p>
    <w:p w14:paraId="254917F8" w14:textId="77777777" w:rsidR="003B2CDA" w:rsidRDefault="00000000">
      <w:pPr>
        <w:pStyle w:val="Heading2"/>
      </w:pPr>
      <w:bookmarkStart w:id="45" w:name="proportion-guided"/>
      <w:bookmarkStart w:id="46" w:name="_Toc219449505"/>
      <w:bookmarkEnd w:id="43"/>
      <w:r>
        <w:t>Proportion Guided</w:t>
      </w:r>
      <w:bookmarkEnd w:id="46"/>
    </w:p>
    <w:p w14:paraId="00295918" w14:textId="77777777" w:rsidR="003B2CDA" w:rsidRDefault="00000000">
      <w:pPr>
        <w:pStyle w:val="FirstParagraph"/>
      </w:pPr>
      <w:r>
        <w:t>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p w14:paraId="4D4B9295" w14:textId="77777777" w:rsidR="003B2CDA" w:rsidRDefault="00000000">
      <w:pPr>
        <w:pStyle w:val="Heading2"/>
      </w:pPr>
      <w:bookmarkStart w:id="47" w:name="weight"/>
      <w:bookmarkStart w:id="48" w:name="_Toc219449506"/>
      <w:bookmarkEnd w:id="45"/>
      <w:r>
        <w:t>Weight</w:t>
      </w:r>
      <w:bookmarkEnd w:id="48"/>
    </w:p>
    <w:p w14:paraId="6743460E" w14:textId="77777777" w:rsidR="003B2CDA" w:rsidRDefault="00000000">
      <w:pPr>
        <w:pStyle w:val="FirstParagraph"/>
      </w:pPr>
      <w:r>
        <w:t>The model estimated weights matched the observations as would be expected and tended to the hyperprior means when data was absent or sample sizes were small (Appendix B).</w:t>
      </w:r>
    </w:p>
    <w:p w14:paraId="1AE36CD7" w14:textId="77777777" w:rsidR="003B2CDA" w:rsidRDefault="00000000">
      <w:pPr>
        <w:pStyle w:val="Heading2"/>
      </w:pPr>
      <w:bookmarkStart w:id="49" w:name="X9d99479f46dec730a7a401f5db2083d62218015"/>
      <w:bookmarkStart w:id="50" w:name="_Toc219449507"/>
      <w:bookmarkEnd w:id="47"/>
      <w:r>
        <w:t>Harvest, Release and Total Removal Estimates</w:t>
      </w:r>
      <w:bookmarkEnd w:id="50"/>
    </w:p>
    <w:p w14:paraId="21D34135" w14:textId="77777777" w:rsidR="003B2CDA" w:rsidRDefault="00000000">
      <w:pPr>
        <w:pStyle w:val="Heading3"/>
      </w:pPr>
      <w:bookmarkStart w:id="51" w:name="harvests-2"/>
      <w:r>
        <w:t>Harvests</w:t>
      </w:r>
    </w:p>
    <w:p w14:paraId="40796492" w14:textId="77777777" w:rsidR="003B2CDA" w:rsidRDefault="00000000">
      <w:pPr>
        <w:pStyle w:val="FirstParagraph"/>
      </w:pPr>
      <w:r>
        <w:t>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14:paraId="0C141879" w14:textId="77777777" w:rsidR="003B2CDA" w:rsidRDefault="00000000">
      <w:pPr>
        <w:pStyle w:val="BodyText"/>
      </w:pPr>
      <w:r>
        <w:t>Black rockfish harvests demonstrate an increasing trend over the time series that is dominated by guided anglers with the exception of PWSI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14:paraId="79FB8EDA" w14:textId="77777777" w:rsidR="003B2CDA" w:rsidRDefault="00000000">
      <w:pPr>
        <w:pStyle w:val="BodyText"/>
      </w:pPr>
      <w:r>
        <w:lastRenderedPageBreak/>
        <w:t>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are significantly greater than guided harvests and thus the effect of bias correction in the model is more pronounced.</w:t>
      </w:r>
    </w:p>
    <w:p w14:paraId="42A44A8A" w14:textId="77777777" w:rsidR="003B2CDA" w:rsidRDefault="00000000">
      <w:pPr>
        <w:pStyle w:val="BodyText"/>
      </w:pPr>
      <w:r>
        <w:t>Yelloweye harvests in the BSAI and SOKO2SAP areas of Kodiak have extremely large credibility intervals owing to a lack of area-specific data for these areas. Yelloweye harvests are generally fairly low in the Kodiak region and portside samples are lacking, even for the most heavily fished Northeast and Afognak units. As such, the proportion of non-yelloweye harvests that are yelloweye have credibility intervals for 4 of the 6 Kodiak units range from 0 to 1 (Figure YE_COMP) with this uncertainty propagated through the harvest and release calculations. Harvest and total removal point estimates for these regions are very low (Figure YE_HARV, YE_REMOVALS) and even the upper end of the credibility intervals are relatively low. Although imprecise, these estimates provide managers with information on the scale and trend of the harvests in these areas.</w:t>
      </w:r>
    </w:p>
    <w:p w14:paraId="33CC6806" w14:textId="77777777" w:rsidR="003B2CDA" w:rsidRDefault="00000000">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43BF8A7E" w14:textId="77777777" w:rsidR="003B2CDA" w:rsidRDefault="00000000">
      <w:pPr>
        <w:pStyle w:val="Heading3"/>
      </w:pPr>
      <w:bookmarkStart w:id="52" w:name="releases-2"/>
      <w:bookmarkEnd w:id="51"/>
      <w:r>
        <w:t>Releases</w:t>
      </w:r>
    </w:p>
    <w:p w14:paraId="2630D539" w14:textId="77777777" w:rsidR="003B2CDA" w:rsidRDefault="00000000">
      <w:pPr>
        <w:pStyle w:val="FirstParagraph"/>
      </w:pPr>
      <w:r>
        <w:t>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 term averages to compensate for the lack of logbook data on yelloweye releases (Figure DATA).</w:t>
      </w:r>
    </w:p>
    <w:p w14:paraId="3A70B031" w14:textId="77777777" w:rsidR="003B2CDA" w:rsidRDefault="00000000">
      <w:pPr>
        <w:pStyle w:val="BodyText"/>
      </w:pPr>
      <w:r>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 in the fishery. Estimates of guided releases are very precise since 1998 owing to logbook records and adequate sampling in the port sampling program. Prior to 1998, guided release estimates demonstrate significant </w:t>
      </w:r>
      <w:r>
        <w:lastRenderedPageBreak/>
        <w:t xml:space="preserve">uncertainty.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higher than the Howard estimates in Southcentral and Kodiak regions as a result of integrating the portside interview data. In contrast, that same data resulted in lower release estimates in Southeast.</w:t>
      </w:r>
    </w:p>
    <w:p w14:paraId="10242264" w14:textId="77777777" w:rsidR="003B2CDA" w:rsidRDefault="00000000">
      <w:pPr>
        <w:pStyle w:val="BodyText"/>
      </w:pPr>
      <w:r>
        <w:t>Yelloweye release estimates demonstrate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14:paraId="554820F5" w14:textId="77777777" w:rsidR="003B2CDA" w:rsidRDefault="00000000">
      <w:pPr>
        <w:pStyle w:val="BodyText"/>
      </w:pPr>
      <w:r>
        <w:t>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higher in the SSEO and, to a lesser degree, the NSEI and EWYKT, although the overall number is still low and not likely to be a management concern.</w:t>
      </w:r>
    </w:p>
    <w:p w14:paraId="4B252D8C" w14:textId="77777777" w:rsidR="003B2CDA" w:rsidRDefault="00000000">
      <w:pPr>
        <w:pStyle w:val="Heading3"/>
      </w:pPr>
      <w:bookmarkStart w:id="53" w:name="total-removals-in-biomass"/>
      <w:bookmarkEnd w:id="52"/>
      <w:r>
        <w:t>Total Removals in Biomass</w:t>
      </w:r>
    </w:p>
    <w:p w14:paraId="6C5125D4" w14:textId="77777777" w:rsidR="003B2CDA" w:rsidRDefault="00000000">
      <w:pPr>
        <w:pStyle w:val="FirstParagraph"/>
      </w:pPr>
      <w:r>
        <w:t>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DWR requirements and even with DWR experience appreciable mortality rates (Figure 8 REL_M). As such, release mortalities comprised a modest but appreciable contribution to overall mortalities for these species (Figure 36, 38 and 39 YE_M, DRS_M and SLOPE_M, Appendix C3, C4 and C5).</w:t>
      </w:r>
    </w:p>
    <w:p w14:paraId="00252B48" w14:textId="77777777" w:rsidR="003B2CDA" w:rsidRDefault="00000000">
      <w:pPr>
        <w:pStyle w:val="Heading1"/>
      </w:pPr>
      <w:bookmarkStart w:id="54" w:name="discussion"/>
      <w:bookmarkStart w:id="55" w:name="_Toc219449508"/>
      <w:bookmarkEnd w:id="35"/>
      <w:bookmarkEnd w:id="49"/>
      <w:bookmarkEnd w:id="53"/>
      <w:r>
        <w:t>Discussion</w:t>
      </w:r>
      <w:bookmarkEnd w:id="55"/>
    </w:p>
    <w:p w14:paraId="2CFA26F9" w14:textId="77777777" w:rsidR="003B2CDA" w:rsidRDefault="00000000">
      <w:pPr>
        <w:pStyle w:val="FirstParagraph"/>
      </w:pPr>
      <w:r>
        <w:t>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14:paraId="13B5F2AE" w14:textId="77777777" w:rsidR="003B2CDA" w:rsidRDefault="00000000">
      <w:pPr>
        <w:pStyle w:val="BodyText"/>
      </w:pPr>
      <w:r>
        <w:t xml:space="preserve">Harvest estimates produced with these methods are generally consistent with the Howard estimates and differ only where the Bayesian methods offer improvements on a key, but flawed, assumption </w:t>
      </w:r>
      <w:r>
        <w:lastRenderedPageBreak/>
        <w:t>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462BC55E" w14:textId="77777777" w:rsidR="003B2CDA" w:rsidRDefault="00000000">
      <w:pPr>
        <w:pStyle w:val="BodyText"/>
      </w:pPr>
      <w:r>
        <w:t>The Bayesian approach to estimating releases produces noticably different estimates from the Howard approach, particularly for the unguided sector. The Howard approach uses the same methods for estimating unguided releases as it does for harvests as it applies the SWHS ratio of guided:unguided release of all rockfish to the logbook release data. However, the Howard methods do not address bias in those estimates, assumes the ratio is equal for all species, and do not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14:paraId="183F7DEB" w14:textId="77777777" w:rsidR="003B2CDA" w:rsidRDefault="00000000">
      <w:pPr>
        <w:pStyle w:val="BodyText"/>
      </w:pPr>
      <w:r>
        <w:t>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14:paraId="56CE60E2" w14:textId="77777777" w:rsidR="003B2CDA" w:rsidRDefault="00000000">
      <w:pPr>
        <w:pStyle w:val="BodyText"/>
      </w:pPr>
      <w:r>
        <w:t>The Bayesian approach is not without flaws and required making an assumption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4667A700" w14:textId="77777777" w:rsidR="003B2CDA" w:rsidRDefault="00000000">
      <w:pPr>
        <w:pStyle w:val="BodyText"/>
      </w:pPr>
      <w:r>
        <w:t xml:space="preserve">Estimating unguided releases thus required an assumption that retention probabilities for unguided anglers followed similar trends to that of unguided anglers but was informed by the integration of </w:t>
      </w:r>
      <w:r>
        <w:lastRenderedPageBreak/>
        <w:t>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117E903B" w14:textId="77777777" w:rsidR="003B2CDA"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3F6FEA1F" w14:textId="77777777" w:rsidR="003B2CDA" w:rsidRDefault="00000000">
      <w:pPr>
        <w:pStyle w:val="BodyText"/>
      </w:pPr>
      <w:r>
        <w:t>Species composition data on the pelagic / non-pelagic ratio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were generally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Consequently,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14:paraId="43757410" w14:textId="77777777" w:rsidR="003B2CDA" w:rsidRDefault="00000000">
      <w:pPr>
        <w:pStyle w:val="BodyText"/>
      </w:pPr>
      <w:r>
        <w:t>The discrepancy in the release of non-yelloweye DSR and slope rockfish in the SSEO portside sampling and logbook data also bears attention. In particular, logbooks record low retention of “other” rockfish while portside interviews indicate high retention. Area biologists should investigate this data discrepancy to determine if species identification or systematic under- or overreporting in logbooks is contributing to the contradictory data.</w:t>
      </w:r>
    </w:p>
    <w:p w14:paraId="0BF26AA0" w14:textId="77777777" w:rsidR="003B2CDA" w:rsidRDefault="00000000">
      <w:pPr>
        <w:pStyle w:val="BodyText"/>
      </w:pPr>
      <w:r>
        <w:t>This report provides the first harvest, release and mortality estimates for the BSAI and SOKO2SAP Kodiak CFMU’s. Many of these estimates and associated parameters were the slowest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p w14:paraId="6DF1234F" w14:textId="77777777" w:rsidR="003B2CDA" w:rsidRDefault="00000000">
      <w:pPr>
        <w:pStyle w:val="Heading2"/>
      </w:pPr>
      <w:bookmarkStart w:id="56" w:name="conclusions-and-recommendations"/>
      <w:bookmarkStart w:id="57" w:name="_Toc219449509"/>
      <w:r>
        <w:lastRenderedPageBreak/>
        <w:t>Conclusions and Recommendations</w:t>
      </w:r>
      <w:bookmarkEnd w:id="57"/>
    </w:p>
    <w:p w14:paraId="56E48DD3" w14:textId="77777777" w:rsidR="003B2CDA" w:rsidRDefault="00000000">
      <w:pPr>
        <w:pStyle w:val="FirstParagraph"/>
      </w:pPr>
      <w:r>
        <w:t>Managers understandably prefer harvest estimates to remain static once published but for sport fisheries these numbers are estimated quantities that can change with improved science reflecting our understanding of the system. Adopting new harvest and release estimates is ultimately at the discretion of regional staff and managers and these revisions are presented only because they address shortcomings in the original Howard methods that represented the first steps in estimating rockfish harvests from the various data sources used to monitor sport harvests in Alaska. The new estimates represent a more uniform and reproducible approach to generating removal estimates, extend the time series back to 1977 and furthermore provide a robust and more streamlined approach to generating estimates going forward.</w:t>
      </w:r>
    </w:p>
    <w:p w14:paraId="1921C8DF" w14:textId="77777777" w:rsidR="003B2CDA" w:rsidRDefault="00000000">
      <w:pPr>
        <w:pStyle w:val="BodyText"/>
      </w:pPr>
      <w:r>
        <w:t>With regard to contemporary estimates, the model readily converges and this model provides a single, unified method for calculating annual harvests and removals going forward.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14:paraId="4023D819" w14:textId="77777777" w:rsidR="003B2CDA" w:rsidRDefault="00000000">
      <w:pPr>
        <w:pStyle w:val="BodyText"/>
      </w:pPr>
      <w:r>
        <w:t xml:space="preserve">One caveat to moving forward with these methods is the the possibility of gaps occurring in the port sampling programs.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the port sampling program the missing years would resort to the mean values for those parameters which would be greatly influenced by the management regime. This could be simply addressed by introducing a new time block for Southeast in 2025.</w:t>
      </w:r>
    </w:p>
    <w:p w14:paraId="3A25FCB1" w14:textId="77777777" w:rsidR="003B2CDA" w:rsidRDefault="00000000">
      <w:pPr>
        <w:pStyle w:val="BodyText"/>
      </w:pPr>
      <w:r>
        <w:t>In conclusion, these new estimates of rockfish harvest, release and removals offer an improved and more reproducible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5E5BE253" w14:textId="77777777" w:rsidR="003B2CDA" w:rsidRDefault="00000000">
      <w:pPr>
        <w:pStyle w:val="Heading1"/>
      </w:pPr>
      <w:bookmarkStart w:id="58" w:name="acknowledgments"/>
      <w:bookmarkStart w:id="59" w:name="_Toc219449510"/>
      <w:bookmarkEnd w:id="54"/>
      <w:bookmarkEnd w:id="56"/>
      <w:r>
        <w:t>Acknowledgments</w:t>
      </w:r>
      <w:bookmarkEnd w:id="59"/>
    </w:p>
    <w:p w14:paraId="060663B2" w14:textId="77777777" w:rsidR="003B2CDA"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w:t>
      </w:r>
      <w:r>
        <w:lastRenderedPageBreak/>
        <w:t xml:space="preserve">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 </w:t>
      </w:r>
      <w:r>
        <w:rPr>
          <w:b/>
          <w:bCs/>
        </w:rPr>
        <w:t>LIST from Chris and Clay</w:t>
      </w:r>
      <w:r>
        <w:t>. We would also like to thank Tyler Polum and Philip Tschersich for the Kodiak hydroacoustic data and advice. We would like to thank Adam Reimer for developing the initial approach to this model and Hamachan Hamazaki for his review of this work.</w:t>
      </w:r>
    </w:p>
    <w:p w14:paraId="3E2B5977" w14:textId="77777777" w:rsidR="003B2CDA" w:rsidRDefault="00000000">
      <w:pPr>
        <w:pStyle w:val="Heading1"/>
      </w:pPr>
      <w:bookmarkStart w:id="60" w:name="literature-cited"/>
      <w:bookmarkStart w:id="61" w:name="_Toc219449511"/>
      <w:bookmarkEnd w:id="58"/>
      <w:r>
        <w:t>Literature Cited</w:t>
      </w:r>
      <w:bookmarkEnd w:id="61"/>
    </w:p>
    <w:p w14:paraId="2013EDBE" w14:textId="77777777" w:rsidR="003B2CDA" w:rsidRDefault="00000000">
      <w:pPr>
        <w:pStyle w:val="FirstParagraph"/>
      </w:pPr>
      <w:r>
        <w:t>Arthur, D. E., B. J. Blain-Roth, and B. Bowman. 2024. Area management report for the sport fisheries of the North Gulf Coast, 2019–2021. Alaska Department of Fish and Game, Fishery Management Report No. 24-17, Anchorage.</w:t>
      </w:r>
    </w:p>
    <w:p w14:paraId="37945EC0" w14:textId="77777777" w:rsidR="003B2CDA" w:rsidRDefault="00000000">
      <w:pPr>
        <w:pStyle w:val="BodyText"/>
      </w:pPr>
      <w:r>
        <w:t>Blain-Roth, B. J., D. E. Arthur, and C. McKean. 2024. Sport fisheries in the Prince William Sound Management Area in 2023 to inform the Alaska Board of Fisheries in 2024. Alaska Department of Fish and Game, Fishery Management Report No. 24-27, Anchorage.</w:t>
      </w:r>
    </w:p>
    <w:p w14:paraId="5203C597" w14:textId="77777777" w:rsidR="003B2CDA" w:rsidRDefault="00000000">
      <w:pPr>
        <w:pStyle w:val="BodyText"/>
      </w:pPr>
      <w:r>
        <w:t>Blain, B. J. and T. M. Sutton. 2016. Reproductive status and blood-plasma indicators of sex and gonad maturation status for yelloweye rockfish following barotrauma and recompression events. Transactions of the American Fisheries Socociety 145: 1234-1240.</w:t>
      </w:r>
    </w:p>
    <w:p w14:paraId="75C00386" w14:textId="77777777" w:rsidR="003B2CDA" w:rsidRDefault="00000000">
      <w:pPr>
        <w:pStyle w:val="BodyText"/>
      </w:pPr>
      <w:r>
        <w:t>Blain-Roth, B. J., and T. M. Sutton. 2019. Effects of barotrauma and recompression events on subsequent embryo condition of yelloweye rockfish. Fisheries Research 211: 212-216.</w:t>
      </w:r>
    </w:p>
    <w:p w14:paraId="62542B6E" w14:textId="77777777" w:rsidR="003B2CDA" w:rsidRDefault="00000000">
      <w:pPr>
        <w:pStyle w:val="BodyText"/>
      </w:pPr>
      <w:r>
        <w:t>Casella, G., &amp; Berger, R. L. (2002). Statistical Inference (2nd ed.). Duxbury.</w:t>
      </w:r>
    </w:p>
    <w:p w14:paraId="52130FA0" w14:textId="77777777" w:rsidR="003B2CDA" w:rsidRDefault="00000000">
      <w:pPr>
        <w:pStyle w:val="BodyText"/>
      </w:pPr>
      <w:r>
        <w:t>Eilers, Paul H. C., and Brian D. Marx. 1996. “Flexible Smoothing with B-Splines and Penalties.” Statistical Science 11: 89–121.</w:t>
      </w:r>
    </w:p>
    <w:p w14:paraId="404B3FD9" w14:textId="77777777" w:rsidR="003B2CDA"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21DD2FB1" w14:textId="77777777" w:rsidR="003B2CDA" w:rsidRDefault="00000000">
      <w:pPr>
        <w:pStyle w:val="BodyText"/>
      </w:pPr>
      <w:r>
        <w:t>Gelman, A.. Prior distributions for variance parameters in hierarchical models. Bayesian Analysis, 1:515–533, 2006.</w:t>
      </w:r>
    </w:p>
    <w:p w14:paraId="3D7B5432" w14:textId="77777777" w:rsidR="003B2CDA" w:rsidRDefault="00000000">
      <w:pPr>
        <w:pStyle w:val="BodyText"/>
      </w:pPr>
      <w:r>
        <w:t>Gelman, A. and D. Rubin. Inference from iterative simulation using multiple sequences. Statistical Science 7:457–511, 1992.</w:t>
      </w:r>
    </w:p>
    <w:p w14:paraId="3F59D329" w14:textId="77777777" w:rsidR="003B2CDA"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7406B34B" w14:textId="77777777" w:rsidR="003B2CDA"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40193790" w14:textId="77777777" w:rsidR="003B2CDA"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227557C5" w14:textId="77777777" w:rsidR="003B2CDA" w:rsidRDefault="00000000">
      <w:pPr>
        <w:pStyle w:val="BodyText"/>
      </w:pPr>
      <w:r>
        <w:lastRenderedPageBreak/>
        <w:t>Hochhalter, S. J., and D. J. Reed. 2011. The effectiveness of deepwater release at improving the survival of discarded yelloweye rockfish. North American Journal of Fisheries Management 31: 852-860.</w:t>
      </w:r>
    </w:p>
    <w:p w14:paraId="0AB4ECD9" w14:textId="77777777" w:rsidR="003B2CDA"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59EEF0DC" w14:textId="77777777" w:rsidR="003B2CDA"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3E9B1252" w14:textId="77777777" w:rsidR="003B2CDA"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5E1AAAEE" w14:textId="77777777" w:rsidR="003B2CDA"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401C4FD1" w14:textId="77777777" w:rsidR="003B2CDA" w:rsidRDefault="00000000">
      <w:pPr>
        <w:pStyle w:val="BodyText"/>
      </w:pPr>
      <w:r>
        <w:t xml:space="preserve">Kassahun, W., Neyens, T., Molenberghs, G. et al. 2012. Modeling overdispersed longitudinal binary data using a combined beta and normal random-effects model. Arch Public Health 70, 7. </w:t>
      </w:r>
      <w:hyperlink r:id="rId7">
        <w:r>
          <w:rPr>
            <w:rStyle w:val="Hyperlink"/>
          </w:rPr>
          <w:t>https://doi.org/10.1186/0778-7367-70-7</w:t>
        </w:r>
      </w:hyperlink>
    </w:p>
    <w:p w14:paraId="192ED939" w14:textId="77777777" w:rsidR="003B2CDA" w:rsidRDefault="00000000">
      <w:pPr>
        <w:pStyle w:val="BodyText"/>
      </w:pPr>
      <w:r>
        <w:t>Lang, Stefan, and Andreas Brezger. 2004. “Bayesian P-Splines.” Journal of Computational and Graphical Statistics 13 (1): 183–212.</w:t>
      </w:r>
    </w:p>
    <w:p w14:paraId="35502072" w14:textId="77777777" w:rsidR="003B2CDA" w:rsidRDefault="00000000">
      <w:pPr>
        <w:pStyle w:val="BodyText"/>
      </w:pPr>
      <w:r>
        <w:t>Lunn D, Spiegelhalter D, Thomas A, Best N. 2009. The BUGS project: Evolution, critique and future directions. Statistics in Medicine, 28:3049-67.</w:t>
      </w:r>
    </w:p>
    <w:p w14:paraId="5DF98CDB" w14:textId="77777777" w:rsidR="003B2CDA" w:rsidRDefault="00000000">
      <w:pPr>
        <w:pStyle w:val="BodyText"/>
      </w:pPr>
      <w:r>
        <w:t>McKean, C., and M. Ford. 2025. Operational plan: Assessment of Pacific halibut and groundfish sport harvest in Southcentral Alaska, 2025–2027. Alaska Department of Fish and Game, Division of Sport Fish, Regional Operational Plan No. ROP.SF.2A.2025.07, Anchorage.</w:t>
      </w:r>
    </w:p>
    <w:p w14:paraId="499D866C" w14:textId="77777777" w:rsidR="003B2CDA" w:rsidRDefault="00000000">
      <w:pPr>
        <w:pStyle w:val="BodyText"/>
      </w:pPr>
      <w:r>
        <w:t xml:space="preserve">Molenberghs, G., Verbeke, G., Demétrio, C. G. B., &amp; Vieira, A. M. C. 2010. A Family of Generalized Linear Models for Repeated Measures with Normal and Conjugate Random Effects. Statistical Science, 25(3), 325–347. </w:t>
      </w:r>
      <w:hyperlink r:id="rId8">
        <w:r>
          <w:rPr>
            <w:rStyle w:val="Hyperlink"/>
          </w:rPr>
          <w:t>http://www.jstor.org/stable/41058951</w:t>
        </w:r>
      </w:hyperlink>
    </w:p>
    <w:p w14:paraId="3B3AC769" w14:textId="77777777" w:rsidR="003B2CDA" w:rsidRDefault="00000000">
      <w:pPr>
        <w:pStyle w:val="BodyText"/>
      </w:pPr>
      <w:r>
        <w:t xml:space="preserve">Plummer M (2024). </w:t>
      </w:r>
      <w:r>
        <w:rPr>
          <w:i/>
          <w:iCs/>
        </w:rPr>
        <w:t>rjags: Bayesian Graphical Models using MCMC</w:t>
      </w:r>
      <w:r>
        <w:t xml:space="preserve">. R package version 4-16, </w:t>
      </w:r>
      <w:hyperlink r:id="rId9">
        <w:r>
          <w:rPr>
            <w:rStyle w:val="Hyperlink"/>
          </w:rPr>
          <w:t>https://CRAN.R-project.org/package=rjags</w:t>
        </w:r>
      </w:hyperlink>
      <w:r>
        <w:t>.</w:t>
      </w:r>
    </w:p>
    <w:p w14:paraId="5900C961" w14:textId="77777777" w:rsidR="003B2CDA" w:rsidRDefault="00000000">
      <w:pPr>
        <w:pStyle w:val="BodyText"/>
      </w:pPr>
      <w:r>
        <w:t>Plummer M, Best N, Cowles K, Vines K 2006. CODA: Convergence Diagnosis and Output Analysis for MCMC, R News, 6:7-11.</w:t>
      </w:r>
    </w:p>
    <w:p w14:paraId="0E3A7DF6" w14:textId="77777777" w:rsidR="003B2CDA" w:rsidRDefault="00000000">
      <w:pPr>
        <w:pStyle w:val="BodyText"/>
      </w:pPr>
      <w:r>
        <w:t>Polum, T., M. Witteveen, and B. Woolever. 2025. Report on selected sport fisheries of the Alaska Peninsula–Aleutian Islands Management Area, 2015–2025. Alaska Department of Fish and Game, Fishery Management Report No. 25-36, Anchorage.</w:t>
      </w:r>
    </w:p>
    <w:p w14:paraId="74FEF32C" w14:textId="77777777" w:rsidR="003B2CDA"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73C3D0A6" w14:textId="77777777" w:rsidR="003B2CDA" w:rsidRDefault="00000000">
      <w:pPr>
        <w:pStyle w:val="BodyText"/>
      </w:pPr>
      <w:r>
        <w:lastRenderedPageBreak/>
        <w:t xml:space="preserve">R Core Team (2021). R: A language and environment for statistical computing. R Foundation for Statistical Computing, Vienna, Austria. URL </w:t>
      </w:r>
      <w:hyperlink r:id="rId10">
        <w:r>
          <w:rPr>
            <w:rStyle w:val="Hyperlink"/>
          </w:rPr>
          <w:t>https://www.R-project.org/</w:t>
        </w:r>
      </w:hyperlink>
      <w:r>
        <w:t>.</w:t>
      </w:r>
    </w:p>
    <w:p w14:paraId="3A285F46" w14:textId="77777777" w:rsidR="003B2CDA" w:rsidRDefault="00000000">
      <w:pPr>
        <w:pStyle w:val="BodyText"/>
      </w:pPr>
      <w:r>
        <w:t>Richards, P., D. Tersteeg, C. M. Hinds, A. Lake, and J. Huang. 2025. Operational plan: Southeast Alaska marine boat sport fishery harvest studies, 2025. Alaska Department of Fish and Game, Division of Sport Fish, Regional Operational Plan No. ROP.SF.1J.2025.05, Anchorage.</w:t>
      </w:r>
    </w:p>
    <w:p w14:paraId="39DBDAB8" w14:textId="77777777" w:rsidR="003B2CDA" w:rsidRDefault="00000000">
      <w:pPr>
        <w:pStyle w:val="BodyText"/>
      </w:pPr>
      <w:r>
        <w:t>Romberg, W. J., I. Rafferty, and M. Martz. 2018. Alaska Statewide Sport Fish Harvest Survey, 2018. Alaska Department of Fish and Game, Division of Sport Fish, Regional Operational Plan ROP.SF.4A.2018.07, Anchorage.</w:t>
      </w:r>
    </w:p>
    <w:p w14:paraId="426299F6" w14:textId="77777777" w:rsidR="003B2CDA" w:rsidRDefault="00000000">
      <w:pPr>
        <w:pStyle w:val="BodyText"/>
      </w:pPr>
      <w:r>
        <w:t>Ruppert, David, Matt P. Wand, and Raymond J. Carroll. 2003. Semiparametric Regression. Cambridge University Press.</w:t>
      </w:r>
    </w:p>
    <w:p w14:paraId="5BB95964" w14:textId="77777777" w:rsidR="003B2CDA" w:rsidRDefault="00000000">
      <w:pPr>
        <w:pStyle w:val="BodyText"/>
      </w:pPr>
      <w:r>
        <w:t>Schuster, M. D., A. B. St. Saviour, A. Reimer, C. McKean, and S. C. Meyer. 2025. Characteristics of the sport harvest of rockfishes Sebastes in Southcentral Alaska, 1996–2019. Alaska Department of Fish and Game, Fishery Data Series No. 25-40, Anchorage.</w:t>
      </w:r>
    </w:p>
    <w:p w14:paraId="70A74829" w14:textId="77777777" w:rsidR="003B2CDA" w:rsidRDefault="00000000">
      <w:pPr>
        <w:pStyle w:val="BodyText"/>
      </w:pPr>
      <w:r>
        <w:t>Tschersich, P., J. Dissen, and W. Gaeuman. 2023. Westward Region hydroacoustic survey for black rockfish Sebastes melanops abundance, 2007–2022. Alaska Department of Fish and Game, Fishery Data Series No. 23-31, Anchorage.</w:t>
      </w:r>
    </w:p>
    <w:p w14:paraId="5C88503E" w14:textId="77777777" w:rsidR="003B2CDA" w:rsidRDefault="00000000">
      <w:r>
        <w:br w:type="page"/>
      </w:r>
    </w:p>
    <w:p w14:paraId="747B4465" w14:textId="77777777" w:rsidR="003B2CDA" w:rsidRDefault="00000000">
      <w:pPr>
        <w:pStyle w:val="Heading4"/>
      </w:pPr>
      <w:bookmarkStart w:id="62" w:name="extra-stuff-not-ready-to-delete"/>
      <w:r>
        <w:lastRenderedPageBreak/>
        <w:t>Extra Stuff not ready to delete:</w:t>
      </w:r>
    </w:p>
    <w:p w14:paraId="37FBC9C8" w14:textId="77777777" w:rsidR="003B2CDA"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5178D77F" w14:textId="77777777" w:rsidR="003B2CDA"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23EFF4D0" w14:textId="77777777" w:rsidR="003B2CDA"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60"/>
      <w:bookmarkEnd w:id="62"/>
    </w:p>
    <w:sectPr w:rsidR="003B2CDA"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AB0B4" w14:textId="77777777" w:rsidR="0087083D" w:rsidRDefault="0087083D">
      <w:pPr>
        <w:spacing w:after="0"/>
      </w:pPr>
      <w:r>
        <w:separator/>
      </w:r>
    </w:p>
  </w:endnote>
  <w:endnote w:type="continuationSeparator" w:id="0">
    <w:p w14:paraId="472FD750" w14:textId="77777777" w:rsidR="0087083D" w:rsidRDefault="008708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C3573"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552B45AE"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BD223" w14:textId="77777777" w:rsidR="0087083D" w:rsidRDefault="0087083D">
      <w:pPr>
        <w:spacing w:after="0"/>
      </w:pPr>
      <w:r>
        <w:separator/>
      </w:r>
    </w:p>
  </w:footnote>
  <w:footnote w:type="continuationSeparator" w:id="0">
    <w:p w14:paraId="45BFA3BD" w14:textId="77777777" w:rsidR="0087083D" w:rsidRDefault="008708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8A8C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3D069A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85FCA01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907304065">
    <w:abstractNumId w:val="0"/>
  </w:num>
  <w:num w:numId="28" w16cid:durableId="15795535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722636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2CDA"/>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021E"/>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43D"/>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083D"/>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54562B"/>
  <w15:docId w15:val="{29C506E2-EBDE-4427-BD0F-08B0A606C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8</TotalTime>
  <Pages>33</Pages>
  <Words>14145</Words>
  <Characters>79800</Characters>
  <Application>Microsoft Office Word</Application>
  <DocSecurity>0</DocSecurity>
  <Lines>1202</Lines>
  <Paragraphs>356</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93573</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 Hinds and Diana Tersteeg</dc:creator>
  <cp:keywords/>
  <cp:lastModifiedBy>Joy, Philip J (DFG)</cp:lastModifiedBy>
  <cp:revision>2</cp:revision>
  <dcterms:created xsi:type="dcterms:W3CDTF">2026-01-16T18:50:00Z</dcterms:created>
  <dcterms:modified xsi:type="dcterms:W3CDTF">2026-01-16T18:51:00Z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