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A4F17" w14:textId="77777777" w:rsidR="008F41C3" w:rsidRDefault="00000000">
      <w:pPr>
        <w:pStyle w:val="Title"/>
      </w:pPr>
      <w:r>
        <w:t>Rockfish Removals in Alaska Sport Fisheries 1977 - 2024</w:t>
      </w:r>
    </w:p>
    <w:p w14:paraId="1F28D131" w14:textId="77777777" w:rsidR="008F41C3" w:rsidRDefault="00000000">
      <w:pPr>
        <w:pStyle w:val="Author"/>
      </w:pPr>
      <w:r>
        <w:t>Philip Joy, Clay McKean, Christine Hinds and Diana Tersteeg</w:t>
      </w:r>
    </w:p>
    <w:sdt>
      <w:sdtPr>
        <w:rPr>
          <w:rFonts w:eastAsia="Times New Roman" w:cs="Times New Roman"/>
          <w:color w:val="auto"/>
          <w:sz w:val="24"/>
          <w:szCs w:val="24"/>
        </w:rPr>
        <w:id w:val="-1713411506"/>
        <w:docPartObj>
          <w:docPartGallery w:val="Table of Contents"/>
          <w:docPartUnique/>
        </w:docPartObj>
      </w:sdtPr>
      <w:sdtContent>
        <w:p w14:paraId="7BEE023D" w14:textId="77777777" w:rsidR="008F41C3" w:rsidRDefault="00000000">
          <w:pPr>
            <w:pStyle w:val="TOCHeading"/>
          </w:pPr>
          <w:r>
            <w:t>Table of Contents</w:t>
          </w:r>
        </w:p>
        <w:p w14:paraId="58F13F3C" w14:textId="6562EE2E" w:rsidR="004710B3" w:rsidRDefault="00000000">
          <w:pPr>
            <w:pStyle w:val="TOC1"/>
            <w:rPr>
              <w:rFonts w:asciiTheme="minorHAnsi" w:eastAsiaTheme="minorEastAsia" w:hAnsiTheme="minorHAnsi" w:cstheme="minorBidi"/>
              <w:caps w:val="0"/>
              <w:noProof/>
              <w:kern w:val="2"/>
              <w:sz w:val="24"/>
              <w:szCs w:val="24"/>
              <w14:ligatures w14:val="standardContextual"/>
            </w:rPr>
          </w:pPr>
          <w:r>
            <w:fldChar w:fldCharType="begin"/>
          </w:r>
          <w:r>
            <w:instrText>TOC \o "1-2" \h \z \u</w:instrText>
          </w:r>
          <w:r>
            <w:fldChar w:fldCharType="separate"/>
          </w:r>
          <w:hyperlink w:anchor="_Toc240870619" w:history="1">
            <w:r w:rsidR="004710B3" w:rsidRPr="00C31DB6">
              <w:rPr>
                <w:rStyle w:val="Hyperlink"/>
                <w:noProof/>
              </w:rPr>
              <w:t>Abstract</w:t>
            </w:r>
            <w:r w:rsidR="004710B3">
              <w:rPr>
                <w:noProof/>
                <w:webHidden/>
              </w:rPr>
              <w:tab/>
            </w:r>
            <w:r w:rsidR="004710B3">
              <w:rPr>
                <w:noProof/>
                <w:webHidden/>
              </w:rPr>
              <w:fldChar w:fldCharType="begin"/>
            </w:r>
            <w:r w:rsidR="004710B3">
              <w:rPr>
                <w:noProof/>
                <w:webHidden/>
              </w:rPr>
              <w:instrText xml:space="preserve"> PAGEREF _Toc240870619 \h </w:instrText>
            </w:r>
            <w:r w:rsidR="004710B3">
              <w:rPr>
                <w:noProof/>
                <w:webHidden/>
              </w:rPr>
            </w:r>
            <w:r w:rsidR="004710B3">
              <w:rPr>
                <w:noProof/>
                <w:webHidden/>
              </w:rPr>
              <w:fldChar w:fldCharType="separate"/>
            </w:r>
            <w:r w:rsidR="004710B3">
              <w:rPr>
                <w:noProof/>
                <w:webHidden/>
              </w:rPr>
              <w:t>2</w:t>
            </w:r>
            <w:r w:rsidR="004710B3">
              <w:rPr>
                <w:noProof/>
                <w:webHidden/>
              </w:rPr>
              <w:fldChar w:fldCharType="end"/>
            </w:r>
          </w:hyperlink>
        </w:p>
        <w:p w14:paraId="3A13C8CC" w14:textId="16D08C4B" w:rsidR="004710B3" w:rsidRDefault="004710B3">
          <w:pPr>
            <w:pStyle w:val="TOC1"/>
            <w:rPr>
              <w:rFonts w:asciiTheme="minorHAnsi" w:eastAsiaTheme="minorEastAsia" w:hAnsiTheme="minorHAnsi" w:cstheme="minorBidi"/>
              <w:caps w:val="0"/>
              <w:noProof/>
              <w:kern w:val="2"/>
              <w:sz w:val="24"/>
              <w:szCs w:val="24"/>
              <w14:ligatures w14:val="standardContextual"/>
            </w:rPr>
          </w:pPr>
          <w:hyperlink w:anchor="_Toc240870620" w:history="1">
            <w:r w:rsidRPr="00C31DB6">
              <w:rPr>
                <w:rStyle w:val="Hyperlink"/>
                <w:noProof/>
              </w:rPr>
              <w:t>Introduction</w:t>
            </w:r>
            <w:r>
              <w:rPr>
                <w:noProof/>
                <w:webHidden/>
              </w:rPr>
              <w:tab/>
            </w:r>
            <w:r>
              <w:rPr>
                <w:noProof/>
                <w:webHidden/>
              </w:rPr>
              <w:fldChar w:fldCharType="begin"/>
            </w:r>
            <w:r>
              <w:rPr>
                <w:noProof/>
                <w:webHidden/>
              </w:rPr>
              <w:instrText xml:space="preserve"> PAGEREF _Toc240870620 \h </w:instrText>
            </w:r>
            <w:r>
              <w:rPr>
                <w:noProof/>
                <w:webHidden/>
              </w:rPr>
            </w:r>
            <w:r>
              <w:rPr>
                <w:noProof/>
                <w:webHidden/>
              </w:rPr>
              <w:fldChar w:fldCharType="separate"/>
            </w:r>
            <w:r>
              <w:rPr>
                <w:noProof/>
                <w:webHidden/>
              </w:rPr>
              <w:t>2</w:t>
            </w:r>
            <w:r>
              <w:rPr>
                <w:noProof/>
                <w:webHidden/>
              </w:rPr>
              <w:fldChar w:fldCharType="end"/>
            </w:r>
          </w:hyperlink>
        </w:p>
        <w:p w14:paraId="240B1872" w14:textId="569D1AFB" w:rsidR="004710B3" w:rsidRDefault="004710B3">
          <w:pPr>
            <w:pStyle w:val="TOC1"/>
            <w:rPr>
              <w:rFonts w:asciiTheme="minorHAnsi" w:eastAsiaTheme="minorEastAsia" w:hAnsiTheme="minorHAnsi" w:cstheme="minorBidi"/>
              <w:caps w:val="0"/>
              <w:noProof/>
              <w:kern w:val="2"/>
              <w:sz w:val="24"/>
              <w:szCs w:val="24"/>
              <w14:ligatures w14:val="standardContextual"/>
            </w:rPr>
          </w:pPr>
          <w:hyperlink w:anchor="_Toc240870621" w:history="1">
            <w:r w:rsidRPr="00C31DB6">
              <w:rPr>
                <w:rStyle w:val="Hyperlink"/>
                <w:noProof/>
              </w:rPr>
              <w:t>Objective</w:t>
            </w:r>
            <w:r>
              <w:rPr>
                <w:noProof/>
                <w:webHidden/>
              </w:rPr>
              <w:tab/>
            </w:r>
            <w:r>
              <w:rPr>
                <w:noProof/>
                <w:webHidden/>
              </w:rPr>
              <w:fldChar w:fldCharType="begin"/>
            </w:r>
            <w:r>
              <w:rPr>
                <w:noProof/>
                <w:webHidden/>
              </w:rPr>
              <w:instrText xml:space="preserve"> PAGEREF _Toc240870621 \h </w:instrText>
            </w:r>
            <w:r>
              <w:rPr>
                <w:noProof/>
                <w:webHidden/>
              </w:rPr>
            </w:r>
            <w:r>
              <w:rPr>
                <w:noProof/>
                <w:webHidden/>
              </w:rPr>
              <w:fldChar w:fldCharType="separate"/>
            </w:r>
            <w:r>
              <w:rPr>
                <w:noProof/>
                <w:webHidden/>
              </w:rPr>
              <w:t>4</w:t>
            </w:r>
            <w:r>
              <w:rPr>
                <w:noProof/>
                <w:webHidden/>
              </w:rPr>
              <w:fldChar w:fldCharType="end"/>
            </w:r>
          </w:hyperlink>
        </w:p>
        <w:p w14:paraId="58B59B30" w14:textId="5E3395DE" w:rsidR="004710B3" w:rsidRDefault="004710B3">
          <w:pPr>
            <w:pStyle w:val="TOC1"/>
            <w:rPr>
              <w:rFonts w:asciiTheme="minorHAnsi" w:eastAsiaTheme="minorEastAsia" w:hAnsiTheme="minorHAnsi" w:cstheme="minorBidi"/>
              <w:caps w:val="0"/>
              <w:noProof/>
              <w:kern w:val="2"/>
              <w:sz w:val="24"/>
              <w:szCs w:val="24"/>
              <w14:ligatures w14:val="standardContextual"/>
            </w:rPr>
          </w:pPr>
          <w:hyperlink w:anchor="_Toc240870622" w:history="1">
            <w:r w:rsidRPr="00C31DB6">
              <w:rPr>
                <w:rStyle w:val="Hyperlink"/>
                <w:noProof/>
              </w:rPr>
              <w:t>Study Area</w:t>
            </w:r>
            <w:r>
              <w:rPr>
                <w:noProof/>
                <w:webHidden/>
              </w:rPr>
              <w:tab/>
            </w:r>
            <w:r>
              <w:rPr>
                <w:noProof/>
                <w:webHidden/>
              </w:rPr>
              <w:fldChar w:fldCharType="begin"/>
            </w:r>
            <w:r>
              <w:rPr>
                <w:noProof/>
                <w:webHidden/>
              </w:rPr>
              <w:instrText xml:space="preserve"> PAGEREF _Toc240870622 \h </w:instrText>
            </w:r>
            <w:r>
              <w:rPr>
                <w:noProof/>
                <w:webHidden/>
              </w:rPr>
            </w:r>
            <w:r>
              <w:rPr>
                <w:noProof/>
                <w:webHidden/>
              </w:rPr>
              <w:fldChar w:fldCharType="separate"/>
            </w:r>
            <w:r>
              <w:rPr>
                <w:noProof/>
                <w:webHidden/>
              </w:rPr>
              <w:t>5</w:t>
            </w:r>
            <w:r>
              <w:rPr>
                <w:noProof/>
                <w:webHidden/>
              </w:rPr>
              <w:fldChar w:fldCharType="end"/>
            </w:r>
          </w:hyperlink>
        </w:p>
        <w:p w14:paraId="4A0F6F1B" w14:textId="0AE963AC" w:rsidR="004710B3" w:rsidRDefault="004710B3">
          <w:pPr>
            <w:pStyle w:val="TOC1"/>
            <w:rPr>
              <w:rFonts w:asciiTheme="minorHAnsi" w:eastAsiaTheme="minorEastAsia" w:hAnsiTheme="minorHAnsi" w:cstheme="minorBidi"/>
              <w:caps w:val="0"/>
              <w:noProof/>
              <w:kern w:val="2"/>
              <w:sz w:val="24"/>
              <w:szCs w:val="24"/>
              <w14:ligatures w14:val="standardContextual"/>
            </w:rPr>
          </w:pPr>
          <w:hyperlink w:anchor="_Toc240870623" w:history="1">
            <w:r w:rsidRPr="00C31DB6">
              <w:rPr>
                <w:rStyle w:val="Hyperlink"/>
                <w:noProof/>
              </w:rPr>
              <w:t>Methods</w:t>
            </w:r>
            <w:r>
              <w:rPr>
                <w:noProof/>
                <w:webHidden/>
              </w:rPr>
              <w:tab/>
            </w:r>
            <w:r>
              <w:rPr>
                <w:noProof/>
                <w:webHidden/>
              </w:rPr>
              <w:fldChar w:fldCharType="begin"/>
            </w:r>
            <w:r>
              <w:rPr>
                <w:noProof/>
                <w:webHidden/>
              </w:rPr>
              <w:instrText xml:space="preserve"> PAGEREF _Toc240870623 \h </w:instrText>
            </w:r>
            <w:r>
              <w:rPr>
                <w:noProof/>
                <w:webHidden/>
              </w:rPr>
            </w:r>
            <w:r>
              <w:rPr>
                <w:noProof/>
                <w:webHidden/>
              </w:rPr>
              <w:fldChar w:fldCharType="separate"/>
            </w:r>
            <w:r>
              <w:rPr>
                <w:noProof/>
                <w:webHidden/>
              </w:rPr>
              <w:t>5</w:t>
            </w:r>
            <w:r>
              <w:rPr>
                <w:noProof/>
                <w:webHidden/>
              </w:rPr>
              <w:fldChar w:fldCharType="end"/>
            </w:r>
          </w:hyperlink>
        </w:p>
        <w:p w14:paraId="4D264383" w14:textId="689FF43F" w:rsidR="004710B3" w:rsidRDefault="004710B3">
          <w:pPr>
            <w:pStyle w:val="TOC2"/>
            <w:rPr>
              <w:rFonts w:asciiTheme="minorHAnsi" w:eastAsiaTheme="minorEastAsia" w:hAnsiTheme="minorHAnsi" w:cstheme="minorBidi"/>
              <w:noProof/>
              <w:kern w:val="2"/>
              <w:sz w:val="24"/>
              <w:szCs w:val="24"/>
              <w14:ligatures w14:val="standardContextual"/>
            </w:rPr>
          </w:pPr>
          <w:hyperlink w:anchor="_Toc240870624" w:history="1">
            <w:r w:rsidRPr="00C31DB6">
              <w:rPr>
                <w:rStyle w:val="Hyperlink"/>
                <w:noProof/>
              </w:rPr>
              <w:t>Data</w:t>
            </w:r>
            <w:r>
              <w:rPr>
                <w:noProof/>
                <w:webHidden/>
              </w:rPr>
              <w:tab/>
            </w:r>
            <w:r>
              <w:rPr>
                <w:noProof/>
                <w:webHidden/>
              </w:rPr>
              <w:fldChar w:fldCharType="begin"/>
            </w:r>
            <w:r>
              <w:rPr>
                <w:noProof/>
                <w:webHidden/>
              </w:rPr>
              <w:instrText xml:space="preserve"> PAGEREF _Toc240870624 \h </w:instrText>
            </w:r>
            <w:r>
              <w:rPr>
                <w:noProof/>
                <w:webHidden/>
              </w:rPr>
            </w:r>
            <w:r>
              <w:rPr>
                <w:noProof/>
                <w:webHidden/>
              </w:rPr>
              <w:fldChar w:fldCharType="separate"/>
            </w:r>
            <w:r>
              <w:rPr>
                <w:noProof/>
                <w:webHidden/>
              </w:rPr>
              <w:t>5</w:t>
            </w:r>
            <w:r>
              <w:rPr>
                <w:noProof/>
                <w:webHidden/>
              </w:rPr>
              <w:fldChar w:fldCharType="end"/>
            </w:r>
          </w:hyperlink>
        </w:p>
        <w:p w14:paraId="4FF8D739" w14:textId="0D733F28" w:rsidR="004710B3" w:rsidRDefault="004710B3">
          <w:pPr>
            <w:pStyle w:val="TOC2"/>
            <w:rPr>
              <w:rFonts w:asciiTheme="minorHAnsi" w:eastAsiaTheme="minorEastAsia" w:hAnsiTheme="minorHAnsi" w:cstheme="minorBidi"/>
              <w:noProof/>
              <w:kern w:val="2"/>
              <w:sz w:val="24"/>
              <w:szCs w:val="24"/>
              <w14:ligatures w14:val="standardContextual"/>
            </w:rPr>
          </w:pPr>
          <w:hyperlink w:anchor="_Toc240870625" w:history="1">
            <w:r w:rsidRPr="00C31DB6">
              <w:rPr>
                <w:rStyle w:val="Hyperlink"/>
                <w:noProof/>
              </w:rPr>
              <w:t>Process equations</w:t>
            </w:r>
            <w:r>
              <w:rPr>
                <w:noProof/>
                <w:webHidden/>
              </w:rPr>
              <w:tab/>
            </w:r>
            <w:r>
              <w:rPr>
                <w:noProof/>
                <w:webHidden/>
              </w:rPr>
              <w:fldChar w:fldCharType="begin"/>
            </w:r>
            <w:r>
              <w:rPr>
                <w:noProof/>
                <w:webHidden/>
              </w:rPr>
              <w:instrText xml:space="preserve"> PAGEREF _Toc240870625 \h </w:instrText>
            </w:r>
            <w:r>
              <w:rPr>
                <w:noProof/>
                <w:webHidden/>
              </w:rPr>
            </w:r>
            <w:r>
              <w:rPr>
                <w:noProof/>
                <w:webHidden/>
              </w:rPr>
              <w:fldChar w:fldCharType="separate"/>
            </w:r>
            <w:r>
              <w:rPr>
                <w:noProof/>
                <w:webHidden/>
              </w:rPr>
              <w:t>8</w:t>
            </w:r>
            <w:r>
              <w:rPr>
                <w:noProof/>
                <w:webHidden/>
              </w:rPr>
              <w:fldChar w:fldCharType="end"/>
            </w:r>
          </w:hyperlink>
        </w:p>
        <w:p w14:paraId="18658F5C" w14:textId="5B775417" w:rsidR="004710B3" w:rsidRDefault="004710B3">
          <w:pPr>
            <w:pStyle w:val="TOC2"/>
            <w:rPr>
              <w:rFonts w:asciiTheme="minorHAnsi" w:eastAsiaTheme="minorEastAsia" w:hAnsiTheme="minorHAnsi" w:cstheme="minorBidi"/>
              <w:noProof/>
              <w:kern w:val="2"/>
              <w:sz w:val="24"/>
              <w:szCs w:val="24"/>
              <w14:ligatures w14:val="standardContextual"/>
            </w:rPr>
          </w:pPr>
          <w:hyperlink w:anchor="_Toc240870626" w:history="1">
            <w:r w:rsidRPr="00C31DB6">
              <w:rPr>
                <w:rStyle w:val="Hyperlink"/>
                <w:noProof/>
              </w:rPr>
              <w:t>Observation equations</w:t>
            </w:r>
            <w:r>
              <w:rPr>
                <w:noProof/>
                <w:webHidden/>
              </w:rPr>
              <w:tab/>
            </w:r>
            <w:r>
              <w:rPr>
                <w:noProof/>
                <w:webHidden/>
              </w:rPr>
              <w:fldChar w:fldCharType="begin"/>
            </w:r>
            <w:r>
              <w:rPr>
                <w:noProof/>
                <w:webHidden/>
              </w:rPr>
              <w:instrText xml:space="preserve"> PAGEREF _Toc240870626 \h </w:instrText>
            </w:r>
            <w:r>
              <w:rPr>
                <w:noProof/>
                <w:webHidden/>
              </w:rPr>
            </w:r>
            <w:r>
              <w:rPr>
                <w:noProof/>
                <w:webHidden/>
              </w:rPr>
              <w:fldChar w:fldCharType="separate"/>
            </w:r>
            <w:r>
              <w:rPr>
                <w:noProof/>
                <w:webHidden/>
              </w:rPr>
              <w:t>16</w:t>
            </w:r>
            <w:r>
              <w:rPr>
                <w:noProof/>
                <w:webHidden/>
              </w:rPr>
              <w:fldChar w:fldCharType="end"/>
            </w:r>
          </w:hyperlink>
        </w:p>
        <w:p w14:paraId="0B39743F" w14:textId="71FF9432" w:rsidR="004710B3" w:rsidRDefault="004710B3">
          <w:pPr>
            <w:pStyle w:val="TOC2"/>
            <w:rPr>
              <w:rFonts w:asciiTheme="minorHAnsi" w:eastAsiaTheme="minorEastAsia" w:hAnsiTheme="minorHAnsi" w:cstheme="minorBidi"/>
              <w:noProof/>
              <w:kern w:val="2"/>
              <w:sz w:val="24"/>
              <w:szCs w:val="24"/>
              <w14:ligatures w14:val="standardContextual"/>
            </w:rPr>
          </w:pPr>
          <w:hyperlink w:anchor="_Toc240870627" w:history="1">
            <w:r w:rsidRPr="00C31DB6">
              <w:rPr>
                <w:rStyle w:val="Hyperlink"/>
                <w:noProof/>
              </w:rPr>
              <w:t>Model platform and diagnostics</w:t>
            </w:r>
            <w:r>
              <w:rPr>
                <w:noProof/>
                <w:webHidden/>
              </w:rPr>
              <w:tab/>
            </w:r>
            <w:r>
              <w:rPr>
                <w:noProof/>
                <w:webHidden/>
              </w:rPr>
              <w:fldChar w:fldCharType="begin"/>
            </w:r>
            <w:r>
              <w:rPr>
                <w:noProof/>
                <w:webHidden/>
              </w:rPr>
              <w:instrText xml:space="preserve"> PAGEREF _Toc240870627 \h </w:instrText>
            </w:r>
            <w:r>
              <w:rPr>
                <w:noProof/>
                <w:webHidden/>
              </w:rPr>
            </w:r>
            <w:r>
              <w:rPr>
                <w:noProof/>
                <w:webHidden/>
              </w:rPr>
              <w:fldChar w:fldCharType="separate"/>
            </w:r>
            <w:r>
              <w:rPr>
                <w:noProof/>
                <w:webHidden/>
              </w:rPr>
              <w:t>20</w:t>
            </w:r>
            <w:r>
              <w:rPr>
                <w:noProof/>
                <w:webHidden/>
              </w:rPr>
              <w:fldChar w:fldCharType="end"/>
            </w:r>
          </w:hyperlink>
        </w:p>
        <w:p w14:paraId="362D54BA" w14:textId="16478EE7" w:rsidR="004710B3" w:rsidRDefault="004710B3">
          <w:pPr>
            <w:pStyle w:val="TOC1"/>
            <w:rPr>
              <w:rFonts w:asciiTheme="minorHAnsi" w:eastAsiaTheme="minorEastAsia" w:hAnsiTheme="minorHAnsi" w:cstheme="minorBidi"/>
              <w:caps w:val="0"/>
              <w:noProof/>
              <w:kern w:val="2"/>
              <w:sz w:val="24"/>
              <w:szCs w:val="24"/>
              <w14:ligatures w14:val="standardContextual"/>
            </w:rPr>
          </w:pPr>
          <w:hyperlink w:anchor="_Toc240870628" w:history="1">
            <w:r w:rsidRPr="00C31DB6">
              <w:rPr>
                <w:rStyle w:val="Hyperlink"/>
                <w:noProof/>
              </w:rPr>
              <w:t>Results</w:t>
            </w:r>
            <w:r>
              <w:rPr>
                <w:noProof/>
                <w:webHidden/>
              </w:rPr>
              <w:tab/>
            </w:r>
            <w:r>
              <w:rPr>
                <w:noProof/>
                <w:webHidden/>
              </w:rPr>
              <w:fldChar w:fldCharType="begin"/>
            </w:r>
            <w:r>
              <w:rPr>
                <w:noProof/>
                <w:webHidden/>
              </w:rPr>
              <w:instrText xml:space="preserve"> PAGEREF _Toc240870628 \h </w:instrText>
            </w:r>
            <w:r>
              <w:rPr>
                <w:noProof/>
                <w:webHidden/>
              </w:rPr>
            </w:r>
            <w:r>
              <w:rPr>
                <w:noProof/>
                <w:webHidden/>
              </w:rPr>
              <w:fldChar w:fldCharType="separate"/>
            </w:r>
            <w:r>
              <w:rPr>
                <w:noProof/>
                <w:webHidden/>
              </w:rPr>
              <w:t>20</w:t>
            </w:r>
            <w:r>
              <w:rPr>
                <w:noProof/>
                <w:webHidden/>
              </w:rPr>
              <w:fldChar w:fldCharType="end"/>
            </w:r>
          </w:hyperlink>
        </w:p>
        <w:p w14:paraId="0418341F" w14:textId="48873AA2" w:rsidR="004710B3" w:rsidRDefault="004710B3">
          <w:pPr>
            <w:pStyle w:val="TOC2"/>
            <w:rPr>
              <w:rFonts w:asciiTheme="minorHAnsi" w:eastAsiaTheme="minorEastAsia" w:hAnsiTheme="minorHAnsi" w:cstheme="minorBidi"/>
              <w:noProof/>
              <w:kern w:val="2"/>
              <w:sz w:val="24"/>
              <w:szCs w:val="24"/>
              <w14:ligatures w14:val="standardContextual"/>
            </w:rPr>
          </w:pPr>
          <w:hyperlink w:anchor="_Toc240870629" w:history="1">
            <w:r w:rsidRPr="00C31DB6">
              <w:rPr>
                <w:rStyle w:val="Hyperlink"/>
                <w:noProof/>
              </w:rPr>
              <w:t>Residual Patterns</w:t>
            </w:r>
            <w:r>
              <w:rPr>
                <w:noProof/>
                <w:webHidden/>
              </w:rPr>
              <w:tab/>
            </w:r>
            <w:r>
              <w:rPr>
                <w:noProof/>
                <w:webHidden/>
              </w:rPr>
              <w:fldChar w:fldCharType="begin"/>
            </w:r>
            <w:r>
              <w:rPr>
                <w:noProof/>
                <w:webHidden/>
              </w:rPr>
              <w:instrText xml:space="preserve"> PAGEREF _Toc240870629 \h </w:instrText>
            </w:r>
            <w:r>
              <w:rPr>
                <w:noProof/>
                <w:webHidden/>
              </w:rPr>
            </w:r>
            <w:r>
              <w:rPr>
                <w:noProof/>
                <w:webHidden/>
              </w:rPr>
              <w:fldChar w:fldCharType="separate"/>
            </w:r>
            <w:r>
              <w:rPr>
                <w:noProof/>
                <w:webHidden/>
              </w:rPr>
              <w:t>22</w:t>
            </w:r>
            <w:r>
              <w:rPr>
                <w:noProof/>
                <w:webHidden/>
              </w:rPr>
              <w:fldChar w:fldCharType="end"/>
            </w:r>
          </w:hyperlink>
        </w:p>
        <w:p w14:paraId="2F9446DB" w14:textId="0B25A229" w:rsidR="004710B3" w:rsidRDefault="004710B3">
          <w:pPr>
            <w:pStyle w:val="TOC2"/>
            <w:rPr>
              <w:rFonts w:asciiTheme="minorHAnsi" w:eastAsiaTheme="minorEastAsia" w:hAnsiTheme="minorHAnsi" w:cstheme="minorBidi"/>
              <w:noProof/>
              <w:kern w:val="2"/>
              <w:sz w:val="24"/>
              <w:szCs w:val="24"/>
              <w14:ligatures w14:val="standardContextual"/>
            </w:rPr>
          </w:pPr>
          <w:hyperlink w:anchor="_Toc240870630" w:history="1">
            <w:r w:rsidRPr="00C31DB6">
              <w:rPr>
                <w:rStyle w:val="Hyperlink"/>
                <w:noProof/>
              </w:rPr>
              <w:t>Bias Estimation</w:t>
            </w:r>
            <w:r>
              <w:rPr>
                <w:noProof/>
                <w:webHidden/>
              </w:rPr>
              <w:tab/>
            </w:r>
            <w:r>
              <w:rPr>
                <w:noProof/>
                <w:webHidden/>
              </w:rPr>
              <w:fldChar w:fldCharType="begin"/>
            </w:r>
            <w:r>
              <w:rPr>
                <w:noProof/>
                <w:webHidden/>
              </w:rPr>
              <w:instrText xml:space="preserve"> PAGEREF _Toc240870630 \h </w:instrText>
            </w:r>
            <w:r>
              <w:rPr>
                <w:noProof/>
                <w:webHidden/>
              </w:rPr>
            </w:r>
            <w:r>
              <w:rPr>
                <w:noProof/>
                <w:webHidden/>
              </w:rPr>
              <w:fldChar w:fldCharType="separate"/>
            </w:r>
            <w:r>
              <w:rPr>
                <w:noProof/>
                <w:webHidden/>
              </w:rPr>
              <w:t>23</w:t>
            </w:r>
            <w:r>
              <w:rPr>
                <w:noProof/>
                <w:webHidden/>
              </w:rPr>
              <w:fldChar w:fldCharType="end"/>
            </w:r>
          </w:hyperlink>
        </w:p>
        <w:p w14:paraId="666EFEDF" w14:textId="276592F1" w:rsidR="004710B3" w:rsidRDefault="004710B3">
          <w:pPr>
            <w:pStyle w:val="TOC2"/>
            <w:rPr>
              <w:rFonts w:asciiTheme="minorHAnsi" w:eastAsiaTheme="minorEastAsia" w:hAnsiTheme="minorHAnsi" w:cstheme="minorBidi"/>
              <w:noProof/>
              <w:kern w:val="2"/>
              <w:sz w:val="24"/>
              <w:szCs w:val="24"/>
              <w14:ligatures w14:val="standardContextual"/>
            </w:rPr>
          </w:pPr>
          <w:hyperlink w:anchor="_Toc240870631" w:history="1">
            <w:r w:rsidRPr="00C31DB6">
              <w:rPr>
                <w:rStyle w:val="Hyperlink"/>
                <w:noProof/>
              </w:rPr>
              <w:t>Proportion Harvested</w:t>
            </w:r>
            <w:r>
              <w:rPr>
                <w:noProof/>
                <w:webHidden/>
              </w:rPr>
              <w:tab/>
            </w:r>
            <w:r>
              <w:rPr>
                <w:noProof/>
                <w:webHidden/>
              </w:rPr>
              <w:fldChar w:fldCharType="begin"/>
            </w:r>
            <w:r>
              <w:rPr>
                <w:noProof/>
                <w:webHidden/>
              </w:rPr>
              <w:instrText xml:space="preserve"> PAGEREF _Toc240870631 \h </w:instrText>
            </w:r>
            <w:r>
              <w:rPr>
                <w:noProof/>
                <w:webHidden/>
              </w:rPr>
            </w:r>
            <w:r>
              <w:rPr>
                <w:noProof/>
                <w:webHidden/>
              </w:rPr>
              <w:fldChar w:fldCharType="separate"/>
            </w:r>
            <w:r>
              <w:rPr>
                <w:noProof/>
                <w:webHidden/>
              </w:rPr>
              <w:t>23</w:t>
            </w:r>
            <w:r>
              <w:rPr>
                <w:noProof/>
                <w:webHidden/>
              </w:rPr>
              <w:fldChar w:fldCharType="end"/>
            </w:r>
          </w:hyperlink>
        </w:p>
        <w:p w14:paraId="4B349D82" w14:textId="14A429DB" w:rsidR="004710B3" w:rsidRDefault="004710B3">
          <w:pPr>
            <w:pStyle w:val="TOC2"/>
            <w:rPr>
              <w:rFonts w:asciiTheme="minorHAnsi" w:eastAsiaTheme="minorEastAsia" w:hAnsiTheme="minorHAnsi" w:cstheme="minorBidi"/>
              <w:noProof/>
              <w:kern w:val="2"/>
              <w:sz w:val="24"/>
              <w:szCs w:val="24"/>
              <w14:ligatures w14:val="standardContextual"/>
            </w:rPr>
          </w:pPr>
          <w:hyperlink w:anchor="_Toc240870632" w:history="1">
            <w:r w:rsidRPr="00C31DB6">
              <w:rPr>
                <w:rStyle w:val="Hyperlink"/>
                <w:noProof/>
              </w:rPr>
              <w:t>Species Composition</w:t>
            </w:r>
            <w:r>
              <w:rPr>
                <w:noProof/>
                <w:webHidden/>
              </w:rPr>
              <w:tab/>
            </w:r>
            <w:r>
              <w:rPr>
                <w:noProof/>
                <w:webHidden/>
              </w:rPr>
              <w:fldChar w:fldCharType="begin"/>
            </w:r>
            <w:r>
              <w:rPr>
                <w:noProof/>
                <w:webHidden/>
              </w:rPr>
              <w:instrText xml:space="preserve"> PAGEREF _Toc240870632 \h </w:instrText>
            </w:r>
            <w:r>
              <w:rPr>
                <w:noProof/>
                <w:webHidden/>
              </w:rPr>
            </w:r>
            <w:r>
              <w:rPr>
                <w:noProof/>
                <w:webHidden/>
              </w:rPr>
              <w:fldChar w:fldCharType="separate"/>
            </w:r>
            <w:r>
              <w:rPr>
                <w:noProof/>
                <w:webHidden/>
              </w:rPr>
              <w:t>24</w:t>
            </w:r>
            <w:r>
              <w:rPr>
                <w:noProof/>
                <w:webHidden/>
              </w:rPr>
              <w:fldChar w:fldCharType="end"/>
            </w:r>
          </w:hyperlink>
        </w:p>
        <w:p w14:paraId="3C8B5EAA" w14:textId="3B9E2002" w:rsidR="004710B3" w:rsidRDefault="004710B3">
          <w:pPr>
            <w:pStyle w:val="TOC2"/>
            <w:rPr>
              <w:rFonts w:asciiTheme="minorHAnsi" w:eastAsiaTheme="minorEastAsia" w:hAnsiTheme="minorHAnsi" w:cstheme="minorBidi"/>
              <w:noProof/>
              <w:kern w:val="2"/>
              <w:sz w:val="24"/>
              <w:szCs w:val="24"/>
              <w14:ligatures w14:val="standardContextual"/>
            </w:rPr>
          </w:pPr>
          <w:hyperlink w:anchor="_Toc240870633" w:history="1">
            <w:r w:rsidRPr="00C31DB6">
              <w:rPr>
                <w:rStyle w:val="Hyperlink"/>
                <w:noProof/>
              </w:rPr>
              <w:t>Proportion Guided</w:t>
            </w:r>
            <w:r>
              <w:rPr>
                <w:noProof/>
                <w:webHidden/>
              </w:rPr>
              <w:tab/>
            </w:r>
            <w:r>
              <w:rPr>
                <w:noProof/>
                <w:webHidden/>
              </w:rPr>
              <w:fldChar w:fldCharType="begin"/>
            </w:r>
            <w:r>
              <w:rPr>
                <w:noProof/>
                <w:webHidden/>
              </w:rPr>
              <w:instrText xml:space="preserve"> PAGEREF _Toc240870633 \h </w:instrText>
            </w:r>
            <w:r>
              <w:rPr>
                <w:noProof/>
                <w:webHidden/>
              </w:rPr>
            </w:r>
            <w:r>
              <w:rPr>
                <w:noProof/>
                <w:webHidden/>
              </w:rPr>
              <w:fldChar w:fldCharType="separate"/>
            </w:r>
            <w:r>
              <w:rPr>
                <w:noProof/>
                <w:webHidden/>
              </w:rPr>
              <w:t>25</w:t>
            </w:r>
            <w:r>
              <w:rPr>
                <w:noProof/>
                <w:webHidden/>
              </w:rPr>
              <w:fldChar w:fldCharType="end"/>
            </w:r>
          </w:hyperlink>
        </w:p>
        <w:p w14:paraId="49BB82D0" w14:textId="50C469CB" w:rsidR="004710B3" w:rsidRDefault="004710B3">
          <w:pPr>
            <w:pStyle w:val="TOC2"/>
            <w:rPr>
              <w:rFonts w:asciiTheme="minorHAnsi" w:eastAsiaTheme="minorEastAsia" w:hAnsiTheme="minorHAnsi" w:cstheme="minorBidi"/>
              <w:noProof/>
              <w:kern w:val="2"/>
              <w:sz w:val="24"/>
              <w:szCs w:val="24"/>
              <w14:ligatures w14:val="standardContextual"/>
            </w:rPr>
          </w:pPr>
          <w:hyperlink w:anchor="_Toc240870634" w:history="1">
            <w:r w:rsidRPr="00C31DB6">
              <w:rPr>
                <w:rStyle w:val="Hyperlink"/>
                <w:noProof/>
              </w:rPr>
              <w:t>Weight</w:t>
            </w:r>
            <w:r>
              <w:rPr>
                <w:noProof/>
                <w:webHidden/>
              </w:rPr>
              <w:tab/>
            </w:r>
            <w:r>
              <w:rPr>
                <w:noProof/>
                <w:webHidden/>
              </w:rPr>
              <w:fldChar w:fldCharType="begin"/>
            </w:r>
            <w:r>
              <w:rPr>
                <w:noProof/>
                <w:webHidden/>
              </w:rPr>
              <w:instrText xml:space="preserve"> PAGEREF _Toc240870634 \h </w:instrText>
            </w:r>
            <w:r>
              <w:rPr>
                <w:noProof/>
                <w:webHidden/>
              </w:rPr>
            </w:r>
            <w:r>
              <w:rPr>
                <w:noProof/>
                <w:webHidden/>
              </w:rPr>
              <w:fldChar w:fldCharType="separate"/>
            </w:r>
            <w:r>
              <w:rPr>
                <w:noProof/>
                <w:webHidden/>
              </w:rPr>
              <w:t>25</w:t>
            </w:r>
            <w:r>
              <w:rPr>
                <w:noProof/>
                <w:webHidden/>
              </w:rPr>
              <w:fldChar w:fldCharType="end"/>
            </w:r>
          </w:hyperlink>
        </w:p>
        <w:p w14:paraId="39964459" w14:textId="2A337E63" w:rsidR="004710B3" w:rsidRDefault="004710B3">
          <w:pPr>
            <w:pStyle w:val="TOC2"/>
            <w:rPr>
              <w:rFonts w:asciiTheme="minorHAnsi" w:eastAsiaTheme="minorEastAsia" w:hAnsiTheme="minorHAnsi" w:cstheme="minorBidi"/>
              <w:noProof/>
              <w:kern w:val="2"/>
              <w:sz w:val="24"/>
              <w:szCs w:val="24"/>
              <w14:ligatures w14:val="standardContextual"/>
            </w:rPr>
          </w:pPr>
          <w:hyperlink w:anchor="_Toc240870635" w:history="1">
            <w:r w:rsidRPr="00C31DB6">
              <w:rPr>
                <w:rStyle w:val="Hyperlink"/>
                <w:noProof/>
              </w:rPr>
              <w:t>Harvest, Release and Total Removal Estimates</w:t>
            </w:r>
            <w:r>
              <w:rPr>
                <w:noProof/>
                <w:webHidden/>
              </w:rPr>
              <w:tab/>
            </w:r>
            <w:r>
              <w:rPr>
                <w:noProof/>
                <w:webHidden/>
              </w:rPr>
              <w:fldChar w:fldCharType="begin"/>
            </w:r>
            <w:r>
              <w:rPr>
                <w:noProof/>
                <w:webHidden/>
              </w:rPr>
              <w:instrText xml:space="preserve"> PAGEREF _Toc240870635 \h </w:instrText>
            </w:r>
            <w:r>
              <w:rPr>
                <w:noProof/>
                <w:webHidden/>
              </w:rPr>
            </w:r>
            <w:r>
              <w:rPr>
                <w:noProof/>
                <w:webHidden/>
              </w:rPr>
              <w:fldChar w:fldCharType="separate"/>
            </w:r>
            <w:r>
              <w:rPr>
                <w:noProof/>
                <w:webHidden/>
              </w:rPr>
              <w:t>26</w:t>
            </w:r>
            <w:r>
              <w:rPr>
                <w:noProof/>
                <w:webHidden/>
              </w:rPr>
              <w:fldChar w:fldCharType="end"/>
            </w:r>
          </w:hyperlink>
        </w:p>
        <w:p w14:paraId="54C8DB8E" w14:textId="37FBB945" w:rsidR="004710B3" w:rsidRDefault="004710B3">
          <w:pPr>
            <w:pStyle w:val="TOC1"/>
            <w:rPr>
              <w:rFonts w:asciiTheme="minorHAnsi" w:eastAsiaTheme="minorEastAsia" w:hAnsiTheme="minorHAnsi" w:cstheme="minorBidi"/>
              <w:caps w:val="0"/>
              <w:noProof/>
              <w:kern w:val="2"/>
              <w:sz w:val="24"/>
              <w:szCs w:val="24"/>
              <w14:ligatures w14:val="standardContextual"/>
            </w:rPr>
          </w:pPr>
          <w:hyperlink w:anchor="_Toc240870636" w:history="1">
            <w:r w:rsidRPr="00C31DB6">
              <w:rPr>
                <w:rStyle w:val="Hyperlink"/>
                <w:noProof/>
              </w:rPr>
              <w:t>Discussion</w:t>
            </w:r>
            <w:r>
              <w:rPr>
                <w:noProof/>
                <w:webHidden/>
              </w:rPr>
              <w:tab/>
            </w:r>
            <w:r>
              <w:rPr>
                <w:noProof/>
                <w:webHidden/>
              </w:rPr>
              <w:fldChar w:fldCharType="begin"/>
            </w:r>
            <w:r>
              <w:rPr>
                <w:noProof/>
                <w:webHidden/>
              </w:rPr>
              <w:instrText xml:space="preserve"> PAGEREF _Toc240870636 \h </w:instrText>
            </w:r>
            <w:r>
              <w:rPr>
                <w:noProof/>
                <w:webHidden/>
              </w:rPr>
            </w:r>
            <w:r>
              <w:rPr>
                <w:noProof/>
                <w:webHidden/>
              </w:rPr>
              <w:fldChar w:fldCharType="separate"/>
            </w:r>
            <w:r>
              <w:rPr>
                <w:noProof/>
                <w:webHidden/>
              </w:rPr>
              <w:t>28</w:t>
            </w:r>
            <w:r>
              <w:rPr>
                <w:noProof/>
                <w:webHidden/>
              </w:rPr>
              <w:fldChar w:fldCharType="end"/>
            </w:r>
          </w:hyperlink>
        </w:p>
        <w:p w14:paraId="389BAC88" w14:textId="33B3AC75" w:rsidR="004710B3" w:rsidRDefault="004710B3">
          <w:pPr>
            <w:pStyle w:val="TOC2"/>
            <w:rPr>
              <w:rFonts w:asciiTheme="minorHAnsi" w:eastAsiaTheme="minorEastAsia" w:hAnsiTheme="minorHAnsi" w:cstheme="minorBidi"/>
              <w:noProof/>
              <w:kern w:val="2"/>
              <w:sz w:val="24"/>
              <w:szCs w:val="24"/>
              <w14:ligatures w14:val="standardContextual"/>
            </w:rPr>
          </w:pPr>
          <w:hyperlink w:anchor="_Toc240870637" w:history="1">
            <w:r w:rsidRPr="00C31DB6">
              <w:rPr>
                <w:rStyle w:val="Hyperlink"/>
                <w:noProof/>
              </w:rPr>
              <w:t>Conclusions and Recommendations</w:t>
            </w:r>
            <w:r>
              <w:rPr>
                <w:noProof/>
                <w:webHidden/>
              </w:rPr>
              <w:tab/>
            </w:r>
            <w:r>
              <w:rPr>
                <w:noProof/>
                <w:webHidden/>
              </w:rPr>
              <w:fldChar w:fldCharType="begin"/>
            </w:r>
            <w:r>
              <w:rPr>
                <w:noProof/>
                <w:webHidden/>
              </w:rPr>
              <w:instrText xml:space="preserve"> PAGEREF _Toc240870637 \h </w:instrText>
            </w:r>
            <w:r>
              <w:rPr>
                <w:noProof/>
                <w:webHidden/>
              </w:rPr>
            </w:r>
            <w:r>
              <w:rPr>
                <w:noProof/>
                <w:webHidden/>
              </w:rPr>
              <w:fldChar w:fldCharType="separate"/>
            </w:r>
            <w:r>
              <w:rPr>
                <w:noProof/>
                <w:webHidden/>
              </w:rPr>
              <w:t>30</w:t>
            </w:r>
            <w:r>
              <w:rPr>
                <w:noProof/>
                <w:webHidden/>
              </w:rPr>
              <w:fldChar w:fldCharType="end"/>
            </w:r>
          </w:hyperlink>
        </w:p>
        <w:p w14:paraId="47369DFF" w14:textId="0A8C9E55" w:rsidR="004710B3" w:rsidRDefault="004710B3">
          <w:pPr>
            <w:pStyle w:val="TOC1"/>
            <w:rPr>
              <w:rFonts w:asciiTheme="minorHAnsi" w:eastAsiaTheme="minorEastAsia" w:hAnsiTheme="minorHAnsi" w:cstheme="minorBidi"/>
              <w:caps w:val="0"/>
              <w:noProof/>
              <w:kern w:val="2"/>
              <w:sz w:val="24"/>
              <w:szCs w:val="24"/>
              <w14:ligatures w14:val="standardContextual"/>
            </w:rPr>
          </w:pPr>
          <w:hyperlink w:anchor="_Toc240870638" w:history="1">
            <w:r w:rsidRPr="00C31DB6">
              <w:rPr>
                <w:rStyle w:val="Hyperlink"/>
                <w:noProof/>
              </w:rPr>
              <w:t>Acknowledgments</w:t>
            </w:r>
            <w:r>
              <w:rPr>
                <w:noProof/>
                <w:webHidden/>
              </w:rPr>
              <w:tab/>
            </w:r>
            <w:r>
              <w:rPr>
                <w:noProof/>
                <w:webHidden/>
              </w:rPr>
              <w:fldChar w:fldCharType="begin"/>
            </w:r>
            <w:r>
              <w:rPr>
                <w:noProof/>
                <w:webHidden/>
              </w:rPr>
              <w:instrText xml:space="preserve"> PAGEREF _Toc240870638 \h </w:instrText>
            </w:r>
            <w:r>
              <w:rPr>
                <w:noProof/>
                <w:webHidden/>
              </w:rPr>
            </w:r>
            <w:r>
              <w:rPr>
                <w:noProof/>
                <w:webHidden/>
              </w:rPr>
              <w:fldChar w:fldCharType="separate"/>
            </w:r>
            <w:r>
              <w:rPr>
                <w:noProof/>
                <w:webHidden/>
              </w:rPr>
              <w:t>31</w:t>
            </w:r>
            <w:r>
              <w:rPr>
                <w:noProof/>
                <w:webHidden/>
              </w:rPr>
              <w:fldChar w:fldCharType="end"/>
            </w:r>
          </w:hyperlink>
        </w:p>
        <w:p w14:paraId="15580925" w14:textId="367BE1EB" w:rsidR="004710B3" w:rsidRDefault="004710B3">
          <w:pPr>
            <w:pStyle w:val="TOC1"/>
            <w:rPr>
              <w:rFonts w:asciiTheme="minorHAnsi" w:eastAsiaTheme="minorEastAsia" w:hAnsiTheme="minorHAnsi" w:cstheme="minorBidi"/>
              <w:caps w:val="0"/>
              <w:noProof/>
              <w:kern w:val="2"/>
              <w:sz w:val="24"/>
              <w:szCs w:val="24"/>
              <w14:ligatures w14:val="standardContextual"/>
            </w:rPr>
          </w:pPr>
          <w:hyperlink w:anchor="_Toc240870639" w:history="1">
            <w:r w:rsidRPr="00C31DB6">
              <w:rPr>
                <w:rStyle w:val="Hyperlink"/>
                <w:noProof/>
              </w:rPr>
              <w:t>Literature Cited</w:t>
            </w:r>
            <w:r>
              <w:rPr>
                <w:noProof/>
                <w:webHidden/>
              </w:rPr>
              <w:tab/>
            </w:r>
            <w:r>
              <w:rPr>
                <w:noProof/>
                <w:webHidden/>
              </w:rPr>
              <w:fldChar w:fldCharType="begin"/>
            </w:r>
            <w:r>
              <w:rPr>
                <w:noProof/>
                <w:webHidden/>
              </w:rPr>
              <w:instrText xml:space="preserve"> PAGEREF _Toc240870639 \h </w:instrText>
            </w:r>
            <w:r>
              <w:rPr>
                <w:noProof/>
                <w:webHidden/>
              </w:rPr>
            </w:r>
            <w:r>
              <w:rPr>
                <w:noProof/>
                <w:webHidden/>
              </w:rPr>
              <w:fldChar w:fldCharType="separate"/>
            </w:r>
            <w:r>
              <w:rPr>
                <w:noProof/>
                <w:webHidden/>
              </w:rPr>
              <w:t>32</w:t>
            </w:r>
            <w:r>
              <w:rPr>
                <w:noProof/>
                <w:webHidden/>
              </w:rPr>
              <w:fldChar w:fldCharType="end"/>
            </w:r>
          </w:hyperlink>
        </w:p>
        <w:p w14:paraId="68038AA4" w14:textId="6D638B2F" w:rsidR="008F41C3" w:rsidRDefault="00000000">
          <w:r>
            <w:fldChar w:fldCharType="end"/>
          </w:r>
        </w:p>
      </w:sdtContent>
    </w:sdt>
    <w:p w14:paraId="6AEAA7B1" w14:textId="77777777" w:rsidR="008F41C3" w:rsidRDefault="00000000">
      <w:r>
        <w:br w:type="page"/>
      </w:r>
    </w:p>
    <w:p w14:paraId="473023A4" w14:textId="77777777" w:rsidR="008F41C3" w:rsidRDefault="00000000">
      <w:pPr>
        <w:pStyle w:val="Heading1"/>
      </w:pPr>
      <w:bookmarkStart w:id="0" w:name="abstract"/>
      <w:bookmarkStart w:id="1" w:name="_Toc240870619"/>
      <w:r>
        <w:lastRenderedPageBreak/>
        <w:t>Abstract</w:t>
      </w:r>
      <w:bookmarkEnd w:id="1"/>
    </w:p>
    <w:p w14:paraId="1CD42B9D" w14:textId="77777777" w:rsidR="008F41C3" w:rsidRDefault="00000000">
      <w:pPr>
        <w:pStyle w:val="FirstParagraph"/>
      </w:pPr>
      <w:r>
        <w:t>Fishery stock assessments require defensible estimates of total extractions (commercial, sport, subsistence, personal use, and bycatch) throughout the history of exploitation and at appropriate spatial scales for management. This study provides updated methods and estimates of total sport harvest and releases for black (</w:t>
      </w:r>
      <w:r>
        <w:rPr>
          <w:i/>
          <w:iCs/>
        </w:rPr>
        <w:t>Sebastes melanops</w:t>
      </w:r>
      <w:r>
        <w:t>) and yelloweye rockfishes (</w:t>
      </w:r>
      <w:r>
        <w:rPr>
          <w:i/>
          <w:iCs/>
        </w:rPr>
        <w:t>S. ruberrimus</w:t>
      </w:r>
      <w:r>
        <w:t>) as well as demersal shelf, slope, and non-black pelagic rockfish complexes in Southeast Alaska, in geographic units consistent with commercial fishery management units (CFMUs) and incorporates release mortalities and fish weights to estimate total fishing mortality in pounds. The new methods build on the foundational work of Howard et al. (2020) that developed the spatial relationship between sport and commercial fishery management units and provided estimates between 1999 and today. The Bayesian methods used here allow for estimation from 1977 through today, corrects some faulty assumptions that were necessary in the original Howard methodology, incorporates portside interview data, and provides a unified, reproducible and hierarchical approach to estimating sport fishing mortalities. Guide logbooks have provided a census of guided sport harvest and releases beginning in 1998 and the Alaska Sport Fishing Survey (referred to as the statewide harvest survey or SWHS) has provided estimates of rockfish harvests since 1977. Port sampling data has provided biological data on length, weight, sex and age compositions of the harvest, estimates of species composition in the harvest, and interview data on angler retention behavior. The Bayesian model calculates harvests very similar to the methods used in Howard et al. (2020) but differs in its approach to estimating unguided harvest and release numbers. Bias in the SWHS harvest and release numbers are quantified and corrected, and the model applies a hierarchical approach to more appropriately share information across areas within regions. Assumptions about key parameters and estimates before data collection began are made using logistic curves to estimate trends. Harvest estimates from the Bayesian model are very similar to the Howard et al. (2020) estimates but release estimates differ considerably as a result of bias correction and more informed estimates of release probability by species and species assemblage informed by logbook and portside interview data. The new model provides a unified approach to quantifying rockfish removals going forward and these methods are recommended for use in stock assessments.</w:t>
      </w:r>
    </w:p>
    <w:p w14:paraId="1299E221" w14:textId="77777777" w:rsidR="008F41C3" w:rsidRDefault="00000000">
      <w:pPr>
        <w:pStyle w:val="BodyText"/>
      </w:pPr>
      <w:r>
        <w:t xml:space="preserve">Keywords: sport fish, harvest, release, fishing mortality, black rockfish, yelloweye rockfish, demersal shelf rockfish, slope rockfish, pelagic rockfish, Gulf of Alaska, </w:t>
      </w:r>
      <w:r>
        <w:rPr>
          <w:i/>
          <w:iCs/>
        </w:rPr>
        <w:t>Sebastes</w:t>
      </w:r>
      <w:r>
        <w:t xml:space="preserve">, </w:t>
      </w:r>
      <w:r>
        <w:rPr>
          <w:i/>
          <w:iCs/>
        </w:rPr>
        <w:t>Sebastes melanops</w:t>
      </w:r>
      <w:r>
        <w:t xml:space="preserve">, </w:t>
      </w:r>
      <w:r>
        <w:rPr>
          <w:i/>
          <w:iCs/>
        </w:rPr>
        <w:t>Sebastes ruberrimus</w:t>
      </w:r>
      <w:r>
        <w:t>, rockfish</w:t>
      </w:r>
    </w:p>
    <w:p w14:paraId="3484D964" w14:textId="77777777" w:rsidR="008F41C3" w:rsidRDefault="00000000">
      <w:pPr>
        <w:pStyle w:val="Heading1"/>
      </w:pPr>
      <w:bookmarkStart w:id="2" w:name="introduction"/>
      <w:bookmarkStart w:id="3" w:name="_Toc240870620"/>
      <w:bookmarkEnd w:id="0"/>
      <w:r>
        <w:t>Introduction</w:t>
      </w:r>
      <w:bookmarkEnd w:id="3"/>
    </w:p>
    <w:p w14:paraId="67949D27" w14:textId="77777777" w:rsidR="008F41C3" w:rsidRDefault="00000000">
      <w:pPr>
        <w:pStyle w:val="FirstParagraph"/>
      </w:pPr>
      <w:r>
        <w:t>Rockfish (</w:t>
      </w:r>
      <w:r>
        <w:rPr>
          <w:i/>
          <w:iCs/>
        </w:rPr>
        <w:t>Sebastes spp</w:t>
      </w:r>
      <w:r>
        <w:t>) harvests in Alaskan waters have become an increasing concern as restrictions on halibut and salmon have led to increased pressure on rockfish stocks. In response to this pressure, the Alaska Department of Fish and Game (ADF&amp;G) initiated an interdivisional, inter-regional strategic plan to develop long-term management and stock assessment strategies for black rockfish (</w:t>
      </w:r>
      <w:r>
        <w:rPr>
          <w:i/>
          <w:iCs/>
        </w:rPr>
        <w:t>S. melanops</w:t>
      </w:r>
      <w:r>
        <w:t>) and yelloweye rockfish (</w:t>
      </w:r>
      <w:r>
        <w:rPr>
          <w:i/>
          <w:iCs/>
        </w:rPr>
        <w:t>S. ruberrimus</w:t>
      </w:r>
      <w:r>
        <w:t>) across the Gulf of Alaska (GOA) (Howard et al. 2019a). The first step in assessing any fish stock is to have an accurate and complete history of fishery removals from the stock. While commercial fisheries rely on a fish ticketing system that censuses the harvest, Alaska sport fisheries rely on a number of programs, phased in over time, to account for rockfish removals in the sport fishery.</w:t>
      </w:r>
    </w:p>
    <w:p w14:paraId="4B5DDA7A" w14:textId="77777777" w:rsidR="008F41C3" w:rsidRDefault="00000000">
      <w:pPr>
        <w:pStyle w:val="BodyText"/>
      </w:pPr>
      <w:r>
        <w:lastRenderedPageBreak/>
        <w:t>Sport fishery harvests are measured through a variety of programs, primarily the Alaska Sport Fishing Survey (commonly known as the statewide harvest survey or SWHS), the saltwater guide logbook program, and sampling programs at primary ports. The SWHS is the longest running program and was initiated in 1977 as an annual mail-out survey (Romberg et al. 2018). Response to this survey is voluntary and the survey design provides estimates of statewide harvest and catch (since 1990) in numbers of fish for rockfish (all species combined) and effort in saltwater angler days (for all marine species combined) by unguided and guided anglers (since 2011) by predefined geographical strata. SWHS strata are not geographically consistent with either sport rockfish fishery management areas or commercial fisheries management units (CFMUs) but have been assigned as specified in Howard et al. (2020).</w:t>
      </w:r>
    </w:p>
    <w:p w14:paraId="6A935714" w14:textId="77777777" w:rsidR="008F41C3" w:rsidRDefault="00000000">
      <w:pPr>
        <w:pStyle w:val="BodyText"/>
      </w:pPr>
      <w:r>
        <w:t>The guided logbook program was established in 1998 to acquire information on guided industry harvests and releases by species and effort (Powers 2015). In addition to other species such as salmon and halibut, this mandatory program provides a census of harvest and release in numbers of pelagic and nonpelagic rockfish species assemblages and, since 2006, yelloweye rockfishes. The logbook program also provides information on the statistical area where fishing occurred.</w:t>
      </w:r>
    </w:p>
    <w:p w14:paraId="31809586" w14:textId="77777777" w:rsidR="008F41C3" w:rsidRDefault="00000000">
      <w:pPr>
        <w:pStyle w:val="BodyText"/>
      </w:pPr>
      <w:r>
        <w:t>Sport harvest port sampling programs provide information on biological characteristics of the harvest, including species composition and angler retention behavior (McKean and Ford 2025; Richards et al. 2025). Port sampling programs vary regionally in their design, history, and information collected. Port sampling data is used to apportion harvests and releases by species in guided and unguided trips and provide length and weight data in addition to collecting other biological data including sex and age sampling.</w:t>
      </w:r>
    </w:p>
    <w:p w14:paraId="2CF507CD" w14:textId="77777777" w:rsidR="008F41C3" w:rsidRDefault="00000000">
      <w:pPr>
        <w:pStyle w:val="BodyText"/>
      </w:pPr>
      <w:r>
        <w:t>Stock assessments also require estimates of total mortalities in weight units. Rockfish can experience high levels of release mortality as a result of barotrauma (Jarvis and Lowe 2008; Hochhalter and Reed 2011), particularly before the mandating of deep-water release mechanism (DRM) devices in recent years. This requires an accounting of rockfish releases and reliable estimates of mortality. Converting fish numbers to biomass also requires weight data by species and species complex.</w:t>
      </w:r>
    </w:p>
    <w:p w14:paraId="4F39204F" w14:textId="77777777" w:rsidR="008F41C3" w:rsidRDefault="00000000">
      <w:pPr>
        <w:pStyle w:val="BodyText"/>
      </w:pPr>
      <w:r>
        <w:t>Yelloweye and black rockfish removal estimation methods were originally developed by Howard et al. (2020; hereafter referred to as the Howard methods), which included spatial partitioning of the data, identifying bias in the SWHS survey estimates relative to the logbook census of guided anglers, and estimating unguided harvests and releases by expanding logbook catch and release data using the proportions of guided:unguided harvests and releases from SWHS estimates. This approach was both novel and critical in providing harvest and release estimates for managers to understand the magnitude of the catch and to allow accurate stock assessments.</w:t>
      </w:r>
    </w:p>
    <w:p w14:paraId="5D99528F" w14:textId="77777777" w:rsidR="008F41C3" w:rsidRDefault="00000000">
      <w:pPr>
        <w:pStyle w:val="BodyText"/>
      </w:pPr>
      <w:r>
        <w:t xml:space="preserve">While the Howard methods provide the baseline for understanding and reconstructing rockfish harvests in Alaska, the methods had several shortcomings and recommendations for reevaluation as more data and improved methodologies became available. The Howard methods were limited to the period beginning with the inception of the logbook program in 1998 even though rockfish have been harvested by sport anglers since at least the 1960s. The Howard methods also rely on a “decision tree” approach to deal with missing data and inadequate sample sizes by using long term averages or proxy values from neighboring management areas or user groups. Furthermore, while the Howard methods address bias in the SWHS data, it is not implicitly estimated or corrected. In particular, the estimation of unguided harvests and releases relies on an expansion of logbook data </w:t>
      </w:r>
      <w:r>
        <w:lastRenderedPageBreak/>
        <w:t>based on the guided:unguided ratio in the SWHS data for all rockfish combined, regardless of species or species complex.</w:t>
      </w:r>
    </w:p>
    <w:p w14:paraId="41B8441E" w14:textId="77777777" w:rsidR="00C8261D" w:rsidRDefault="00000000">
      <w:pPr>
        <w:pStyle w:val="BodyText"/>
        <w:rPr>
          <w:ins w:id="4" w:author="Joy, Philip J (DFG)" w:date="2026-09-21T14:14:00Z" w16du:dateUtc="2026-09-21T22:14:00Z"/>
        </w:rPr>
      </w:pPr>
      <w:r>
        <w:t>The methods presented here build on the foundational Howard methods by applying an integrated Bayesian approach to expand the harvest and release time series back to 1977 when the SWHS was first implemented. The Bayesian model also makes improvements on the Howard methods by estimating and correcting bias in the SWHS harvest and release data, incorporating port</w:t>
      </w:r>
      <w:del w:id="5" w:author="Joy, Philip J (DFG)" w:date="2026-09-21T14:14:00Z" w16du:dateUtc="2026-09-21T22:14:00Z">
        <w:r w:rsidDel="00C8261D">
          <w:delText>-</w:delText>
        </w:r>
      </w:del>
      <w:r>
        <w:t xml:space="preserve">side interview data, allowing release probabilities to vary by species / species assemblage, and replaces the decision tree approach with a hierarchical model that more accurately, consistently, and efficiently shares information between areas within regions and over time (Table 1 HOWARD_VS_BAYES). </w:t>
      </w:r>
    </w:p>
    <w:p w14:paraId="5E012C50" w14:textId="5E99509E" w:rsidR="008F41C3" w:rsidRDefault="00000000">
      <w:pPr>
        <w:pStyle w:val="BodyText"/>
      </w:pPr>
      <w:r>
        <w:t xml:space="preserve">To generate estimates prior to 1999 the Bayesian model estimates trends in species proportions and harvest/release probability </w:t>
      </w:r>
      <w:proofErr w:type="gramStart"/>
      <w:r>
        <w:t>to project</w:t>
      </w:r>
      <w:proofErr w:type="gramEnd"/>
      <w:r>
        <w:t xml:space="preserve"> backwards in time while explicitly estimating bias in the SWHS harvest and release data. Furthermore, the model’s hierarchical structure allows information on these trends, as well as overall harvest trends, to be shared among management areas within the three main regions (Southeast, Southcentral and Kodiak) without reliance on proxy values while more effectively propagating error throughout the process. These methods also incorporate port sampling interview data to better estimate fish releases which were not utilized in the Howard methods. The model incorporates fish weight and release mortality probabilities (Jarvis and Lowe 2008; Hochhalter and Reed 2011; Blain and Sutton 2016; Blain-Roth and Sutton 2019) directly into the model so that previously unpublished biomass-based estimates </w:t>
      </w:r>
      <w:del w:id="6" w:author="Joy, Philip J (DFG)" w:date="2026-09-21T14:15:00Z" w16du:dateUtc="2026-09-21T22:15:00Z">
        <w:r w:rsidDel="00C8261D">
          <w:delText xml:space="preserve">are </w:delText>
        </w:r>
      </w:del>
      <w:ins w:id="7" w:author="Joy, Philip J (DFG)" w:date="2026-09-21T14:15:00Z" w16du:dateUtc="2026-09-21T22:15:00Z">
        <w:r w:rsidR="00C8261D">
          <w:t>can</w:t>
        </w:r>
        <w:r w:rsidR="00C8261D">
          <w:t xml:space="preserve"> </w:t>
        </w:r>
      </w:ins>
      <w:r>
        <w:t xml:space="preserve">also </w:t>
      </w:r>
      <w:ins w:id="8" w:author="Joy, Philip J (DFG)" w:date="2026-09-21T14:15:00Z" w16du:dateUtc="2026-09-21T22:15:00Z">
        <w:r w:rsidR="00C8261D">
          <w:t xml:space="preserve">be </w:t>
        </w:r>
      </w:ins>
      <w:r>
        <w:t>produced in one place.</w:t>
      </w:r>
    </w:p>
    <w:p w14:paraId="6E0DD645" w14:textId="77777777" w:rsidR="008F41C3" w:rsidRDefault="00000000">
      <w:pPr>
        <w:pStyle w:val="BodyText"/>
      </w:pPr>
      <w:r>
        <w:t>These methods provide a more streamlined and reproducible approach to deriving rockfish removal estimates than has been previously available to the department. Previously, staff with Research and Technical Services (RTS) produced estimates of harvests and releases in numbers using the Howard methods after which those numbers were passed to regional staff for calculating release mortality and biomass estimates. This process has been inefficient, inconsistent between regions, lacked proper documentation and introduced opportunities for human error. This new approach provides the opportunity to produce these calculations in a consistent, published, and reproducible format.</w:t>
      </w:r>
    </w:p>
    <w:p w14:paraId="23E213C6" w14:textId="77777777" w:rsidR="008F41C3" w:rsidRDefault="00000000">
      <w:pPr>
        <w:pStyle w:val="Heading1"/>
      </w:pPr>
      <w:bookmarkStart w:id="9" w:name="objective"/>
      <w:bookmarkStart w:id="10" w:name="_Toc240870621"/>
      <w:bookmarkEnd w:id="2"/>
      <w:r>
        <w:t>Objective</w:t>
      </w:r>
      <w:bookmarkEnd w:id="10"/>
    </w:p>
    <w:p w14:paraId="331D4C67" w14:textId="77777777" w:rsidR="008F41C3" w:rsidRDefault="00000000">
      <w:pPr>
        <w:numPr>
          <w:ilvl w:val="0"/>
          <w:numId w:val="28"/>
        </w:numPr>
      </w:pPr>
      <w:r>
        <w:t>Estimate annual sport harvests, releases and total removals in biomass of rockfishes in Gulf of Alaska CFMUs from 1977 – 2024. Estimates are for the following species / complexes in the following regions:</w:t>
      </w:r>
    </w:p>
    <w:p w14:paraId="0608CB1C" w14:textId="77777777" w:rsidR="008F41C3" w:rsidRDefault="00000000">
      <w:pPr>
        <w:pStyle w:val="Compact"/>
        <w:numPr>
          <w:ilvl w:val="1"/>
          <w:numId w:val="29"/>
        </w:numPr>
      </w:pPr>
      <w:r>
        <w:t>black rockfish (all regions)</w:t>
      </w:r>
    </w:p>
    <w:p w14:paraId="1A64B3C9" w14:textId="77777777" w:rsidR="008F41C3" w:rsidRDefault="00000000">
      <w:pPr>
        <w:pStyle w:val="Compact"/>
        <w:numPr>
          <w:ilvl w:val="1"/>
          <w:numId w:val="29"/>
        </w:numPr>
      </w:pPr>
      <w:r>
        <w:t>yelloweye rockfish (all regions)</w:t>
      </w:r>
    </w:p>
    <w:p w14:paraId="2451EBDB" w14:textId="77777777" w:rsidR="008F41C3" w:rsidRDefault="00000000">
      <w:pPr>
        <w:pStyle w:val="Compact"/>
        <w:numPr>
          <w:ilvl w:val="1"/>
          <w:numId w:val="29"/>
        </w:numPr>
      </w:pPr>
      <w:r>
        <w:t xml:space="preserve">non-black pelagic rockfish (dark </w:t>
      </w:r>
      <w:r>
        <w:rPr>
          <w:i/>
          <w:iCs/>
        </w:rPr>
        <w:t>S. ciliates</w:t>
      </w:r>
      <w:r>
        <w:t xml:space="preserve">, dusky </w:t>
      </w:r>
      <w:r>
        <w:rPr>
          <w:i/>
          <w:iCs/>
        </w:rPr>
        <w:t>S. variabilis</w:t>
      </w:r>
      <w:r>
        <w:t xml:space="preserve">, widow </w:t>
      </w:r>
      <w:r>
        <w:rPr>
          <w:i/>
          <w:iCs/>
        </w:rPr>
        <w:t>entomelas</w:t>
      </w:r>
      <w:r>
        <w:t xml:space="preserve">, yellowtail </w:t>
      </w:r>
      <w:r>
        <w:rPr>
          <w:i/>
          <w:iCs/>
        </w:rPr>
        <w:t>S. flavidus</w:t>
      </w:r>
      <w:r>
        <w:t xml:space="preserve">, and blue </w:t>
      </w:r>
      <w:r>
        <w:rPr>
          <w:i/>
          <w:iCs/>
        </w:rPr>
        <w:t>S. mystinus</w:t>
      </w:r>
      <w:r>
        <w:t xml:space="preserve"> rockfish); Southeast only,</w:t>
      </w:r>
    </w:p>
    <w:p w14:paraId="75D1EF1F" w14:textId="77777777" w:rsidR="008F41C3" w:rsidRDefault="00000000">
      <w:pPr>
        <w:pStyle w:val="Compact"/>
        <w:numPr>
          <w:ilvl w:val="1"/>
          <w:numId w:val="29"/>
        </w:numPr>
      </w:pPr>
      <w:r>
        <w:t xml:space="preserve">non-yelloweye demersal shelf (DSR) rockfish (canary </w:t>
      </w:r>
      <w:r>
        <w:rPr>
          <w:i/>
          <w:iCs/>
        </w:rPr>
        <w:t>S. pinniger</w:t>
      </w:r>
      <w:r>
        <w:t xml:space="preserve">, quillback </w:t>
      </w:r>
      <w:r>
        <w:rPr>
          <w:i/>
          <w:iCs/>
        </w:rPr>
        <w:t>S. maliger</w:t>
      </w:r>
      <w:r>
        <w:t xml:space="preserve">, china </w:t>
      </w:r>
      <w:r>
        <w:rPr>
          <w:i/>
          <w:iCs/>
        </w:rPr>
        <w:t>S. nebulosus</w:t>
      </w:r>
      <w:r>
        <w:t xml:space="preserve">, copper </w:t>
      </w:r>
      <w:r>
        <w:rPr>
          <w:i/>
          <w:iCs/>
        </w:rPr>
        <w:t>S. caurinus</w:t>
      </w:r>
      <w:r>
        <w:t xml:space="preserve">, rosethorn </w:t>
      </w:r>
      <w:r>
        <w:rPr>
          <w:i/>
          <w:iCs/>
        </w:rPr>
        <w:t>S. helvomaculatus</w:t>
      </w:r>
      <w:r>
        <w:t xml:space="preserve"> and tiger </w:t>
      </w:r>
      <w:r>
        <w:rPr>
          <w:i/>
          <w:iCs/>
        </w:rPr>
        <w:t>S. nigrocinctus</w:t>
      </w:r>
      <w:r>
        <w:t xml:space="preserve"> rockfish); Southeast only, and,</w:t>
      </w:r>
    </w:p>
    <w:p w14:paraId="11CF6BCE" w14:textId="77777777" w:rsidR="008F41C3" w:rsidRDefault="00000000">
      <w:pPr>
        <w:pStyle w:val="Compact"/>
        <w:numPr>
          <w:ilvl w:val="1"/>
          <w:numId w:val="29"/>
        </w:numPr>
      </w:pPr>
      <w:r>
        <w:t xml:space="preserve">slope rockfish (redbanded </w:t>
      </w:r>
      <w:r>
        <w:rPr>
          <w:i/>
          <w:iCs/>
        </w:rPr>
        <w:t>S. babcocki</w:t>
      </w:r>
      <w:r>
        <w:t xml:space="preserve"> , rougheye </w:t>
      </w:r>
      <w:r>
        <w:rPr>
          <w:i/>
          <w:iCs/>
        </w:rPr>
        <w:t>S. aleutianus</w:t>
      </w:r>
      <w:r>
        <w:t xml:space="preserve">, silvergray </w:t>
      </w:r>
      <w:r>
        <w:rPr>
          <w:i/>
          <w:iCs/>
        </w:rPr>
        <w:t>S. brevispinis</w:t>
      </w:r>
      <w:r>
        <w:t xml:space="preserve">, shortraker </w:t>
      </w:r>
      <w:r>
        <w:rPr>
          <w:i/>
          <w:iCs/>
        </w:rPr>
        <w:t>S. borealis</w:t>
      </w:r>
      <w:r>
        <w:t xml:space="preserve">, vermillion </w:t>
      </w:r>
      <w:r>
        <w:rPr>
          <w:i/>
          <w:iCs/>
        </w:rPr>
        <w:t>S. miniatus</w:t>
      </w:r>
      <w:r>
        <w:t xml:space="preserve">, and bocaccio </w:t>
      </w:r>
      <w:r>
        <w:rPr>
          <w:i/>
          <w:iCs/>
        </w:rPr>
        <w:t>S. pauciscpinis</w:t>
      </w:r>
      <w:r>
        <w:t xml:space="preserve"> rockfish); Southeast only.</w:t>
      </w:r>
    </w:p>
    <w:p w14:paraId="5D6774E8" w14:textId="77777777" w:rsidR="008F41C3" w:rsidRDefault="00000000">
      <w:pPr>
        <w:pStyle w:val="Heading1"/>
      </w:pPr>
      <w:bookmarkStart w:id="11" w:name="study-area"/>
      <w:bookmarkStart w:id="12" w:name="_Toc240870622"/>
      <w:bookmarkEnd w:id="9"/>
      <w:r>
        <w:lastRenderedPageBreak/>
        <w:t>Study Area</w:t>
      </w:r>
      <w:bookmarkEnd w:id="12"/>
    </w:p>
    <w:p w14:paraId="64FCD586" w14:textId="77777777" w:rsidR="008F41C3" w:rsidRDefault="00000000">
      <w:pPr>
        <w:pStyle w:val="FirstParagraph"/>
      </w:pPr>
      <w:r>
        <w:t>Harvest reconstructions were developed for CFMUs across the Gulf of Alaska, from Kodiak Island east to Southeast Alaska. CFMUs were divided into the Southeast, Southcentral and Kodiak regions. The Southcentral region contained Cook Inlet (CI), the North Gulf Coast (NG) (Figure 1 CING_CFMUs) and Prince William Sound Inside (PWSI) and Outside (PWSO) CFMU’s (Figure 2 PWS_CFMUs) and Southeast region was comprised of the Central Southeast Outside (CSEO), North Southeast Outside (NSEO), South Southeast Outside (SSEO), North Southeast Inside (NSEI), South Southeast Inside (SSEI) and a sixth area that pooled the Icy Bay subdistrict (IBS) and East Yakutat section (EYKT) to comprise the East–West Yakutat management area (EWYKT) (Figure 3 SE_CFMUs).</w:t>
      </w:r>
    </w:p>
    <w:p w14:paraId="52986F70" w14:textId="77777777" w:rsidR="008F41C3" w:rsidRDefault="00000000">
      <w:pPr>
        <w:pStyle w:val="BodyText"/>
      </w:pPr>
      <w:r>
        <w:t>Several of the westward and Kodiak subdistricts have little data and necessitated pooling for this analysis (Figure 4 KOD_CFMUs). In addition to the Afognak, Eastside and Northeast CFMUs which contained adequate data, the Westside and Mainland districts were pooled to form the Western Kodiak management area (WKMA) while the Southeast, Southwest, Chignik and South Alaska Peninsula (SAKPEN) districts were pooled into a CFMU called SOKO2PEN. Lastly the Aleatian and Bering Sea CFMUs were pooled into the BSAI CFMU and included in the Kodiak region.</w:t>
      </w:r>
    </w:p>
    <w:p w14:paraId="3CF7FBE5" w14:textId="77777777" w:rsidR="008F41C3" w:rsidRDefault="00000000">
      <w:pPr>
        <w:pStyle w:val="Heading1"/>
      </w:pPr>
      <w:bookmarkStart w:id="13" w:name="methods"/>
      <w:bookmarkStart w:id="14" w:name="_Toc240870623"/>
      <w:bookmarkEnd w:id="11"/>
      <w:r>
        <w:t>Methods</w:t>
      </w:r>
      <w:bookmarkEnd w:id="14"/>
    </w:p>
    <w:p w14:paraId="108762BA" w14:textId="77777777" w:rsidR="008F41C3" w:rsidRDefault="00000000">
      <w:pPr>
        <w:pStyle w:val="Heading2"/>
      </w:pPr>
      <w:bookmarkStart w:id="15" w:name="data"/>
      <w:bookmarkStart w:id="16" w:name="_Toc240870624"/>
      <w:r>
        <w:t>Data</w:t>
      </w:r>
      <w:bookmarkEnd w:id="16"/>
    </w:p>
    <w:p w14:paraId="34E32794" w14:textId="77777777" w:rsidR="008F41C3" w:rsidRDefault="00000000">
      <w:pPr>
        <w:pStyle w:val="Heading4"/>
      </w:pPr>
      <w:bookmarkStart w:id="17" w:name="logbook-data"/>
      <w:r>
        <w:t>Logbook Data</w:t>
      </w:r>
    </w:p>
    <w:p w14:paraId="0972207A" w14:textId="77777777" w:rsidR="008F41C3" w:rsidRDefault="00000000">
      <w:pPr>
        <w:pStyle w:val="FirstParagraph"/>
      </w:pPr>
      <w:r>
        <w:t>The department’s charter logbook program provides data on guided sport fishing in state waters in a similar manner to how fish tickets are used in commercial fisheries. Sport fishing guides have been required to report their harvest of rockfish for 27 years (1998-2024) and releases for 26 years (1999-2024) as part of the charter logbook program. Reported harvest and releases is also available by assemblage (pelagic vs. non-pelagic) for the entirety of the program while harvest and release of yelloweye and “other” (non-pelagic, non-yelloweye) rockfish were reported separately beginning in 2006. Logbook data is treated as a census of the true catch and release of rockfish in these categories.</w:t>
      </w:r>
    </w:p>
    <w:p w14:paraId="7A549546" w14:textId="77777777" w:rsidR="008F41C3" w:rsidRDefault="00000000">
      <w:pPr>
        <w:pStyle w:val="Heading4"/>
      </w:pPr>
      <w:bookmarkStart w:id="18" w:name="statewide-harvest-survey-data"/>
      <w:bookmarkEnd w:id="17"/>
      <w:r>
        <w:t>Statewide Harvest Survey Data</w:t>
      </w:r>
    </w:p>
    <w:p w14:paraId="19EF9E09" w14:textId="77777777" w:rsidR="008F41C3" w:rsidRDefault="00000000">
      <w:pPr>
        <w:pStyle w:val="FirstParagraph"/>
      </w:pPr>
      <w:r>
        <w:t>Statewide harvest survey estimates of total rockfish (all species combined) catch and harvest have been available since 1996 for all users and have been broken down by guided and unguided trips since 2011 (Figure 5 DATA_SOURCES). Additionally, there are overall harvest estimates from 1977 - 1995 and release estimates from 1990 - 1995 that required partitioning into current management areas. Harvest and release estimates in unknown areas from this early period were apportioned based on harvest proportions in 1996. Variance estimates are not available for pre-1996 data and as such, the maximum observed coefficient of variation (cv) in each commercial fisheries management unit was applied to the pre-1996 values.</w:t>
      </w:r>
    </w:p>
    <w:p w14:paraId="188E7FA3" w14:textId="77777777" w:rsidR="008F41C3" w:rsidRDefault="00000000">
      <w:pPr>
        <w:pStyle w:val="BodyText"/>
      </w:pPr>
      <w:r>
        <w:t xml:space="preserve">SWHS Rockfish release estimates are inferred from the difference between catch and harvest estimates. SWHS release estimates were assumed equal the total catch minus the harvest and the </w:t>
      </w:r>
      <w:r>
        <w:lastRenderedPageBreak/>
        <w:t>standard deviation of the releases was derived from the standard deviation of the harvest and catch estimates such that</w:t>
      </w:r>
    </w:p>
    <w:p w14:paraId="2DC344D1" w14:textId="77777777" w:rsidR="008F41C3" w:rsidRDefault="00000000">
      <w:pPr>
        <w:pStyle w:val="BodyText"/>
      </w:pPr>
      <m:oMathPara>
        <m:oMath>
          <m:sSub>
            <m:sSubPr>
              <m:ctrlPr>
                <w:rPr>
                  <w:rFonts w:ascii="Cambria Math" w:hAnsi="Cambria Math"/>
                </w:rPr>
              </m:ctrlPr>
            </m:sSub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R</m:t>
                  </m:r>
                </m:sub>
              </m:sSub>
            </m:sub>
          </m:sSub>
          <m:r>
            <w:rPr>
              <w:rFonts w:ascii="Cambria Math" w:hAnsi="Cambria Math"/>
            </w:rPr>
            <m:t> </m:t>
          </m:r>
          <m:r>
            <m:rPr>
              <m:sty m:val="p"/>
            </m:rPr>
            <w:rPr>
              <w:rFonts w:ascii="Cambria Math" w:hAnsi="Cambria Math"/>
            </w:rPr>
            <m:t>=</m:t>
          </m:r>
          <m:r>
            <w:rPr>
              <w:rFonts w:ascii="Cambria Math" w:hAnsi="Cambria Math"/>
            </w:rPr>
            <m:t> </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H</m:t>
                      </m:r>
                    </m:sub>
                  </m:sSub>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C</m:t>
                      </m:r>
                    </m:sub>
                  </m:sSub>
                </m:sub>
                <m:sup>
                  <m:r>
                    <w:rPr>
                      <w:rFonts w:ascii="Cambria Math" w:hAnsi="Cambria Math"/>
                    </w:rPr>
                    <m:t>2</m:t>
                  </m:r>
                </m:sup>
              </m:sSubSup>
            </m:e>
          </m:rad>
        </m:oMath>
      </m:oMathPara>
    </w:p>
    <w:p w14:paraId="3733CD09" w14:textId="77777777" w:rsidR="008F41C3" w:rsidRDefault="00000000">
      <w:pPr>
        <w:pStyle w:val="BodyText"/>
      </w:pPr>
      <w:r>
        <w:t>SWHS estimates of harvests and releases are assumed to be biased based on the disagreement between SWHS estimates of guided trips and matching logbook totals of guided harvests and releases (Figure 6 DATA BIAS; Howard et al. 2020). Additionally, the bias in harvests and releases varies considerably in both direction and magnitude (Figure 6 DATA BIAS). The model treats the logbook data as a census with minimal uncertainty and thus SWHS bias estimation is a product of the difference between the survey and the logbook data.</w:t>
      </w:r>
    </w:p>
    <w:p w14:paraId="594D9435" w14:textId="77777777" w:rsidR="008F41C3" w:rsidRDefault="00000000">
      <w:pPr>
        <w:pStyle w:val="Heading4"/>
      </w:pPr>
      <w:bookmarkStart w:id="19" w:name="port-sampling-data"/>
      <w:bookmarkEnd w:id="18"/>
      <w:r>
        <w:t>Port Sampling Data</w:t>
      </w:r>
    </w:p>
    <w:p w14:paraId="103B891A" w14:textId="6BD11FA5" w:rsidR="008F41C3" w:rsidRDefault="00000000">
      <w:pPr>
        <w:pStyle w:val="FirstParagraph"/>
      </w:pPr>
      <w:r>
        <w:t xml:space="preserve">The department’s port sampling program provides data on the species composition of the catch, biological data on individual fish that includes length, weight, sex, and otolith samples (for aging), and interview data on the relative number of fish harvested and released, all stratified by user group (unguided/private or guided/charter). In Southcentral and Kodiak regions port sampling also collects data on the depth of capture and release and weather a deepwater release mechanism (DRM) was used. The location of capture for biological and interview data is reported by ADF&amp;G groundfish statistical areas. Port sampling data exists from Southcentral and Kodiak areas since 1996 and from Southeast Alaska areas since 2006 (McKean and Ford 2025; Richards et al. 2025; Jaenicke et al. 2019; Failor 2016). Port sampling data in Southcentral and Kodiak areas is subdivided by the number of total rockfish, pelagic and non-pelagic rockfish, black rockfish and yelloweye rockfish. In the Southeast region, species data is further subdivided into demersal shelf (DSR, of which yelloweye are one species) and slope rockfish. In Southcentral, rockfish data were collected from ports in 3 CFMU areas: Deep Creek, Anchor Point, and Homer in the Cook Inlet management area; Seward in the North Gulf Coast management area (Figure 1); and Valdez and Whittier in the Prince William Sound Inside and Outside management areas (Figure 2). Whittier was sampled starting in August 1998, but 1999 was the first full season of sampling. Rockfish sampled in the Kodiak area were collected in the port of Kodiak out of the Coast Guard base and Saint Paul and Saint Herman harbors. These areas were the only Kodiak ports sampled due to the difficulties of sampling in the more remote areas in the Kodiak management unit. Sampling in Southeast Alaska occurs from late April to early September from the ports of Ketchikan, Craig, Klawock, Petersburg, Wrangell, Sitka, Juneau, Gustavus, Elfin Cove, and Yakutat. </w:t>
      </w:r>
      <w:del w:id="20" w:author="Joy, Philip J (DFG)" w:date="2026-09-21T13:59:00Z" w16du:dateUtc="2026-09-21T21:59:00Z">
        <w:r w:rsidDel="009F0E56">
          <w:delText xml:space="preserve">in </w:delText>
        </w:r>
      </w:del>
      <w:ins w:id="21" w:author="Joy, Philip J (DFG)" w:date="2026-09-21T13:59:00Z" w16du:dateUtc="2026-09-21T21:59:00Z">
        <w:r w:rsidR="009F0E56">
          <w:t>I</w:t>
        </w:r>
        <w:r w:rsidR="009F0E56">
          <w:t xml:space="preserve">n </w:t>
        </w:r>
      </w:ins>
      <w:r>
        <w:t>southcentral and Kodiak regions sampling is conducted from mid-May through the end of August each year. Fishing for rockfish occurs year-round but is primarily conducted in the summer months, with the sampled time period capturing the majority of the harvest.</w:t>
      </w:r>
    </w:p>
    <w:p w14:paraId="570767BC" w14:textId="77777777" w:rsidR="008F41C3" w:rsidRDefault="00000000">
      <w:pPr>
        <w:pStyle w:val="Heading4"/>
      </w:pPr>
      <w:bookmarkStart w:id="22" w:name="release-mortality-estimates"/>
      <w:bookmarkEnd w:id="19"/>
      <w:r>
        <w:t>Release Mortality Estimates</w:t>
      </w:r>
    </w:p>
    <w:p w14:paraId="52238777" w14:textId="56DBB4F8" w:rsidR="008F41C3" w:rsidRDefault="00000000">
      <w:pPr>
        <w:pStyle w:val="FirstParagraph"/>
      </w:pPr>
      <w:r>
        <w:t>Estimating total removals from the population includes accounting for the number of fish that are expected to die after release. Release mortality estimates prior to 2013, the year DRM devices were mandated</w:t>
      </w:r>
      <w:ins w:id="23" w:author="Joy, Philip J (DFG)" w:date="2026-09-21T14:00:00Z" w16du:dateUtc="2026-09-21T22:00:00Z">
        <w:r w:rsidR="009F0E56">
          <w:t xml:space="preserve"> in the charter fleet</w:t>
        </w:r>
      </w:ins>
      <w:r>
        <w:t xml:space="preserve">, assume that all fish were released on the surface and apply published mortality estimates (Hannah et al. 2008; Hochhalter et al. 2011; Hannah et a. 2012; Hochhalter et al. 2012) for pelagic and non-pelagic species (Figure RELEASE MORT). DRM became mandatory gear for charter vessels in 2013 and have been required for all fishing vessels </w:t>
      </w:r>
      <w:r>
        <w:lastRenderedPageBreak/>
        <w:t xml:space="preserve">(private or charterd) since 2020. </w:t>
      </w:r>
      <w:del w:id="24" w:author="Joy, Philip J (DFG)" w:date="2026-09-21T14:22:00Z" w16du:dateUtc="2026-09-21T22:22:00Z">
        <w:r w:rsidDel="00C8261D">
          <w:delText>After 2013, release mortality rates assume the use of DWR devices and mortality rates commensurate with the literature.</w:delText>
        </w:r>
      </w:del>
    </w:p>
    <w:p w14:paraId="3810B6D9" w14:textId="6E76761D" w:rsidR="008F41C3" w:rsidRDefault="00000000">
      <w:pPr>
        <w:pStyle w:val="BodyText"/>
      </w:pPr>
      <w:r>
        <w:t xml:space="preserve">Southeast mortality rates do not account for the depth of released </w:t>
      </w:r>
      <w:proofErr w:type="gramStart"/>
      <w:r>
        <w:t>fish, but</w:t>
      </w:r>
      <w:proofErr w:type="gramEnd"/>
      <w:r>
        <w:t xml:space="preserve"> assume a </w:t>
      </w:r>
      <w:del w:id="25" w:author="Joy, Philip J (DFG)" w:date="2026-09-21T14:22:00Z" w16du:dateUtc="2026-09-21T22:22:00Z">
        <w:r w:rsidDel="00C8261D">
          <w:delText xml:space="preserve">phased </w:delText>
        </w:r>
      </w:del>
      <w:ins w:id="26" w:author="Joy, Philip J (DFG)" w:date="2026-09-21T14:22:00Z" w16du:dateUtc="2026-09-21T22:22:00Z">
        <w:r w:rsidR="00C8261D">
          <w:t>phased</w:t>
        </w:r>
        <w:r w:rsidR="00C8261D">
          <w:t>-</w:t>
        </w:r>
      </w:ins>
      <w:r>
        <w:t>in effect of the DRM devices for private users reflecting the adoption of the devices between the mandate for charter vessels in 2013 and the mandate for all vessels in 2020 (Figure RELEASE MORT). Sport fish mortality rates are estimated from</w:t>
      </w:r>
      <w:ins w:id="27" w:author="Joy, Philip J (DFG)" w:date="2026-09-21T14:22:00Z" w16du:dateUtc="2026-09-21T22:22:00Z">
        <w:r w:rsidR="00C8261D">
          <w:t xml:space="preserve"> the literatu</w:t>
        </w:r>
      </w:ins>
      <w:ins w:id="28" w:author="Joy, Philip J (DFG)" w:date="2026-09-21T14:23:00Z" w16du:dateUtc="2026-09-21T22:23:00Z">
        <w:r w:rsidR="00C8261D">
          <w:t>re</w:t>
        </w:r>
      </w:ins>
      <w:ins w:id="29" w:author="Joy, Philip J (DFG)" w:date="2026-09-21T14:22:00Z" w16du:dateUtc="2026-09-21T22:22:00Z">
        <w:r w:rsidR="00C8261D">
          <w:t xml:space="preserve"> and</w:t>
        </w:r>
      </w:ins>
      <w:r>
        <w:t xml:space="preserve"> preliminary research conducted by commercial fisheries (unpublished data and Hannah et al. 2008; Jarvis and Lowe 2008; Hochhalter and Reed 2011; Hochhalter et al. 2011; Hannah et a. 2012; Hochhalter et al. 2012; Blain and Sutton 2016; Blain-Roth and Sutton 2019).</w:t>
      </w:r>
    </w:p>
    <w:p w14:paraId="74437BC5" w14:textId="018DA5A1" w:rsidR="008F41C3" w:rsidRDefault="00000000">
      <w:pPr>
        <w:pStyle w:val="BodyText"/>
      </w:pPr>
      <w:r>
        <w:t>Southcentral and Kodiak mortality rates factor in the depth-at-</w:t>
      </w:r>
      <w:del w:id="30" w:author="Joy, Philip J (DFG)" w:date="2026-09-21T14:02:00Z" w16du:dateUtc="2026-09-21T22:02:00Z">
        <w:r w:rsidDel="009F0E56">
          <w:delText xml:space="preserve">release </w:delText>
        </w:r>
      </w:del>
      <w:ins w:id="31" w:author="Joy, Philip J (DFG)" w:date="2026-09-21T14:02:00Z" w16du:dateUtc="2026-09-21T22:02:00Z">
        <w:r w:rsidR="009F0E56">
          <w:t>capture</w:t>
        </w:r>
        <w:r w:rsidR="009F0E56">
          <w:t xml:space="preserve"> </w:t>
        </w:r>
      </w:ins>
      <w:r>
        <w:t xml:space="preserve">information </w:t>
      </w:r>
      <w:ins w:id="32" w:author="Joy, Philip J (DFG)" w:date="2026-09-21T14:24:00Z" w16du:dateUtc="2026-09-21T22:24:00Z">
        <w:r w:rsidR="00233A4C">
          <w:t xml:space="preserve">and release practices </w:t>
        </w:r>
      </w:ins>
      <w:r>
        <w:t>from port</w:t>
      </w:r>
      <w:del w:id="33" w:author="Joy, Philip J (DFG)" w:date="2026-09-21T14:04:00Z" w16du:dateUtc="2026-09-21T22:04:00Z">
        <w:r w:rsidDel="009F0E56">
          <w:delText xml:space="preserve"> </w:delText>
        </w:r>
      </w:del>
      <w:r>
        <w:t>side interviews and calculate mortality rates based on the depth-of-</w:t>
      </w:r>
      <w:del w:id="34" w:author="Joy, Philip J (DFG)" w:date="2026-09-21T14:24:00Z" w16du:dateUtc="2026-09-21T22:24:00Z">
        <w:r w:rsidDel="00233A4C">
          <w:delText xml:space="preserve">release </w:delText>
        </w:r>
      </w:del>
      <w:ins w:id="35" w:author="Joy, Philip J (DFG)" w:date="2026-09-21T14:24:00Z" w16du:dateUtc="2026-09-21T22:24:00Z">
        <w:r w:rsidR="00233A4C">
          <w:t>capture</w:t>
        </w:r>
        <w:r w:rsidR="00233A4C">
          <w:t xml:space="preserve"> </w:t>
        </w:r>
      </w:ins>
      <w:del w:id="36" w:author="Joy, Philip J (DFG)" w:date="2026-09-21T14:24:00Z" w16du:dateUtc="2026-09-21T22:24:00Z">
        <w:r w:rsidDel="00233A4C">
          <w:delText xml:space="preserve">data </w:delText>
        </w:r>
      </w:del>
      <w:ins w:id="37" w:author="Joy, Philip J (DFG)" w:date="2026-09-21T14:24:00Z" w16du:dateUtc="2026-09-21T22:24:00Z">
        <w:r w:rsidR="00233A4C">
          <w:t>and weather a DRM device was used</w:t>
        </w:r>
      </w:ins>
      <w:del w:id="38" w:author="Joy, Philip J (DFG)" w:date="2026-09-21T14:25:00Z" w16du:dateUtc="2026-09-21T22:25:00Z">
        <w:r w:rsidDel="00233A4C">
          <w:delText>pooled across years</w:delText>
        </w:r>
      </w:del>
      <w:r>
        <w:t xml:space="preserve">. Anglers are asked whether they used DRM or a surface release for each </w:t>
      </w:r>
      <w:del w:id="39" w:author="Joy, Philip J (DFG)" w:date="2026-09-21T14:26:00Z" w16du:dateUtc="2026-09-21T22:26:00Z">
        <w:r w:rsidDel="00233A4C">
          <w:delText xml:space="preserve">individual </w:delText>
        </w:r>
      </w:del>
      <w:ins w:id="40" w:author="Joy, Philip J (DFG)" w:date="2026-09-21T14:26:00Z" w16du:dateUtc="2026-09-21T22:26:00Z">
        <w:r w:rsidR="00233A4C">
          <w:t>rockfish</w:t>
        </w:r>
        <w:r w:rsidR="00233A4C">
          <w:t xml:space="preserve"> </w:t>
        </w:r>
      </w:ins>
      <w:r>
        <w:t>released as well as the depth of capture. Capture depth is collected to the nearest foot in interview data then categorized into four depth strata: 0-59, 60-119, 120-179, and 180+ feet of depth. Capture depth is assumed to be the release depth for deep water releases. Release mortality increases with depth of capture for both surface and DRM release types although DRM release mortality is significantly lower. Yelloweye rockfish show considerably higher mortality when released at the surface compared to black rockfish and lower mortality when released at depth. This data is not sufficient for annual estimates but is instead pooled across years to provide an average depth profile of releases for each species assemblage and area. For each Southcentral and Kodiak area, user group and species assemblage has pre- and post-DRM release mortality estimates calculated by averaging the mortality estimates from the different depth strata weighted by the estimated proportion released within each depth strata (</w:t>
      </w:r>
      <w:ins w:id="41" w:author="Joy, Philip J (DFG)" w:date="2026-09-21T14:27:00Z" w16du:dateUtc="2026-09-21T22:27:00Z">
        <w:r w:rsidR="00233A4C">
          <w:t xml:space="preserve">Figure RELEASE </w:t>
        </w:r>
        <w:proofErr w:type="gramStart"/>
        <w:r w:rsidR="00233A4C">
          <w:t>MORT</w:t>
        </w:r>
        <w:r w:rsidR="00233A4C">
          <w:t xml:space="preserve"> ,</w:t>
        </w:r>
        <w:proofErr w:type="gramEnd"/>
        <w:r w:rsidR="00233A4C">
          <w:t xml:space="preserve"> </w:t>
        </w:r>
      </w:ins>
      <w:r>
        <w:t>Appendix A).</w:t>
      </w:r>
    </w:p>
    <w:p w14:paraId="5BF025B5" w14:textId="77777777" w:rsidR="008F41C3" w:rsidRDefault="00000000">
      <w:pPr>
        <w:pStyle w:val="Heading4"/>
      </w:pPr>
      <w:bookmarkStart w:id="42" w:name="weight-data-and-estimates"/>
      <w:bookmarkEnd w:id="22"/>
      <w:r>
        <w:t>Weight Data and Estimates</w:t>
      </w:r>
    </w:p>
    <w:p w14:paraId="26E37562" w14:textId="77777777" w:rsidR="008F41C3" w:rsidRDefault="00000000">
      <w:pPr>
        <w:pStyle w:val="FirstParagraph"/>
      </w:pPr>
      <w:r>
        <w:t xml:space="preserve">Port sampling programs also provide the data necessary to convert fish numbers to biomass. All rockfish are sampled for length and in Southcentral Alaska a subsample are weighed. All measured fish that were not individually weighed have weights estimated using a weight ~ length regression. In southcentral and Kodiak regions the weight ~ length relationship for black and yelloweye rockfish is estimated from samples with recorded weights collected between 1996 and 2021 such that the predicted weight is related to the measured length, </w:t>
      </w:r>
      <w:r>
        <w:rPr>
          <w:i/>
          <w:iCs/>
        </w:rPr>
        <w:t>L</w:t>
      </w:r>
      <w:r>
        <w:t xml:space="preserve"> such that</w:t>
      </w:r>
    </w:p>
    <w:p w14:paraId="7F1B0844" w14:textId="77777777" w:rsidR="008F41C3" w:rsidRDefault="00000000">
      <w:pPr>
        <w:pStyle w:val="BodyText"/>
      </w:pPr>
      <m:oMathPara>
        <m:oMath>
          <m:sSub>
            <m:sSubPr>
              <m:ctrlPr>
                <w:rPr>
                  <w:rFonts w:ascii="Cambria Math" w:hAnsi="Cambria Math"/>
                </w:rPr>
              </m:ctrlPr>
            </m:sSubPr>
            <m:e>
              <m:r>
                <w:rPr>
                  <w:rFonts w:ascii="Cambria Math" w:hAnsi="Cambria Math"/>
                </w:rPr>
                <m:t>W</m:t>
              </m:r>
            </m:e>
            <m:sub>
              <m:r>
                <w:rPr>
                  <w:rFonts w:ascii="Cambria Math" w:hAnsi="Cambria Math"/>
                </w:rPr>
                <m:t>pred</m:t>
              </m:r>
            </m:sub>
          </m:sSub>
          <m:r>
            <m:rPr>
              <m:sty m:val="p"/>
            </m:rPr>
            <w:rPr>
              <w:rFonts w:ascii="Cambria Math" w:hAnsi="Cambria Math"/>
            </w:rPr>
            <m:t>=</m:t>
          </m:r>
          <m:r>
            <w:rPr>
              <w:rFonts w:ascii="Cambria Math" w:hAnsi="Cambria Math"/>
            </w:rPr>
            <m:t>α</m:t>
          </m:r>
          <m:sSup>
            <m:sSupPr>
              <m:ctrlPr>
                <w:rPr>
                  <w:rFonts w:ascii="Cambria Math" w:hAnsi="Cambria Math"/>
                </w:rPr>
              </m:ctrlPr>
            </m:sSupPr>
            <m:e>
              <m:r>
                <m:rPr>
                  <m:nor/>
                </m:rPr>
                <m:t>L</m:t>
              </m:r>
            </m:e>
            <m:sup>
              <m:r>
                <w:rPr>
                  <w:rFonts w:ascii="Cambria Math" w:hAnsi="Cambria Math"/>
                </w:rPr>
                <m:t>β</m:t>
              </m:r>
            </m:sup>
          </m:sSup>
        </m:oMath>
      </m:oMathPara>
    </w:p>
    <w:p w14:paraId="4B190679" w14:textId="77777777" w:rsidR="008F41C3" w:rsidRDefault="00000000">
      <w:pPr>
        <w:pStyle w:val="BodyText"/>
      </w:pPr>
      <w:r>
        <w:t xml:space="preserve">where </w:t>
      </w:r>
      <m:oMath>
        <m:r>
          <w:rPr>
            <w:rFonts w:ascii="Cambria Math" w:hAnsi="Cambria Math"/>
          </w:rPr>
          <m:t>α</m:t>
        </m:r>
      </m:oMath>
      <w:r>
        <w:t xml:space="preserve"> and </w:t>
      </w:r>
      <m:oMath>
        <m:r>
          <w:rPr>
            <w:rFonts w:ascii="Cambria Math" w:hAnsi="Cambria Math"/>
          </w:rPr>
          <m:t>β</m:t>
        </m:r>
      </m:oMath>
      <w:r>
        <w:t xml:space="preserve"> are estimated using least square methods (McKean and Ford 2025; Schuster et al. 2025). Southeast rockfish weights are also estimated from weight length regressions but rely on published values (Richards et al. 2025).</w:t>
      </w:r>
    </w:p>
    <w:p w14:paraId="1A1A2DD8" w14:textId="77777777" w:rsidR="008F41C3" w:rsidRDefault="00000000">
      <w:pPr>
        <w:pStyle w:val="BodyText"/>
      </w:pPr>
      <w:r>
        <w:t>Converting the number of fish harvested or released into biomass was done by multiplying the average weight of the species or species complex by the estimated number. For each year and CFMU the average weight of each species or species complex is calculated from fish both directly weighed fish and fish with weights predicted from lengths. For Southcentral and Kodiak regions a minimum sample size of 10 fish from 4 unique vessels was used as cutoff to include in the model. Although this is a small sample size, the hierarchical nature of the model means that annual estimates would regress towards the long term mean when sample sizes are small or absent in any given year.</w:t>
      </w:r>
    </w:p>
    <w:p w14:paraId="795D81CB" w14:textId="77777777" w:rsidR="008F41C3" w:rsidRDefault="00000000">
      <w:pPr>
        <w:pStyle w:val="BodyText"/>
      </w:pPr>
      <w:r>
        <w:lastRenderedPageBreak/>
        <w:t>The variance of the mean weight used in the model uses the bootstrap estimate of the standard deviation of the mean. Because the model uses the mean weight to convert from numbers to biomass it is the uncertainty in the estimate of the true mean that is relevant and not the spread of the individual fish weights that constitute a yearly sample. As such, the bootstrapped estimate of the mean’s standard deviation is applied rather than the standard deviation of the individual fish weights.</w:t>
      </w:r>
    </w:p>
    <w:p w14:paraId="13495025" w14:textId="77777777" w:rsidR="008F41C3" w:rsidRDefault="00000000">
      <w:pPr>
        <w:pStyle w:val="BodyText"/>
      </w:pPr>
      <w:r>
        <w:t xml:space="preserve">Sampling in Southeast Alaska is not proportional to the distribution of the catch and as such uses a 4-stage weighted average procedure to estimate mean weights (Richards et al. 2025). The 4-stage approach is detailed in Richards et al. (2025) but as of this writing historical weight estimates prior to </w:t>
      </w:r>
      <w:r>
        <w:rPr>
          <w:b/>
          <w:bCs/>
        </w:rPr>
        <w:t>20XX</w:t>
      </w:r>
      <w:r>
        <w:t xml:space="preserve"> are being reevaluated and are unavailable. As such weight estimates prior to </w:t>
      </w:r>
      <w:r>
        <w:rPr>
          <w:b/>
          <w:bCs/>
        </w:rPr>
        <w:t>20XX</w:t>
      </w:r>
      <w:r>
        <w:t xml:space="preserve"> use bootstrapped mean weights similar to Southcentral methods but are to be considered </w:t>
      </w:r>
      <w:r>
        <w:rPr>
          <w:i/>
          <w:iCs/>
        </w:rPr>
        <w:t>preliminary</w:t>
      </w:r>
      <w:r>
        <w:t xml:space="preserve"> estimates that will be revised as needed. Updated weight estimates will be important for accuracy but are expected to result in only minor differences in biomass estimates that should not significantly impact stock assessments.</w:t>
      </w:r>
    </w:p>
    <w:p w14:paraId="7E94579B" w14:textId="77777777" w:rsidR="008F41C3" w:rsidRDefault="00000000">
      <w:pPr>
        <w:pStyle w:val="Heading4"/>
      </w:pPr>
      <w:bookmarkStart w:id="43" w:name="kodiak-stereoscopic-camera-data"/>
      <w:bookmarkEnd w:id="42"/>
      <w:r>
        <w:t>Kodiak Stereoscopic Camera Data</w:t>
      </w:r>
    </w:p>
    <w:p w14:paraId="1BF1D00B" w14:textId="77777777" w:rsidR="008F41C3" w:rsidRDefault="00000000">
      <w:pPr>
        <w:pStyle w:val="FirstParagraph"/>
      </w:pPr>
      <w:r>
        <w:t>An auxiliary data set was used to further inform the species composition in Kodiak samples. Port sampling for outlying areas in Kodiak are unavailable to inform species compositions and thus are largely reliant on the hierarchichal structure of the model to derive estimates from the sampled areas. However, ADF&amp;G commercial fisheries division has a robust hydroacoustic survey around the island to estimate black rockfish abundance and as part of that survey stereoscopic cameras are used to estimates species compositions of the surveyed pelagic rockfish communities (Tschersich et al. 2023). The species apportionment data from those cameras was used as supplemental data in this model to further inform the species composition in the Kodiak CFMUs.</w:t>
      </w:r>
    </w:p>
    <w:p w14:paraId="26C6FDDB" w14:textId="77777777" w:rsidR="008F41C3" w:rsidRDefault="00000000">
      <w:pPr>
        <w:pStyle w:val="Heading3"/>
      </w:pPr>
      <w:bookmarkStart w:id="44" w:name="model-structure"/>
      <w:bookmarkEnd w:id="43"/>
      <w:r>
        <w:t>Model Structure</w:t>
      </w:r>
    </w:p>
    <w:p w14:paraId="3B057574" w14:textId="22676077" w:rsidR="008F41C3" w:rsidRDefault="00000000">
      <w:pPr>
        <w:pStyle w:val="FirstParagraph"/>
      </w:pPr>
      <w:r>
        <w:t>The model is constructed over two time periods that are divided into the historical reconstruction between 1977 and 2019, and modern estimates which begin in 2020. The historical reconstruction relies on hindcasting estimates of the species composition and the retention probability by species in the periods before port sampling programs and logbook programs were available</w:t>
      </w:r>
      <w:del w:id="45" w:author="Joy, Philip J (DFG)" w:date="2026-09-21T14:34:00Z" w16du:dateUtc="2026-09-21T22:34:00Z">
        <w:r w:rsidDel="00E2091F">
          <w:delText xml:space="preserve"> to provide those estimates</w:delText>
        </w:r>
      </w:del>
      <w:r>
        <w:t xml:space="preserve">. Doing so required relying on long term means when the data revealed no temporal trends or, alternatively, logistic curves to account for trends in the data when trends were evident. Management action taken by the department was relatively light prior to 2020 and harvest and release trends can be assumed to follow a mostly organic process as these fisheries developed over time. Beginning in 2020 the department began taking stronger management actions to curtail rockfish harvests, including fishery closures and more severe bag limit reductions (Arthur et al 2024; Blain-Roth et al. 2024; Polum et al. 2025). These regulatory changes altered angler behavior </w:t>
      </w:r>
      <w:proofErr w:type="gramStart"/>
      <w:r>
        <w:t>with regard to</w:t>
      </w:r>
      <w:proofErr w:type="gramEnd"/>
      <w:r>
        <w:t xml:space="preserve"> retention probabilities and species composition of the harvest and thus </w:t>
      </w:r>
      <w:ins w:id="46" w:author="Joy, Philip J (DFG)" w:date="2026-09-21T14:35:00Z" w16du:dateUtc="2026-09-21T22:35:00Z">
        <w:r w:rsidR="00E2091F">
          <w:t xml:space="preserve">angler </w:t>
        </w:r>
      </w:ins>
      <w:r>
        <w:t>behavior during the modern period would not be informative to angler behavior in the past. While the process remains consistent throughout the entire time series, long term means and logistic extrapolations in the hindcasting process rely only on data through 2019.</w:t>
      </w:r>
    </w:p>
    <w:p w14:paraId="5B77B423" w14:textId="77777777" w:rsidR="008F41C3" w:rsidRDefault="00000000">
      <w:pPr>
        <w:pStyle w:val="Heading2"/>
      </w:pPr>
      <w:bookmarkStart w:id="47" w:name="process-equations"/>
      <w:bookmarkStart w:id="48" w:name="_Toc240870625"/>
      <w:bookmarkEnd w:id="15"/>
      <w:bookmarkEnd w:id="44"/>
      <w:r>
        <w:t>Process equations</w:t>
      </w:r>
      <w:bookmarkEnd w:id="48"/>
    </w:p>
    <w:p w14:paraId="1A468A1E" w14:textId="62BAF13A" w:rsidR="008F41C3" w:rsidRDefault="00000000">
      <w:pPr>
        <w:pStyle w:val="FirstParagraph"/>
      </w:pPr>
      <w:r>
        <w:t xml:space="preserve">The model process is based around the guided logbook and SWHS estimates of total rockfish harvest by year and CFMU. Guided and unguided harvests are proportionally related to total </w:t>
      </w:r>
      <w:r>
        <w:lastRenderedPageBreak/>
        <w:t>harvests (</w:t>
      </w:r>
      <m:oMath>
        <m:sSub>
          <m:sSubPr>
            <m:ctrlPr>
              <w:rPr>
                <w:rFonts w:ascii="Cambria Math" w:hAnsi="Cambria Math"/>
              </w:rPr>
            </m:ctrlPr>
          </m:sSubPr>
          <m:e>
            <m:r>
              <w:rPr>
                <w:rFonts w:ascii="Cambria Math" w:hAnsi="Cambria Math"/>
              </w:rPr>
              <m:t>P</m:t>
            </m:r>
          </m:e>
          <m:sub>
            <m:r>
              <w:rPr>
                <w:rFonts w:ascii="Cambria Math" w:hAnsi="Cambria Math"/>
              </w:rPr>
              <m:t>user</m:t>
            </m:r>
          </m:sub>
        </m:sSub>
      </m:oMath>
      <w:r>
        <w:t>) while species specific harvests are related to the total harvest based on the proportions evident in the port sampling and logbook data (</w:t>
      </w:r>
      <m:oMath>
        <m:sSub>
          <m:sSubPr>
            <m:ctrlPr>
              <w:rPr>
                <w:rFonts w:ascii="Cambria Math" w:hAnsi="Cambria Math"/>
              </w:rPr>
            </m:ctrlPr>
          </m:sSubPr>
          <m:e>
            <m:r>
              <w:rPr>
                <w:rFonts w:ascii="Cambria Math" w:hAnsi="Cambria Math"/>
              </w:rPr>
              <m:t>P</m:t>
            </m:r>
          </m:e>
          <m:sub>
            <m:r>
              <w:rPr>
                <w:rFonts w:ascii="Cambria Math" w:hAnsi="Cambria Math"/>
              </w:rPr>
              <m:t>comp</m:t>
            </m:r>
          </m:sub>
        </m:sSub>
      </m:oMath>
      <w:ins w:id="49" w:author="Joy, Philip J (DFG)" w:date="2026-09-21T14:36:00Z" w16du:dateUtc="2026-09-21T22:36:00Z">
        <w:r w:rsidR="00E2091F">
          <w:rPr>
            <w:rFonts w:eastAsiaTheme="minorEastAsia"/>
          </w:rPr>
          <w:t xml:space="preserve"> where </w:t>
        </w:r>
        <w:r w:rsidR="00E2091F">
          <w:rPr>
            <w:rFonts w:eastAsiaTheme="minorEastAsia"/>
            <w:i/>
            <w:iCs/>
          </w:rPr>
          <w:t xml:space="preserve">comp </w:t>
        </w:r>
        <w:r w:rsidR="00E2091F">
          <w:rPr>
            <w:rFonts w:eastAsiaTheme="minorEastAsia"/>
          </w:rPr>
          <w:t>refers to the species or species complex</w:t>
        </w:r>
      </w:ins>
      <w:r>
        <w:t xml:space="preserve">). Release estimates are based on the proportion of </w:t>
      </w:r>
      <w:del w:id="50" w:author="Joy, Philip J (DFG)" w:date="2026-09-21T14:37:00Z" w16du:dateUtc="2026-09-21T22:37:00Z">
        <w:r w:rsidDel="00E2091F">
          <w:delText xml:space="preserve">all </w:delText>
        </w:r>
      </w:del>
      <w:ins w:id="51" w:author="Joy, Philip J (DFG)" w:date="2026-09-21T14:37:00Z" w16du:dateUtc="2026-09-21T22:37:00Z">
        <w:r w:rsidR="00E2091F">
          <w:t>total</w:t>
        </w:r>
        <w:r w:rsidR="00E2091F">
          <w:t xml:space="preserve"> </w:t>
        </w:r>
      </w:ins>
      <w:r>
        <w:t>catches that were harvested</w:t>
      </w:r>
      <w:ins w:id="52" w:author="Joy, Philip J (DFG)" w:date="2026-09-21T14:38:00Z" w16du:dateUtc="2026-09-21T22:38:00Z">
        <w:r w:rsidR="00E2091F">
          <w:t xml:space="preserve"> by user group, area, year and species/species complex</w:t>
        </w:r>
      </w:ins>
      <w:r>
        <w:t xml:space="preserve">, also referred to as the retention probability or the proportion-harvested, </w:t>
      </w:r>
      <w:r>
        <w:rPr>
          <w:i/>
          <w:iCs/>
        </w:rPr>
        <w:t>pH</w:t>
      </w:r>
      <w:r>
        <w:t>. Numbers of fish are converted to biomass based on mean annual weights and total sport fish mortality is the sum of the harvest weights plus the proportion of releases that are expected to die based on release mortality rates (Jarvis and Lowe 2008; Hochhalter and Reed 2011; Blain and Sutton 2016; Blain-Roth and Sutton 2019). The equations describing this process are as follows.</w:t>
      </w:r>
    </w:p>
    <w:p w14:paraId="1F2D6DDA" w14:textId="77777777" w:rsidR="008F41C3" w:rsidRDefault="00000000">
      <w:pPr>
        <w:pStyle w:val="Heading3"/>
      </w:pPr>
      <w:bookmarkStart w:id="53" w:name="harvests"/>
      <w:r>
        <w:t>Harvests</w:t>
      </w:r>
    </w:p>
    <w:p w14:paraId="2CDC0C94" w14:textId="77777777" w:rsidR="008F41C3" w:rsidRDefault="00000000">
      <w:pPr>
        <w:pStyle w:val="FirstParagraph"/>
      </w:pPr>
      <w:r>
        <w:t xml:space="preserve">The true harvest </w:t>
      </w:r>
      <m:oMath>
        <m:sSub>
          <m:sSubPr>
            <m:ctrlPr>
              <w:rPr>
                <w:rFonts w:ascii="Cambria Math" w:hAnsi="Cambria Math"/>
              </w:rPr>
            </m:ctrlPr>
          </m:sSubPr>
          <m:e>
            <m:r>
              <w:rPr>
                <w:rFonts w:ascii="Cambria Math" w:hAnsi="Cambria Math"/>
              </w:rPr>
              <m:t>H</m:t>
            </m:r>
          </m:e>
          <m:sub>
            <m:r>
              <w:rPr>
                <w:rFonts w:ascii="Cambria Math" w:hAnsi="Cambria Math"/>
              </w:rPr>
              <m:t>ay</m:t>
            </m:r>
          </m:sub>
        </m:sSub>
      </m:oMath>
      <w:r>
        <w:t xml:space="preserve"> of rockfish for area </w:t>
      </w:r>
      <m:oMath>
        <m:r>
          <w:rPr>
            <w:rFonts w:ascii="Cambria Math" w:hAnsi="Cambria Math"/>
          </w:rPr>
          <m:t>a</m:t>
        </m:r>
      </m:oMath>
      <w:r>
        <w:t xml:space="preserve"> during year </w:t>
      </w:r>
      <m:oMath>
        <m:r>
          <w:rPr>
            <w:rFonts w:ascii="Cambria Math" w:hAnsi="Cambria Math"/>
          </w:rPr>
          <m:t>y</m:t>
        </m:r>
      </m:oMath>
      <w:r>
        <w:t xml:space="preserve"> is assumed to follow a temporal trend defined by a penalized spline:</w:t>
      </w:r>
    </w:p>
    <w:p w14:paraId="10DB4F14" w14:textId="77777777" w:rsidR="008F41C3" w:rsidRDefault="00000000">
      <w:pPr>
        <w:pStyle w:val="BodyText"/>
      </w:pPr>
      <m:oMathPara>
        <m:oMath>
          <m:r>
            <m:rPr>
              <m:nor/>
            </m:rPr>
            <m:t>log</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m:t>
                  </m:r>
                </m:sub>
              </m:sSub>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Ha</m:t>
                  </m:r>
                </m:sub>
              </m:sSub>
            </m:e>
          </m:d>
        </m:oMath>
      </m:oMathPara>
    </w:p>
    <w:p w14:paraId="4875666A" w14:textId="77777777" w:rsidR="008F41C3" w:rsidRDefault="00000000">
      <w:pPr>
        <w:pStyle w:val="BodyText"/>
      </w:pPr>
      <w:r>
        <w:t xml:space="preserve">where </w:t>
      </w:r>
      <m:oMath>
        <m:r>
          <w:rPr>
            <w:rFonts w:ascii="Cambria Math" w:hAnsi="Cambria Math"/>
          </w:rPr>
          <m:t>f</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y</m:t>
            </m:r>
          </m:e>
        </m:d>
      </m:oMath>
      <w:r>
        <w:t xml:space="preserve"> is a p-spline basis with 7 components (knots) and a second-degree penalty (Eiler and Marx 1996; Ruppert et al. 2003; Lang and Brezger 2004; Appendix B) and </w:t>
      </w:r>
      <m:oMath>
        <m:sSub>
          <m:sSubPr>
            <m:ctrlPr>
              <w:rPr>
                <w:rFonts w:ascii="Cambria Math" w:hAnsi="Cambria Math"/>
              </w:rPr>
            </m:ctrlPr>
          </m:sSubPr>
          <m:e>
            <m:r>
              <w:rPr>
                <w:rFonts w:ascii="Cambria Math" w:hAnsi="Cambria Math"/>
              </w:rPr>
              <m:t>σ</m:t>
            </m:r>
          </m:e>
          <m:sub>
            <m:r>
              <w:rPr>
                <w:rFonts w:ascii="Cambria Math" w:hAnsi="Cambria Math"/>
              </w:rPr>
              <m:t>Ha</m:t>
            </m:r>
          </m:sub>
        </m:sSub>
      </m:oMath>
      <w:r>
        <w:t xml:space="preserve"> is the variance (Table 2 PRIORS). The spline was modeled hierarchically within regions (Table 2 PRIORS, Appendix B).</w:t>
      </w:r>
    </w:p>
    <w:p w14:paraId="5AE6DA88" w14:textId="77777777" w:rsidR="008F41C3" w:rsidRDefault="00000000">
      <w:pPr>
        <w:pStyle w:val="BodyText"/>
      </w:pPr>
      <w:r>
        <w:t xml:space="preserve">Harvests were apportioned by user groups such that charter and private harvest </w:t>
      </w:r>
      <m:oMath>
        <m:sSub>
          <m:sSubPr>
            <m:ctrlPr>
              <w:rPr>
                <w:rFonts w:ascii="Cambria Math" w:hAnsi="Cambria Math"/>
              </w:rPr>
            </m:ctrlPr>
          </m:sSubPr>
          <m:e>
            <m:r>
              <w:rPr>
                <w:rFonts w:ascii="Cambria Math" w:hAnsi="Cambria Math"/>
              </w:rPr>
              <m:t>H</m:t>
            </m:r>
          </m:e>
          <m:sub>
            <m:r>
              <w:rPr>
                <w:rFonts w:ascii="Cambria Math" w:hAnsi="Cambria Math"/>
              </w:rPr>
              <m:t>ayu</m:t>
            </m:r>
          </m:sub>
        </m:sSub>
      </m:oMath>
      <w:r>
        <w:t xml:space="preserve"> (where </w:t>
      </w:r>
      <w:r>
        <w:rPr>
          <w:i/>
          <w:iCs/>
        </w:rPr>
        <w:t>u</w:t>
      </w:r>
      <w:r>
        <w:t xml:space="preserve"> = 1 for charter anglers and </w:t>
      </w:r>
      <w:r>
        <w:rPr>
          <w:i/>
          <w:iCs/>
        </w:rPr>
        <w:t>u</w:t>
      </w:r>
      <w:r>
        <w:t xml:space="preserve"> = 2 for private anglers) is a fraction of total annual harvest in each area:</w:t>
      </w:r>
    </w:p>
    <w:p w14:paraId="655A6E11" w14:textId="77777777" w:rsidR="008F41C3" w:rsidRDefault="00000000">
      <w:pPr>
        <w:pStyle w:val="BodyText"/>
      </w:pPr>
      <m:oMathPara>
        <m:oMath>
          <m:sSub>
            <m:sSubPr>
              <m:ctrlPr>
                <w:rPr>
                  <w:rFonts w:ascii="Cambria Math" w:hAnsi="Cambria Math"/>
                </w:rPr>
              </m:ctrlPr>
            </m:sSubPr>
            <m:e>
              <m:r>
                <w:rPr>
                  <w:rFonts w:ascii="Cambria Math" w:hAnsi="Cambria Math"/>
                </w:rPr>
                <m:t>H</m:t>
              </m:r>
            </m:e>
            <m:sub>
              <m:r>
                <w:rPr>
                  <w:rFonts w:ascii="Cambria Math" w:hAnsi="Cambria Math"/>
                </w:rPr>
                <m:t>ay1</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m:t>
              </m:r>
            </m:sub>
          </m:sSub>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oMath>
      </m:oMathPara>
    </w:p>
    <w:p w14:paraId="593D7A22" w14:textId="77777777" w:rsidR="008F41C3" w:rsidRDefault="00000000">
      <w:pPr>
        <w:pStyle w:val="BodyText"/>
      </w:pPr>
      <m:oMathPara>
        <m:oMath>
          <m:sSub>
            <m:sSubPr>
              <m:ctrlPr>
                <w:rPr>
                  <w:rFonts w:ascii="Cambria Math" w:hAnsi="Cambria Math"/>
                </w:rPr>
              </m:ctrlPr>
            </m:sSubPr>
            <m:e>
              <m:r>
                <w:rPr>
                  <w:rFonts w:ascii="Cambria Math" w:hAnsi="Cambria Math"/>
                </w:rPr>
                <m:t>H</m:t>
              </m:r>
            </m:e>
            <m:sub>
              <m:r>
                <w:rPr>
                  <w:rFonts w:ascii="Cambria Math" w:hAnsi="Cambria Math"/>
                </w:rPr>
                <m:t>ay2</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e>
          </m:d>
        </m:oMath>
      </m:oMathPara>
    </w:p>
    <w:p w14:paraId="26836323" w14:textId="77777777" w:rsidR="008F41C3" w:rsidRDefault="0000000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oMath>
      <w:r>
        <w:t xml:space="preserve"> is the fraction of the annual harvest in each area taken by charter anglers.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oMath>
      <w:r>
        <w:t xml:space="preserve"> was modeled hierarchically across years as:</w:t>
      </w:r>
    </w:p>
    <w:p w14:paraId="197F0810" w14:textId="77777777" w:rsidR="008F41C3" w:rsidRDefault="00000000">
      <w:pPr>
        <w:pStyle w:val="BodyText"/>
      </w:pPr>
      <m:oMathPara>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r>
            <w:rPr>
              <w:rFonts w:ascii="Cambria Math" w:hAnsi="Cambria Math"/>
            </w:rPr>
            <m:t> </m:t>
          </m:r>
          <m:r>
            <m:rPr>
              <m:sty m:val="p"/>
            </m:rPr>
            <w:rPr>
              <w:rFonts w:ascii="Cambria Math" w:hAnsi="Cambria Math"/>
            </w:rPr>
            <m:t>∼</m:t>
          </m:r>
          <m:r>
            <w:rPr>
              <w:rFonts w:ascii="Cambria Math" w:hAnsi="Cambria Math"/>
            </w:rPr>
            <m:t> </m:t>
          </m:r>
          <m:r>
            <m:rPr>
              <m:nor/>
            </m:rPr>
            <m:t>beta</m:t>
          </m:r>
          <m:d>
            <m:dPr>
              <m:ctrlPr>
                <w:rPr>
                  <w:rFonts w:ascii="Cambria Math" w:hAnsi="Cambria Math"/>
                </w:rPr>
              </m:ctrlPr>
            </m:dPr>
            <m:e>
              <m:r>
                <w:rPr>
                  <w:rFonts w:ascii="Cambria Math" w:hAnsi="Cambria Math"/>
                </w:rPr>
                <m:t>λ</m:t>
              </m:r>
              <m:sSub>
                <m:sSubPr>
                  <m:ctrlPr>
                    <w:rPr>
                      <w:rFonts w:ascii="Cambria Math" w:hAnsi="Cambria Math"/>
                    </w:rPr>
                  </m:ctrlPr>
                </m:sSubPr>
                <m:e>
                  <m:r>
                    <w:rPr>
                      <w:rFonts w:ascii="Cambria Math" w:hAnsi="Cambria Math"/>
                    </w:rPr>
                    <m:t>1</m:t>
                  </m:r>
                </m:e>
                <m:sub>
                  <m:r>
                    <w:rPr>
                      <w:rFonts w:ascii="Cambria Math" w:hAnsi="Cambria Math"/>
                    </w:rPr>
                    <m:t>a</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2</m:t>
                  </m:r>
                </m:e>
                <m:sub>
                  <m:r>
                    <w:rPr>
                      <w:rFonts w:ascii="Cambria Math" w:hAnsi="Cambria Math"/>
                    </w:rPr>
                    <m:t>a</m:t>
                  </m:r>
                </m:sub>
              </m:sSub>
            </m:e>
          </m:d>
        </m:oMath>
      </m:oMathPara>
    </w:p>
    <w:p w14:paraId="39651931" w14:textId="77777777" w:rsidR="008F41C3" w:rsidRDefault="00000000">
      <w:pPr>
        <w:pStyle w:val="BodyText"/>
      </w:pPr>
      <w:r>
        <w:t>with non-informative priors on both parameters (Table 2 PRIORS).</w:t>
      </w:r>
    </w:p>
    <w:p w14:paraId="76843C4C" w14:textId="77777777" w:rsidR="008F41C3" w:rsidRDefault="00000000">
      <w:pPr>
        <w:pStyle w:val="Heading3"/>
      </w:pPr>
      <w:bookmarkStart w:id="54" w:name="species-apportionment"/>
      <w:bookmarkEnd w:id="53"/>
      <w:r>
        <w:t>Species Apportionment</w:t>
      </w:r>
    </w:p>
    <w:p w14:paraId="4A0A2519" w14:textId="77777777" w:rsidR="008F41C3" w:rsidRDefault="00000000">
      <w:pPr>
        <w:pStyle w:val="FirstParagraph"/>
      </w:pPr>
      <w:r>
        <w:t>The total harvest of rockfish is apportioned to species and species complexes beginning with a partition into pelagic and non-pelagic categories such that</w:t>
      </w:r>
    </w:p>
    <w:p w14:paraId="023E02BB" w14:textId="77777777" w:rsidR="008F41C3"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pelagic</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oMath>
      </m:oMathPara>
    </w:p>
    <w:p w14:paraId="1FFB80D3" w14:textId="77777777" w:rsidR="008F41C3" w:rsidRDefault="00000000">
      <w:pPr>
        <w:pStyle w:val="BodyText"/>
      </w:pPr>
      <w:r>
        <w:t>and</w:t>
      </w:r>
    </w:p>
    <w:p w14:paraId="0E89DDAC" w14:textId="77777777" w:rsidR="008F41C3"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pelagic</m:t>
                  </m:r>
                </m:e>
              </m:d>
              <m:r>
                <w:rPr>
                  <w:rFonts w:ascii="Cambria Math" w:hAnsi="Cambria Math"/>
                </w:rPr>
                <m:t>ayu</m:t>
              </m:r>
            </m:sub>
          </m:sSub>
        </m:oMath>
      </m:oMathPara>
    </w:p>
    <w:p w14:paraId="5A09D0BF" w14:textId="77777777" w:rsidR="008F41C3" w:rsidRDefault="0000000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oMath>
      <w:r>
        <w:t xml:space="preserve"> is the fraction of the annual harvest for each area and user group that was pelagic rockfish. Black rockfish are a subset of the pelagic assemblage and as such annual black rockfish harvest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black</m:t>
                </m:r>
              </m:e>
            </m:d>
            <m:r>
              <w:rPr>
                <w:rFonts w:ascii="Cambria Math" w:hAnsi="Cambria Math"/>
              </w:rPr>
              <m:t>ayu</m:t>
            </m:r>
          </m:sub>
        </m:sSub>
      </m:oMath>
      <w:r>
        <w:t xml:space="preserve"> for each area and user group is:</w:t>
      </w:r>
    </w:p>
    <w:p w14:paraId="459A113E" w14:textId="77777777" w:rsidR="008F41C3"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black</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Sub>
        </m:oMath>
      </m:oMathPara>
    </w:p>
    <w:p w14:paraId="429459E8" w14:textId="77777777" w:rsidR="008F41C3" w:rsidRDefault="00000000">
      <w:pPr>
        <w:pStyle w:val="BodyText"/>
      </w:pPr>
      <w:r>
        <w:lastRenderedPageBreak/>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Sub>
      </m:oMath>
      <w:r>
        <w:t xml:space="preserve"> is the fraction of the annual harvest of pelagic rockfish for each area and user group that was black rockfish.</w:t>
      </w:r>
    </w:p>
    <w:p w14:paraId="5049DFB7" w14:textId="77777777" w:rsidR="008F41C3" w:rsidRDefault="00000000">
      <w:pPr>
        <w:pStyle w:val="BodyText"/>
      </w:pPr>
      <w:r>
        <w:t>Yelloweye rockfish comprise a component of the non-pelagic assemblage such that the harvest of yelloweye</w:t>
      </w:r>
    </w:p>
    <w:p w14:paraId="3D183F6E" w14:textId="77777777" w:rsidR="008F41C3"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yelloweye</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yelloweye</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m:oMathPara>
    </w:p>
    <w:p w14:paraId="66463188" w14:textId="77777777" w:rsidR="008F41C3" w:rsidRDefault="0000000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yellow</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w:r>
        <w:t xml:space="preserve"> is the fraction of the annual harvest of non-pelagic rockfish for each area and user group that was yelloweye rockfish.</w:t>
      </w:r>
    </w:p>
    <w:p w14:paraId="2DE70EB1" w14:textId="77777777" w:rsidR="008F41C3" w:rsidRDefault="00000000">
      <w:pPr>
        <w:pStyle w:val="BodyText"/>
      </w:pPr>
      <w:r>
        <w:t>The Southeast region tracks two other non-pelagic rockfish assemblages, demersal shelf rockfish (DSR, which technically includes yelloweye) and slope rockfish that are also components of the non-pelagic species assemblage such that</w:t>
      </w:r>
    </w:p>
    <w:p w14:paraId="142B5F71" w14:textId="77777777" w:rsidR="008F41C3"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DSR</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m:oMathPara>
    </w:p>
    <w:p w14:paraId="5EF91BEF" w14:textId="77777777" w:rsidR="008F41C3"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slope</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m:oMathPara>
    </w:p>
    <w:p w14:paraId="15B18E45" w14:textId="77777777" w:rsidR="008F41C3" w:rsidRDefault="0000000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w:r>
        <w:t xml:space="preserve"> and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w:r>
        <w:t xml:space="preserve"> are the fractions of the annual harvest of non-pelagic rockfish for each area and user group that were DSR and slope rockfish, respectively. Although yelloweye rockfish are technically part of the DSR assemblage, in this analysis DSR do not include yelloweye rockfish.</w:t>
      </w:r>
    </w:p>
    <w:p w14:paraId="57ABBCDD" w14:textId="77777777" w:rsidR="008F41C3" w:rsidRDefault="00000000">
      <w:pPr>
        <w:pStyle w:val="BodyText"/>
      </w:pPr>
      <w:r>
        <w:t>During the modern period beginning in 2020 the species composition was modeled as deviations about a mean value using a logit function to facilitate fitting linear models to probabilities such that</w:t>
      </w:r>
    </w:p>
    <w:p w14:paraId="72795548" w14:textId="77777777" w:rsidR="008F41C3" w:rsidRDefault="00000000">
      <w:pPr>
        <w:pStyle w:val="BodyText"/>
      </w:pPr>
      <m:oMathPara>
        <m:oMath>
          <m:r>
            <m:rPr>
              <m:nor/>
            </m:rPr>
            <m:t>logit</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e>
          </m:d>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33C993AF" w14:textId="77777777" w:rsidR="008F41C3" w:rsidRDefault="00000000">
      <w:pPr>
        <w:pStyle w:val="BodyText"/>
      </w:pPr>
      <w:r>
        <w:t xml:space="preserve">where the </w:t>
      </w:r>
      <m:oMath>
        <m:r>
          <w:rPr>
            <w:rFonts w:ascii="Cambria Math" w:hAnsi="Cambria Math"/>
          </w:rPr>
          <m:t>β</m:t>
        </m:r>
      </m:oMath>
      <w:r>
        <w:t xml:space="preserve"> parameters define the intercept (</w:t>
      </w:r>
      <m:oMath>
        <m:r>
          <w:rPr>
            <w:rFonts w:ascii="Cambria Math" w:hAnsi="Cambria Math"/>
          </w:rPr>
          <m:t>β0</m:t>
        </m:r>
      </m:oMath>
      <w:r>
        <w:t>), and private angler effect (</w:t>
      </w:r>
      <m:oMath>
        <m:r>
          <w:rPr>
            <w:rFonts w:ascii="Cambria Math" w:hAnsi="Cambria Math"/>
          </w:rPr>
          <m:t>β4</m:t>
        </m:r>
      </m:oMath>
      <w:r>
        <w:t xml:space="preserve">), respectively, </w:t>
      </w:r>
      <m:oMath>
        <m:r>
          <w:rPr>
            <w:rFonts w:ascii="Cambria Math" w:hAnsi="Cambria Math"/>
          </w:rPr>
          <m:t>y</m:t>
        </m:r>
      </m:oMath>
      <w:r>
        <w:t xml:space="preserve"> is the year index, </w:t>
      </w:r>
      <m:oMath>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oMath>
      <w:r>
        <w:t xml:space="preserve"> is an index variable which is 1 when the user groups is private and 0 otherwise, and </w:t>
      </w:r>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a random effect describing the deviation from the mean.</w:t>
      </w:r>
    </w:p>
    <w:p w14:paraId="57336309" w14:textId="77777777" w:rsidR="008F41C3" w:rsidRDefault="00000000">
      <w:pPr>
        <w:pStyle w:val="BodyText"/>
      </w:pPr>
      <w:r>
        <w:t xml:space="preserve">For the historical reconstruction through 2019, species composition data is not available for the entire time series and as such it was necessary to assume some trend in the data to project backwards in time. To do so, we fit a logistic curve to the species composition data that would account for shifts in the species composition during the observed time period but would not extrapolate beyond the limits of the observed data when hindcasting. The logistic curve was fit to data through 2019 and ignored data after that point. Thus, the composition parameters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oMath>
      <w:r>
        <w:t>, were modeled using a logistic curve such that:</w:t>
      </w:r>
    </w:p>
    <w:p w14:paraId="696B2E87" w14:textId="77777777" w:rsidR="008F41C3" w:rsidRDefault="00000000">
      <w:pPr>
        <w:pStyle w:val="BodyText"/>
      </w:pPr>
      <m:oMathPara>
        <m:oMath>
          <m:r>
            <m:rPr>
              <m:nor/>
            </m:rPr>
            <m:t>logit</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e>
          </m:d>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comp</m:t>
                      </m:r>
                    </m:e>
                  </m:d>
                  <m:r>
                    <w:rPr>
                      <w:rFonts w:ascii="Cambria Math" w:hAnsi="Cambria Math"/>
                    </w:rPr>
                    <m:t>a</m:t>
                  </m:r>
                </m:sub>
              </m:sSub>
            </m:num>
            <m:den>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exp</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3</m:t>
                              </m:r>
                            </m:e>
                            <m:sub>
                              <m:d>
                                <m:dPr>
                                  <m:ctrlPr>
                                    <w:rPr>
                                      <w:rFonts w:ascii="Cambria Math" w:hAnsi="Cambria Math"/>
                                    </w:rPr>
                                  </m:ctrlPr>
                                </m:dPr>
                                <m:e>
                                  <m:r>
                                    <w:rPr>
                                      <w:rFonts w:ascii="Cambria Math" w:hAnsi="Cambria Math"/>
                                    </w:rPr>
                                    <m:t>comp</m:t>
                                  </m:r>
                                </m:e>
                              </m:d>
                              <m:r>
                                <w:rPr>
                                  <w:rFonts w:ascii="Cambria Math" w:hAnsi="Cambria Math"/>
                                </w:rPr>
                                <m:t>a</m:t>
                              </m:r>
                            </m:sub>
                          </m:sSub>
                        </m:e>
                      </m:d>
                    </m:e>
                  </m:d>
                </m:e>
              </m:d>
            </m:den>
          </m:f>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4FE4DE36" w14:textId="77777777" w:rsidR="008F41C3" w:rsidRDefault="00000000">
      <w:pPr>
        <w:pStyle w:val="BodyText"/>
      </w:pPr>
      <w:r>
        <w:t xml:space="preserve">where the </w:t>
      </w:r>
      <m:oMath>
        <m:r>
          <w:rPr>
            <w:rFonts w:ascii="Cambria Math" w:hAnsi="Cambria Math"/>
          </w:rPr>
          <m:t>β</m:t>
        </m:r>
      </m:oMath>
      <w:r>
        <w:t xml:space="preserve"> parameters define the intercept (</w:t>
      </w:r>
      <m:oMath>
        <m:r>
          <w:rPr>
            <w:rFonts w:ascii="Cambria Math" w:hAnsi="Cambria Math"/>
          </w:rPr>
          <m:t>β0</m:t>
        </m:r>
      </m:oMath>
      <w:r>
        <w:t>), scaling factor (</w:t>
      </w:r>
      <m:oMath>
        <m:r>
          <w:rPr>
            <w:rFonts w:ascii="Cambria Math" w:hAnsi="Cambria Math"/>
          </w:rPr>
          <m:t>β1</m:t>
        </m:r>
      </m:oMath>
      <w:r>
        <w:t>), slope (</w:t>
      </w:r>
      <m:oMath>
        <m:r>
          <w:rPr>
            <w:rFonts w:ascii="Cambria Math" w:hAnsi="Cambria Math"/>
          </w:rPr>
          <m:t>β2</m:t>
        </m:r>
      </m:oMath>
      <w:r>
        <w:t>), inflection point (</w:t>
      </w:r>
      <m:oMath>
        <m:r>
          <w:rPr>
            <w:rFonts w:ascii="Cambria Math" w:hAnsi="Cambria Math"/>
          </w:rPr>
          <m:t>β3</m:t>
        </m:r>
      </m:oMath>
      <w:r>
        <w:t>) and private angler effect (</w:t>
      </w:r>
      <m:oMath>
        <m:r>
          <w:rPr>
            <w:rFonts w:ascii="Cambria Math" w:hAnsi="Cambria Math"/>
          </w:rPr>
          <m:t>β4</m:t>
        </m:r>
      </m:oMath>
      <w:r>
        <w:t xml:space="preserve">), respectively, </w:t>
      </w:r>
      <m:oMath>
        <m:r>
          <w:rPr>
            <w:rFonts w:ascii="Cambria Math" w:hAnsi="Cambria Math"/>
          </w:rPr>
          <m:t>y</m:t>
        </m:r>
      </m:oMath>
      <w:r>
        <w:t xml:space="preserve"> is the year index, and </w:t>
      </w:r>
      <m:oMath>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oMath>
      <w:r>
        <w:t xml:space="preserve"> is an index variable which is 1 when the user groups is private and 0 otherwise.</w:t>
      </w:r>
    </w:p>
    <w:p w14:paraId="1A2DB069" w14:textId="77777777" w:rsidR="008F41C3" w:rsidRDefault="00000000">
      <w:pPr>
        <w:pStyle w:val="BodyText"/>
      </w:pPr>
      <w:r>
        <w:lastRenderedPageBreak/>
        <w:t xml:space="preserve">The regional </w:t>
      </w:r>
      <m:oMath>
        <m:r>
          <w:rPr>
            <w:rFonts w:ascii="Cambria Math" w:hAnsi="Cambria Math"/>
          </w:rPr>
          <m:t>β0</m:t>
        </m:r>
      </m:oMath>
      <w:r>
        <w:t xml:space="preserve"> and </w:t>
      </w:r>
      <m:oMath>
        <m:r>
          <w:rPr>
            <w:rFonts w:ascii="Cambria Math" w:hAnsi="Cambria Math"/>
          </w:rPr>
          <m:t>β4</m:t>
        </m:r>
      </m:oMath>
      <w:r>
        <w:t xml:space="preserve"> terms were readily estimated and required only vague priors where</w:t>
      </w:r>
    </w:p>
    <w:p w14:paraId="65D56A1C" w14:textId="77777777" w:rsidR="008F41C3"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47549654" w14:textId="77777777" w:rsidR="008F41C3" w:rsidRDefault="00000000">
      <w:pPr>
        <w:pStyle w:val="BodyText"/>
      </w:pPr>
      <w:r>
        <w:t>The scaler (</w:t>
      </w:r>
      <m:oMath>
        <m:r>
          <w:rPr>
            <w:rFonts w:ascii="Cambria Math" w:hAnsi="Cambria Math"/>
          </w:rPr>
          <m:t>β1</m:t>
        </m:r>
      </m:oMath>
      <w:r>
        <w:t>) and slope (</w:t>
      </w:r>
      <m:oMath>
        <m:r>
          <w:rPr>
            <w:rFonts w:ascii="Cambria Math" w:hAnsi="Cambria Math"/>
          </w:rPr>
          <m:t>β2</m:t>
        </m:r>
      </m:oMath>
      <w:r>
        <w:t xml:space="preserve">) terms required more informed priors to fit the logistic curves. The </w:t>
      </w:r>
      <m:oMath>
        <m:r>
          <w:rPr>
            <w:rFonts w:ascii="Cambria Math" w:hAnsi="Cambria Math"/>
          </w:rPr>
          <m:t>β1</m:t>
        </m:r>
      </m:oMath>
      <w:r>
        <w:t xml:space="preserve"> and </w:t>
      </w:r>
      <m:oMath>
        <m:r>
          <w:rPr>
            <w:rFonts w:ascii="Cambria Math" w:hAnsi="Cambria Math"/>
          </w:rPr>
          <m:t>β2</m:t>
        </m:r>
      </m:oMath>
      <w:r>
        <w:t xml:space="preserve"> parameters interact such that when both have the same sign (positive or negative), the realized slope of the curve is positive and when the two terms have different signs, the realized slope is negative. To stabilize the model a lognormal prior was applied to the </w:t>
      </w:r>
      <m:oMath>
        <m:r>
          <w:rPr>
            <w:rFonts w:ascii="Cambria Math" w:hAnsi="Cambria Math"/>
          </w:rPr>
          <m:t>β1</m:t>
        </m:r>
      </m:oMath>
      <w:r>
        <w:t xml:space="preserve"> term to maintain a positive value so that only the sign of the </w:t>
      </w:r>
      <m:oMath>
        <m:r>
          <w:rPr>
            <w:rFonts w:ascii="Cambria Math" w:hAnsi="Cambria Math"/>
          </w:rPr>
          <m:t>β2</m:t>
        </m:r>
      </m:oMath>
      <w:r>
        <w:t xml:space="preserve"> term determined the direction of the slope. If the slope of the curve was clearly positive or negative the </w:t>
      </w:r>
      <m:oMath>
        <m:r>
          <w:rPr>
            <w:rFonts w:ascii="Cambria Math" w:hAnsi="Cambria Math"/>
          </w:rPr>
          <m:t>β2</m:t>
        </m:r>
      </m:oMath>
      <w:r>
        <w:t xml:space="preserve"> term was sometimes provided a prior that reflected the direction of the curve to speed convergence. Thus, </w:t>
      </w:r>
      <m:oMath>
        <m:r>
          <w:rPr>
            <w:rFonts w:ascii="Cambria Math" w:hAnsi="Cambria Math"/>
          </w:rPr>
          <m:t>β1</m:t>
        </m:r>
      </m:oMath>
      <w:r>
        <w:t xml:space="preserve"> priors were</w:t>
      </w:r>
    </w:p>
    <w:p w14:paraId="1317EC69" w14:textId="77777777" w:rsidR="008F41C3"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pelagic</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black</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r>
                    <w:rPr>
                      <w:rFonts w:ascii="Cambria Math" w:hAnsi="Cambria Math"/>
                    </w:rPr>
                    <m:t>0.1</m:t>
                  </m:r>
                </m:e>
              </m:d>
              <m:r>
                <m:rPr>
                  <m:sty m:val="p"/>
                </m:rPr>
                <w:rPr>
                  <w:rFonts w:ascii="Cambria Math" w:hAnsi="Cambria Math"/>
                </w:rPr>
                <m:t>,</m:t>
              </m:r>
              <m:r>
                <w:rPr>
                  <w:rFonts w:ascii="Cambria Math" w:hAnsi="Cambria Math"/>
                </w:rPr>
                <m:t>10</m:t>
              </m:r>
            </m:e>
          </m:d>
        </m:oMath>
      </m:oMathPara>
    </w:p>
    <w:p w14:paraId="17D52E18" w14:textId="77777777" w:rsidR="008F41C3"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yelloweye</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r>
                    <w:rPr>
                      <w:rFonts w:ascii="Cambria Math" w:hAnsi="Cambria Math"/>
                    </w:rPr>
                    <m:t>0.0001</m:t>
                  </m:r>
                </m:e>
              </m:d>
              <m:r>
                <m:rPr>
                  <m:sty m:val="p"/>
                </m:rPr>
                <w:rPr>
                  <w:rFonts w:ascii="Cambria Math" w:hAnsi="Cambria Math"/>
                </w:rPr>
                <m:t>,</m:t>
              </m:r>
              <m:r>
                <w:rPr>
                  <w:rFonts w:ascii="Cambria Math" w:hAnsi="Cambria Math"/>
                </w:rPr>
                <m:t>10</m:t>
              </m:r>
            </m:e>
          </m:d>
        </m:oMath>
      </m:oMathPara>
    </w:p>
    <w:p w14:paraId="6856202A" w14:textId="77777777" w:rsidR="008F41C3" w:rsidRDefault="00000000">
      <w:pPr>
        <w:pStyle w:val="BodyText"/>
      </w:pPr>
      <w:r>
        <w:t xml:space="preserve">and the </w:t>
      </w:r>
      <m:oMath>
        <m:r>
          <w:rPr>
            <w:rFonts w:ascii="Cambria Math" w:hAnsi="Cambria Math"/>
          </w:rPr>
          <m:t>β2</m:t>
        </m:r>
      </m:oMath>
      <w:r>
        <w:t xml:space="preserve"> priors were</w:t>
      </w:r>
    </w:p>
    <w:p w14:paraId="4B1CD61B" w14:textId="77777777" w:rsidR="008F41C3"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2C4EA466" w14:textId="77777777" w:rsidR="008F41C3" w:rsidRDefault="00000000">
      <w:pPr>
        <w:pStyle w:val="BodyText"/>
      </w:pPr>
      <w:r>
        <w:t>for all areas and species assemblages other than Southeast pelagics which were given a prior of</w:t>
      </w:r>
    </w:p>
    <w:p w14:paraId="6005A7AE" w14:textId="77777777" w:rsidR="008F41C3"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pelagics</m:t>
                  </m:r>
                </m:e>
              </m:d>
              <m:sSub>
                <m:sSubPr>
                  <m:ctrlPr>
                    <w:rPr>
                      <w:rFonts w:ascii="Cambria Math" w:hAnsi="Cambria Math"/>
                    </w:rPr>
                  </m:ctrlPr>
                </m:sSubPr>
                <m:e>
                  <m:r>
                    <w:rPr>
                      <w:rFonts w:ascii="Cambria Math" w:hAnsi="Cambria Math"/>
                    </w:rPr>
                    <m:t>a</m:t>
                  </m:r>
                </m:e>
                <m:sub>
                  <m:r>
                    <w:rPr>
                      <w:rFonts w:ascii="Cambria Math" w:hAnsi="Cambria Math"/>
                    </w:rPr>
                    <m:t>SE</m:t>
                  </m:r>
                </m:sub>
              </m:sSub>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10</m:t>
              </m:r>
            </m:e>
          </m:d>
        </m:oMath>
      </m:oMathPara>
    </w:p>
    <w:p w14:paraId="53FEBB1E" w14:textId="77777777" w:rsidR="008F41C3" w:rsidRDefault="00000000">
      <w:pPr>
        <w:pStyle w:val="BodyText"/>
      </w:pPr>
      <w:r>
        <w:t>to speed convergence. A uniform prior was applied to the inflection point parameters (</w:t>
      </w:r>
      <m:oMath>
        <m:r>
          <w:rPr>
            <w:rFonts w:ascii="Cambria Math" w:hAnsi="Cambria Math"/>
          </w:rPr>
          <m:t>β3</m:t>
        </m:r>
      </m:oMath>
      <w:r>
        <w:t>) bracketed by the time period during which data was available.</w:t>
      </w:r>
    </w:p>
    <w:p w14:paraId="6E5D3FDE" w14:textId="77777777" w:rsidR="008F41C3" w:rsidRDefault="00000000">
      <w:pPr>
        <w:pStyle w:val="BodyText"/>
      </w:pPr>
      <w:r>
        <w:t xml:space="preserve">The </w:t>
      </w:r>
      <m:oMath>
        <m:r>
          <w:rPr>
            <w:rFonts w:ascii="Cambria Math" w:hAnsi="Cambria Math"/>
          </w:rPr>
          <m:t>β</m:t>
        </m:r>
      </m:oMath>
      <w:r>
        <w:t xml:space="preserve"> parameters were generally slow to converge given the combinations of values that can fit plausible curves to the data. To speed convergence the </w:t>
      </w:r>
      <m:oMath>
        <m:r>
          <w:rPr>
            <w:rFonts w:ascii="Cambria Math" w:hAnsi="Cambria Math"/>
          </w:rPr>
          <m:t>β</m:t>
        </m:r>
      </m:oMath>
      <w:r>
        <w:t xml:space="preserve"> parameters were truncated during model development based on examination of posteriors and traceplots.</w:t>
      </w:r>
    </w:p>
    <w:p w14:paraId="0A681CEA" w14:textId="77777777" w:rsidR="008F41C3" w:rsidRDefault="00000000">
      <w:pPr>
        <w:pStyle w:val="BodyText"/>
      </w:pPr>
      <w:r>
        <w:t xml:space="preserve">The </w:t>
      </w:r>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term in equation XX and XX is a random effect describing the deviation from the fitted line. The random effect terms were forced to sum to zero for discrete periods that align with the available data and the period used to inform the hindcasting portion of the model. Thus, for each time period between year </w:t>
      </w:r>
      <m:oMath>
        <m:sSub>
          <m:sSubPr>
            <m:ctrlPr>
              <w:rPr>
                <w:rFonts w:ascii="Cambria Math" w:hAnsi="Cambria Math"/>
              </w:rPr>
            </m:ctrlPr>
          </m:sSubPr>
          <m:e>
            <m:r>
              <w:rPr>
                <w:rFonts w:ascii="Cambria Math" w:hAnsi="Cambria Math"/>
              </w:rPr>
              <m:t>y</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2</m:t>
            </m:r>
          </m:sub>
        </m:sSub>
      </m:oMath>
      <w:r>
        <w:t xml:space="preserve"> the random effect term for each area, user group and species was</w:t>
      </w:r>
    </w:p>
    <w:p w14:paraId="5729FAD3" w14:textId="77777777" w:rsidR="008F41C3" w:rsidRDefault="00000000">
      <w:pPr>
        <w:pStyle w:val="BodyText"/>
      </w:pPr>
      <m:oMathPara>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d>
                <m:dPr>
                  <m:ctrlPr>
                    <w:rPr>
                      <w:rFonts w:ascii="Cambria Math" w:hAnsi="Cambria Math"/>
                    </w:rPr>
                  </m:ctrlPr>
                </m:dPr>
                <m:e>
                  <m:r>
                    <w:rPr>
                      <w:rFonts w:ascii="Cambria Math" w:hAnsi="Cambria Math"/>
                    </w:rPr>
                    <m:t>comp</m:t>
                  </m:r>
                </m:e>
              </m:d>
              <m:r>
                <w:rPr>
                  <w:rFonts w:ascii="Cambria Math" w:hAnsi="Cambria Math"/>
                </w:rPr>
                <m:t>au</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den>
          </m:f>
          <m:nary>
            <m:naryPr>
              <m:chr m:val="∑"/>
              <m:limLoc m:val="undOvr"/>
              <m:ctrlPr>
                <w:rPr>
                  <w:rFonts w:ascii="Cambria Math" w:hAnsi="Cambria Math"/>
                </w:rPr>
              </m:ctrlPr>
            </m:naryPr>
            <m: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sub>
            <m:sup>
              <m:sSub>
                <m:sSubPr>
                  <m:ctrlPr>
                    <w:rPr>
                      <w:rFonts w:ascii="Cambria Math" w:hAnsi="Cambria Math"/>
                    </w:rPr>
                  </m:ctrlPr>
                </m:sSubPr>
                <m:e>
                  <m:r>
                    <w:rPr>
                      <w:rFonts w:ascii="Cambria Math" w:hAnsi="Cambria Math"/>
                    </w:rPr>
                    <m:t>y</m:t>
                  </m:r>
                </m:e>
                <m:sub>
                  <m:r>
                    <w:rPr>
                      <w:rFonts w:ascii="Cambria Math" w:hAnsi="Cambria Math"/>
                    </w:rPr>
                    <m:t>2</m:t>
                  </m:r>
                </m:sub>
              </m:sSub>
            </m:sup>
            <m:e>
              <m:sSub>
                <m:sSubPr>
                  <m:ctrlPr>
                    <w:rPr>
                      <w:rFonts w:ascii="Cambria Math" w:hAnsi="Cambria Math"/>
                    </w:rPr>
                  </m:ctrlPr>
                </m:sSubPr>
                <m:e>
                  <m:r>
                    <w:rPr>
                      <w:rFonts w:ascii="Cambria Math" w:hAnsi="Cambria Math"/>
                    </w:rPr>
                    <m:t>ϵ</m:t>
                  </m:r>
                </m:e>
                <m:sub>
                  <m:d>
                    <m:dPr>
                      <m:ctrlPr>
                        <w:rPr>
                          <w:rFonts w:ascii="Cambria Math" w:hAnsi="Cambria Math"/>
                        </w:rPr>
                      </m:ctrlPr>
                    </m:dPr>
                    <m:e>
                      <m:r>
                        <w:rPr>
                          <w:rFonts w:ascii="Cambria Math" w:hAnsi="Cambria Math"/>
                        </w:rPr>
                        <m:t>comp</m:t>
                      </m:r>
                    </m:e>
                  </m:d>
                  <m:r>
                    <w:rPr>
                      <w:rFonts w:ascii="Cambria Math" w:hAnsi="Cambria Math"/>
                    </w:rPr>
                    <m:t>ayu</m:t>
                  </m:r>
                </m:sub>
              </m:sSub>
            </m:e>
          </m:nary>
        </m:oMath>
      </m:oMathPara>
    </w:p>
    <w:p w14:paraId="008844E0" w14:textId="77777777" w:rsidR="008F41C3" w:rsidRDefault="00000000">
      <w:pPr>
        <w:pStyle w:val="BodyText"/>
      </w:pPr>
      <w:r>
        <w:t>where</w:t>
      </w:r>
    </w:p>
    <w:p w14:paraId="06C6FF26" w14:textId="77777777" w:rsidR="008F41C3" w:rsidRDefault="00000000">
      <w:pPr>
        <w:pStyle w:val="BodyText"/>
      </w:pPr>
      <m:oMathPara>
        <m:oMath>
          <m:sSub>
            <m:sSubPr>
              <m:ctrlPr>
                <w:rPr>
                  <w:rFonts w:ascii="Cambria Math" w:hAnsi="Cambria Math"/>
                </w:rPr>
              </m:ctrlPr>
            </m:sSubPr>
            <m:e>
              <m:r>
                <w:rPr>
                  <w:rFonts w:ascii="Cambria Math" w:hAnsi="Cambria Math"/>
                </w:rPr>
                <m:t>ϵ</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comp</m:t>
                  </m:r>
                </m:sub>
              </m:sSub>
            </m:e>
          </m:d>
        </m:oMath>
      </m:oMathPara>
    </w:p>
    <w:p w14:paraId="1B370A02" w14:textId="77777777" w:rsidR="008F41C3" w:rsidRDefault="00000000">
      <w:pPr>
        <w:pStyle w:val="BodyText"/>
      </w:pPr>
      <m:oMathPara>
        <m:oMath>
          <m:sSub>
            <m:sSubPr>
              <m:ctrlPr>
                <w:rPr>
                  <w:rFonts w:ascii="Cambria Math" w:hAnsi="Cambria Math"/>
                </w:rPr>
              </m:ctrlPr>
            </m:sSubPr>
            <m:e>
              <m:r>
                <w:rPr>
                  <w:rFonts w:ascii="Cambria Math" w:hAnsi="Cambria Math"/>
                </w:rPr>
                <m:t>σ</m:t>
              </m:r>
            </m:e>
            <m:sub>
              <m:r>
                <w:rPr>
                  <w:rFonts w:ascii="Cambria Math" w:hAnsi="Cambria Math"/>
                </w:rPr>
                <m:t>comp</m:t>
              </m:r>
            </m:sub>
          </m:sSub>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2987AC5B" w14:textId="77777777" w:rsidR="008F41C3" w:rsidRDefault="00000000">
      <w:pPr>
        <w:pStyle w:val="BodyText"/>
      </w:pPr>
      <w:r>
        <w:t>It was necessary to describe three time periods around which the random effects were divided. The first period started in 1977 (</w:t>
      </w:r>
      <m:oMath>
        <m:sSub>
          <m:sSubPr>
            <m:ctrlPr>
              <w:rPr>
                <w:rFonts w:ascii="Cambria Math" w:hAnsi="Cambria Math"/>
              </w:rPr>
            </m:ctrlPr>
          </m:sSubPr>
          <m:e>
            <m:r>
              <w:rPr>
                <w:rFonts w:ascii="Cambria Math" w:hAnsi="Cambria Math"/>
              </w:rPr>
              <m:t>y</m:t>
            </m:r>
          </m:e>
          <m:sub>
            <m:r>
              <w:rPr>
                <w:rFonts w:ascii="Cambria Math" w:hAnsi="Cambria Math"/>
              </w:rPr>
              <m:t>1</m:t>
            </m:r>
          </m:sub>
        </m:sSub>
      </m:oMath>
      <w:r>
        <w:t>) and went through the period that lacked species composition data (</w:t>
      </w:r>
      <m:oMath>
        <m:sSub>
          <m:sSubPr>
            <m:ctrlPr>
              <w:rPr>
                <w:rFonts w:ascii="Cambria Math" w:hAnsi="Cambria Math"/>
              </w:rPr>
            </m:ctrlPr>
          </m:sSubPr>
          <m:e>
            <m:r>
              <w:rPr>
                <w:rFonts w:ascii="Cambria Math" w:hAnsi="Cambria Math"/>
              </w:rPr>
              <m:t>y</m:t>
            </m:r>
          </m:e>
          <m:sub>
            <m:r>
              <w:rPr>
                <w:rFonts w:ascii="Cambria Math" w:hAnsi="Cambria Math"/>
              </w:rPr>
              <m:t>2</m:t>
            </m:r>
          </m:sub>
        </m:sSub>
      </m:oMath>
      <w:r>
        <w:t xml:space="preserve">), which varied by region (Figure DATA). The second period consisted of the data informed time series through 2019. The third period consisted of 2020 through the present. It was necessary to divide the time series in this manner to ensure that the fit curves were forced through the data. The recent time period was separated to stay consistent with the rest of the model and ensure that the recent period that included management measures did not affect hindcasting. The pre-2020 </w:t>
      </w:r>
      <w:r>
        <w:lastRenderedPageBreak/>
        <w:t>period necessitated separating the random effects between the periods with and without data to prevent the model from fitting a line that resulted in all of the random effects in the data period being positive or negative and balanced out by the reverse estimates in the pre-data period.</w:t>
      </w:r>
    </w:p>
    <w:p w14:paraId="54EBF50A" w14:textId="77777777" w:rsidR="008F41C3" w:rsidRDefault="00000000">
      <w:pPr>
        <w:pStyle w:val="BodyText"/>
      </w:pPr>
      <w:r>
        <w:t xml:space="preserve">When there was no discernible change in composition over the observed time period </w:t>
      </w:r>
      <m:oMath>
        <m:r>
          <w:rPr>
            <w:rFonts w:ascii="Cambria Math" w:hAnsi="Cambria Math"/>
          </w:rPr>
          <m:t>β</m:t>
        </m:r>
      </m:oMath>
      <w:r>
        <w:t xml:space="preserve"> parameters became inestimable. As such, </w:t>
      </w:r>
      <m:oMath>
        <m:r>
          <w:rPr>
            <w:rFonts w:ascii="Cambria Math" w:hAnsi="Cambria Math"/>
          </w:rPr>
          <m:t>β1</m:t>
        </m:r>
      </m:oMath>
      <w:r>
        <w:t xml:space="preserve"> (scaling factor) and </w:t>
      </w:r>
      <m:oMath>
        <m:r>
          <w:rPr>
            <w:rFonts w:ascii="Cambria Math" w:hAnsi="Cambria Math"/>
          </w:rPr>
          <m:t>β2</m:t>
        </m:r>
      </m:oMath>
      <w:r>
        <w:t xml:space="preserve"> (slope) were fixed to 0, </w:t>
      </w:r>
      <m:oMath>
        <m:r>
          <w:rPr>
            <w:rFonts w:ascii="Cambria Math" w:hAnsi="Cambria Math"/>
          </w:rPr>
          <m:t>β3</m:t>
        </m:r>
      </m:oMath>
      <w:r>
        <w:t xml:space="preserve"> (inflection point) was fixed to an arbitrary number and thus equation </w:t>
      </w:r>
      <w:r>
        <w:rPr>
          <w:b/>
          <w:bCs/>
        </w:rPr>
        <w:t>XX</w:t>
      </w:r>
      <w:r>
        <w:t xml:space="preserve"> resolves to equation </w:t>
      </w:r>
      <w:r>
        <w:rPr>
          <w:b/>
          <w:bCs/>
        </w:rPr>
        <w:t>XX</w:t>
      </w:r>
      <w:r>
        <w:t xml:space="preserve"> so that the long term mean value was used for hindcasting. Pelagic rockfish in the CI, NG, EWYKT and all Kodiak areas, all black rockfish other than in the NSEI, yelloweye in CI, EWYKT, SSEO and all Kodiak areas, and all DSR and slope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assumed a long-term mean.</w:t>
      </w:r>
    </w:p>
    <w:p w14:paraId="7B2457E2" w14:textId="77777777" w:rsidR="008F41C3" w:rsidRDefault="00000000">
      <w:pPr>
        <w:pStyle w:val="BodyText"/>
      </w:pPr>
      <w:r>
        <w:t xml:space="preserve">A regional hierarchical approach was considered for modelling species compositions over time, but it was decided that species composition likely reflected local habitat and broad, regional-scale patterns would have minimal information in estimating these values. However, because there is a lack of port sampling in most Kodiak CFMU’s the species </w:t>
      </w:r>
      <m:oMath>
        <m:r>
          <w:rPr>
            <w:rFonts w:ascii="Cambria Math" w:hAnsi="Cambria Math"/>
          </w:rPr>
          <m:t>β</m:t>
        </m:r>
      </m:oMath>
      <w:r>
        <w:t xml:space="preserve"> logistic terms for the Kodiak CFMU’s were modelled hierarchically around a mean and standard deviation such that</w:t>
      </w:r>
    </w:p>
    <w:p w14:paraId="3C4C7A21" w14:textId="77777777" w:rsidR="008F41C3"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sSub>
                <m:sSubPr>
                  <m:ctrlPr>
                    <w:rPr>
                      <w:rFonts w:ascii="Cambria Math" w:hAnsi="Cambria Math"/>
                    </w:rPr>
                  </m:ctrlPr>
                </m:sSubPr>
                <m:e>
                  <m:r>
                    <w:rPr>
                      <w:rFonts w:ascii="Cambria Math" w:hAnsi="Cambria Math"/>
                    </w:rPr>
                    <m:t>a</m:t>
                  </m:r>
                </m:e>
                <m:sub>
                  <m:r>
                    <w:rPr>
                      <w:rFonts w:ascii="Cambria Math" w:hAnsi="Cambria Math"/>
                    </w:rPr>
                    <m:t>Kod</m:t>
                  </m:r>
                </m:sub>
              </m:sSub>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Kodiak</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comp</m:t>
                      </m:r>
                    </m:e>
                  </m:d>
                  <m:r>
                    <w:rPr>
                      <w:rFonts w:ascii="Cambria Math" w:hAnsi="Cambria Math"/>
                    </w:rPr>
                    <m:t>Kodiak</m:t>
                  </m:r>
                </m:sub>
                <m:sup>
                  <m:r>
                    <w:rPr>
                      <w:rFonts w:ascii="Cambria Math" w:hAnsi="Cambria Math"/>
                    </w:rPr>
                    <m:t>β0</m:t>
                  </m:r>
                </m:sup>
              </m:sSubSup>
            </m:e>
          </m:d>
        </m:oMath>
      </m:oMathPara>
    </w:p>
    <w:p w14:paraId="5CF615BC" w14:textId="77777777" w:rsidR="008F41C3"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sSub>
                <m:sSubPr>
                  <m:ctrlPr>
                    <w:rPr>
                      <w:rFonts w:ascii="Cambria Math" w:hAnsi="Cambria Math"/>
                    </w:rPr>
                  </m:ctrlPr>
                </m:sSubPr>
                <m:e>
                  <m:r>
                    <w:rPr>
                      <w:rFonts w:ascii="Cambria Math" w:hAnsi="Cambria Math"/>
                    </w:rPr>
                    <m:t>a</m:t>
                  </m:r>
                </m:e>
                <m:sub>
                  <m:r>
                    <w:rPr>
                      <w:rFonts w:ascii="Cambria Math" w:hAnsi="Cambria Math"/>
                    </w:rPr>
                    <m:t>Kod</m:t>
                  </m:r>
                </m:sub>
              </m:sSub>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Kodiak</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comp</m:t>
                      </m:r>
                    </m:e>
                  </m:d>
                  <m:r>
                    <w:rPr>
                      <w:rFonts w:ascii="Cambria Math" w:hAnsi="Cambria Math"/>
                    </w:rPr>
                    <m:t>Kodiak</m:t>
                  </m:r>
                </m:sub>
                <m:sup>
                  <m:r>
                    <w:rPr>
                      <w:rFonts w:ascii="Cambria Math" w:hAnsi="Cambria Math"/>
                    </w:rPr>
                    <m:t>β4</m:t>
                  </m:r>
                </m:sup>
              </m:sSubSup>
            </m:e>
          </m:d>
        </m:oMath>
      </m:oMathPara>
    </w:p>
    <w:p w14:paraId="67ACADA7" w14:textId="77777777" w:rsidR="008F41C3" w:rsidRDefault="00000000">
      <w:pPr>
        <w:pStyle w:val="BodyText"/>
      </w:pPr>
      <w:r>
        <w:t>where</w:t>
      </w:r>
    </w:p>
    <w:p w14:paraId="668ED022" w14:textId="77777777" w:rsidR="008F41C3"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Kodiak</m:t>
              </m:r>
            </m:sub>
          </m:sSub>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Kodiak</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0FD39AD8" w14:textId="77777777" w:rsidR="008F41C3" w:rsidRDefault="00000000">
      <w:pPr>
        <w:pStyle w:val="BodyText"/>
      </w:pPr>
      <m:oMathPara>
        <m:oMath>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comp</m:t>
                  </m:r>
                </m:e>
              </m:d>
              <m:r>
                <w:rPr>
                  <w:rFonts w:ascii="Cambria Math" w:hAnsi="Cambria Math"/>
                </w:rPr>
                <m:t>Kodiak</m:t>
              </m:r>
            </m:sub>
            <m:sup>
              <m:r>
                <w:rPr>
                  <w:rFonts w:ascii="Cambria Math" w:hAnsi="Cambria Math"/>
                </w:rPr>
                <m:t>β0</m:t>
              </m:r>
            </m:sup>
          </m:sSubSup>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5</m:t>
              </m:r>
            </m:e>
          </m:d>
        </m:oMath>
      </m:oMathPara>
    </w:p>
    <w:p w14:paraId="43E818ED" w14:textId="77777777" w:rsidR="008F41C3" w:rsidRDefault="00000000">
      <w:pPr>
        <w:pStyle w:val="BodyText"/>
      </w:pPr>
      <m:oMathPara>
        <m:oMath>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comp</m:t>
                  </m:r>
                </m:e>
              </m:d>
              <m:r>
                <w:rPr>
                  <w:rFonts w:ascii="Cambria Math" w:hAnsi="Cambria Math"/>
                </w:rPr>
                <m:t>Kodiak</m:t>
              </m:r>
            </m:sub>
            <m:sup>
              <m:r>
                <w:rPr>
                  <w:rFonts w:ascii="Cambria Math" w:hAnsi="Cambria Math"/>
                </w:rPr>
                <m:t>β4</m:t>
              </m:r>
            </m:sup>
          </m:sSubSup>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10</m:t>
              </m:r>
            </m:e>
          </m:d>
        </m:oMath>
      </m:oMathPara>
    </w:p>
    <w:p w14:paraId="3A110860" w14:textId="77777777" w:rsidR="008F41C3" w:rsidRDefault="00000000">
      <w:pPr>
        <w:pStyle w:val="BodyText"/>
      </w:pPr>
      <w:r>
        <w:t xml:space="preserve">Note that Kodiak species compositions were all modelled with long term means so </w:t>
      </w:r>
      <m:oMath>
        <m:r>
          <w:rPr>
            <w:rFonts w:ascii="Cambria Math" w:hAnsi="Cambria Math"/>
          </w:rPr>
          <m:t>β1</m:t>
        </m:r>
      </m:oMath>
      <w:r>
        <w:t xml:space="preserve">, </w:t>
      </w:r>
      <m:oMath>
        <m:r>
          <w:rPr>
            <w:rFonts w:ascii="Cambria Math" w:hAnsi="Cambria Math"/>
          </w:rPr>
          <m:t>β2</m:t>
        </m:r>
      </m:oMath>
      <w:r>
        <w:t xml:space="preserve"> and </w:t>
      </w:r>
      <m:oMath>
        <m:r>
          <w:rPr>
            <w:rFonts w:ascii="Cambria Math" w:hAnsi="Cambria Math"/>
          </w:rPr>
          <m:t>β3</m:t>
        </m:r>
      </m:oMath>
      <w:r>
        <w:t xml:space="preserve"> were fixed.</w:t>
      </w:r>
    </w:p>
    <w:p w14:paraId="3A7B2145" w14:textId="77777777" w:rsidR="008F41C3" w:rsidRDefault="00000000">
      <w:pPr>
        <w:pStyle w:val="Heading3"/>
      </w:pPr>
      <w:bookmarkStart w:id="55" w:name="releases"/>
      <w:bookmarkEnd w:id="54"/>
      <w:r>
        <w:t>Releases</w:t>
      </w:r>
    </w:p>
    <w:p w14:paraId="20B8181B" w14:textId="77777777" w:rsidR="008F41C3" w:rsidRDefault="00000000">
      <w:pPr>
        <w:pStyle w:val="FirstParagraph"/>
      </w:pPr>
      <w:r>
        <w:t xml:space="preserve">The procedure for estimating releases differs from the Howard methods in that it relies on a process driven approach in contrast to the estimation methods employed in Howard et al. (2020; Figure 7 REL_SCHEMATICS) and further incorporates all sources of data, including SWHS estimates and port sampling interview data. Rather than making the assumption that the guided:unguided ratio of total rockfish releases in the SWHS data is an appropriate way to derive unguided releases of each species complex from the logbook record of releases, this approach models releases based on the harvests and the probability that a landed fish is retained separately for each of the regional species assemblages while estimating and accounting for the bias in SWHS release estimates. Thus, the true number of released rockfish </w:t>
      </w:r>
      <m:oMath>
        <m:sSub>
          <m:sSubPr>
            <m:ctrlPr>
              <w:rPr>
                <w:rFonts w:ascii="Cambria Math" w:hAnsi="Cambria Math"/>
              </w:rPr>
            </m:ctrlPr>
          </m:sSubPr>
          <m:e>
            <m:r>
              <w:rPr>
                <w:rFonts w:ascii="Cambria Math" w:hAnsi="Cambria Math"/>
              </w:rPr>
              <m:t>R</m:t>
            </m:r>
          </m:e>
          <m:sub>
            <m:r>
              <w:rPr>
                <w:rFonts w:ascii="Cambria Math" w:hAnsi="Cambria Math"/>
              </w:rPr>
              <m:t>ayu</m:t>
            </m:r>
          </m:sub>
        </m:sSub>
      </m:oMath>
      <w:r>
        <w:t xml:space="preserve"> was based on the proportion of the total catch harvested (also referred to as retention probability),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by area, year, user group and species grouping.</w:t>
      </w:r>
    </w:p>
    <w:p w14:paraId="51817496" w14:textId="77777777" w:rsidR="008F41C3" w:rsidRDefault="00000000">
      <w:pPr>
        <w:pStyle w:val="BodyText"/>
      </w:pPr>
      <w:r>
        <w:t xml:space="preserve">Release data from the SWHS is for all rockfish combined and the release data from logbooks is subdivided into pelagics, yelloweye and “other” (non-pelagic, non-yelloweye) rockfish. Port sampling data in Southcentral and Kodiak is available for the same categories as the logbook data, and as such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and release estimates are only calculated for those categories. It was </w:t>
      </w:r>
      <w:r>
        <w:lastRenderedPageBreak/>
        <w:t xml:space="preserve">assumed that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black</m:t>
                </m:r>
              </m:e>
            </m:d>
            <m:r>
              <w:rPr>
                <w:rFonts w:ascii="Cambria Math" w:hAnsi="Cambria Math"/>
              </w:rPr>
              <m:t>ayu</m:t>
            </m:r>
          </m:sub>
        </m:sSub>
      </m:oMath>
      <w:r>
        <w:t xml:space="preserve"> was equal to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pelagic</m:t>
                </m:r>
              </m:e>
            </m:d>
            <m:r>
              <w:rPr>
                <w:rFonts w:ascii="Cambria Math" w:hAnsi="Cambria Math"/>
              </w:rPr>
              <m:t>ayu</m:t>
            </m:r>
          </m:sub>
        </m:sSub>
      </m:oMath>
      <w:r>
        <w:t xml:space="preserve"> given the dominance of that species within the assemblage. In Southeast Alaska port sampling programs also record harvest and release data for DSR and slope rockfish and allow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and release estimates for those groups, with the assumption that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DSR</m:t>
                </m:r>
              </m:e>
            </m:d>
            <m:r>
              <w:rPr>
                <w:rFonts w:ascii="Cambria Math" w:hAnsi="Cambria Math"/>
              </w:rPr>
              <m:t>ayu</m:t>
            </m:r>
          </m:sub>
        </m:sSub>
      </m:oMath>
      <w:r>
        <w:t xml:space="preserve"> and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e>
            </m:d>
            <m:r>
              <w:rPr>
                <w:rFonts w:ascii="Cambria Math" w:hAnsi="Cambria Math"/>
              </w:rPr>
              <m:t>ayu</m:t>
            </m:r>
          </m:sub>
        </m:sSub>
      </m:oMath>
      <w:r>
        <w:t xml:space="preserve"> sum to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other</m:t>
                </m:r>
              </m:e>
            </m:d>
            <m:r>
              <w:rPr>
                <w:rFonts w:ascii="Cambria Math" w:hAnsi="Cambria Math"/>
              </w:rPr>
              <m:t>ayu</m:t>
            </m:r>
          </m:sub>
        </m:sSub>
      </m:oMath>
      <w:r>
        <w:t>.</w:t>
      </w:r>
    </w:p>
    <w:p w14:paraId="6E6281D8" w14:textId="77777777" w:rsidR="008F41C3" w:rsidRDefault="00000000">
      <w:pPr>
        <w:pStyle w:val="BodyText"/>
      </w:pPr>
      <w:r>
        <w:t xml:space="preserve">Releases are related to total catch, </w:t>
      </w:r>
      <m:oMath>
        <m:sSub>
          <m:sSubPr>
            <m:ctrlPr>
              <w:rPr>
                <w:rFonts w:ascii="Cambria Math" w:hAnsi="Cambria Math"/>
              </w:rPr>
            </m:ctrlPr>
          </m:sSubPr>
          <m:e>
            <m:r>
              <w:rPr>
                <w:rFonts w:ascii="Cambria Math" w:hAnsi="Cambria Math"/>
              </w:rPr>
              <m:t>C</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and harvest,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by user group, area and year such that</w:t>
      </w:r>
    </w:p>
    <w:p w14:paraId="541C3620" w14:textId="77777777" w:rsidR="008F41C3" w:rsidRDefault="00000000">
      <w:pPr>
        <w:pStyle w:val="BodyText"/>
      </w:pPr>
      <m:oMathPara>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num>
            <m:den>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den>
          </m:f>
          <m:r>
            <m:rPr>
              <m:sty m:val="p"/>
            </m:rPr>
            <w:rPr>
              <w:rFonts w:ascii="Cambria Math" w:hAnsi="Cambria Math"/>
            </w:rPr>
            <m:t>-</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595550CD" w14:textId="77777777" w:rsidR="008F41C3" w:rsidRDefault="00000000">
      <w:pPr>
        <w:pStyle w:val="BodyText"/>
      </w:pPr>
      <w:r>
        <w:t>with total releases equal to the sum of the compositional releases.</w:t>
      </w:r>
    </w:p>
    <w:p w14:paraId="3909A6E2" w14:textId="77777777" w:rsidR="008F41C3" w:rsidRDefault="00000000">
      <w:pPr>
        <w:pStyle w:val="BodyText"/>
      </w:pPr>
      <w:r>
        <w:t xml:space="preserve">For the modern period beginning in 2020 the proportion harvested, </w:t>
      </w:r>
      <w:r>
        <w:rPr>
          <w:i/>
          <w:iCs/>
        </w:rPr>
        <w:t>pH</w:t>
      </w:r>
      <w:r>
        <w:t>, was modeled as deviations about a mean such that</w:t>
      </w:r>
    </w:p>
    <w:p w14:paraId="425400D8" w14:textId="77777777" w:rsidR="008F41C3" w:rsidRDefault="00000000">
      <w:pPr>
        <w:pStyle w:val="BodyText"/>
      </w:pPr>
      <m:oMathPara>
        <m:oMath>
          <m:r>
            <m:rPr>
              <m:nor/>
            </m:rPr>
            <m:t>logit</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e>
          </m:d>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1</m:t>
                  </m:r>
                </m:e>
              </m:d>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2BB14905" w14:textId="77777777" w:rsidR="008F41C3" w:rsidRDefault="00000000">
      <w:pPr>
        <w:pStyle w:val="BodyText"/>
      </w:pPr>
      <w:r>
        <w:t xml:space="preserve">where the </w:t>
      </w:r>
      <m:oMath>
        <m:r>
          <w:rPr>
            <w:rFonts w:ascii="Cambria Math" w:hAnsi="Cambria Math"/>
          </w:rPr>
          <m:t>β</m:t>
        </m:r>
      </m:oMath>
      <w:r>
        <w:t xml:space="preserve"> parameters define the intercept (</w:t>
      </w:r>
      <m:oMath>
        <m:r>
          <w:rPr>
            <w:rFonts w:ascii="Cambria Math" w:hAnsi="Cambria Math"/>
          </w:rPr>
          <m:t>β0</m:t>
        </m:r>
      </m:oMath>
      <w:r>
        <w:t>) and private angler effect (</w:t>
      </w:r>
      <m:oMath>
        <m:r>
          <w:rPr>
            <w:rFonts w:ascii="Cambria Math" w:hAnsi="Cambria Math"/>
          </w:rPr>
          <m:t>β4</m:t>
        </m:r>
      </m:oMath>
      <w:r>
        <w:t xml:space="preserve">), </w:t>
      </w:r>
      <m:oMath>
        <m:r>
          <w:rPr>
            <w:rFonts w:ascii="Cambria Math" w:hAnsi="Cambria Math"/>
          </w:rPr>
          <m:t>y</m:t>
        </m:r>
      </m:oMath>
      <w:r>
        <w:t xml:space="preserve"> is the year index, </w:t>
      </w:r>
      <m:oMath>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oMath>
      <w:r>
        <w:t xml:space="preserve"> is an index variable which is 1 when the user groups is private and 0 otherwise, and </w:t>
      </w:r>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pH</m:t>
                </m:r>
              </m:e>
            </m:d>
            <m:r>
              <w:rPr>
                <w:rFonts w:ascii="Cambria Math" w:hAnsi="Cambria Math"/>
              </w:rPr>
              <m:t>ayu</m:t>
            </m:r>
          </m:sub>
        </m:sSub>
      </m:oMath>
      <w:r>
        <w:t xml:space="preserve"> is a random effect with a non-informative prior that estimates deviation from the fit line.</w:t>
      </w:r>
    </w:p>
    <w:p w14:paraId="4B4B0388" w14:textId="77777777" w:rsidR="008F41C3" w:rsidRDefault="00000000">
      <w:pPr>
        <w:pStyle w:val="BodyText"/>
      </w:pPr>
      <w:r>
        <w:t xml:space="preserve">For this historical reconstruction prior to 2020, the proportion harvest parameters for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were modeled using a logistic curve that would allow hindcasting based on trends in the data without extrapolating beyond the range of observed values such that</w:t>
      </w:r>
    </w:p>
    <w:p w14:paraId="17D35386" w14:textId="77777777" w:rsidR="008F41C3" w:rsidRDefault="00000000">
      <w:pPr>
        <w:pStyle w:val="BodyText"/>
      </w:pPr>
      <m:oMathPara>
        <m:oMath>
          <m:r>
            <m:rPr>
              <m:nor/>
            </m:rPr>
            <m:t>logit</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e>
          </m:d>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num>
                <m:den>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exp</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3</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e>
                          </m:d>
                        </m:e>
                      </m:d>
                    </m:e>
                  </m:d>
                </m:den>
              </m:f>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1</m:t>
                  </m:r>
                </m:e>
              </m:d>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2137EA5D" w14:textId="77777777" w:rsidR="008F41C3" w:rsidRDefault="00000000">
      <w:pPr>
        <w:pStyle w:val="BodyText"/>
      </w:pPr>
      <w:r>
        <w:t xml:space="preserve">where the </w:t>
      </w:r>
      <m:oMath>
        <m:r>
          <w:rPr>
            <w:rFonts w:ascii="Cambria Math" w:hAnsi="Cambria Math"/>
          </w:rPr>
          <m:t>β</m:t>
        </m:r>
      </m:oMath>
      <w:r>
        <w:t xml:space="preserve"> parameters define the intercept (</w:t>
      </w:r>
      <m:oMath>
        <m:r>
          <w:rPr>
            <w:rFonts w:ascii="Cambria Math" w:hAnsi="Cambria Math"/>
          </w:rPr>
          <m:t>β0</m:t>
        </m:r>
      </m:oMath>
      <w:r>
        <w:t>), scaling factor (</w:t>
      </w:r>
      <m:oMath>
        <m:r>
          <w:rPr>
            <w:rFonts w:ascii="Cambria Math" w:hAnsi="Cambria Math"/>
          </w:rPr>
          <m:t>β1</m:t>
        </m:r>
      </m:oMath>
      <w:r>
        <w:t>), slope (</w:t>
      </w:r>
      <m:oMath>
        <m:r>
          <w:rPr>
            <w:rFonts w:ascii="Cambria Math" w:hAnsi="Cambria Math"/>
          </w:rPr>
          <m:t>β2</m:t>
        </m:r>
      </m:oMath>
      <w:r>
        <w:t>), inflection point (</w:t>
      </w:r>
      <m:oMath>
        <m:r>
          <w:rPr>
            <w:rFonts w:ascii="Cambria Math" w:hAnsi="Cambria Math"/>
          </w:rPr>
          <m:t>β3</m:t>
        </m:r>
      </m:oMath>
      <w:r>
        <w:t>) and private angler effect (</w:t>
      </w:r>
      <m:oMath>
        <m:r>
          <w:rPr>
            <w:rFonts w:ascii="Cambria Math" w:hAnsi="Cambria Math"/>
          </w:rPr>
          <m:t>β4</m:t>
        </m:r>
      </m:oMath>
      <w:r>
        <w:t xml:space="preserve">), </w:t>
      </w:r>
      <m:oMath>
        <m:r>
          <w:rPr>
            <w:rFonts w:ascii="Cambria Math" w:hAnsi="Cambria Math"/>
          </w:rPr>
          <m:t>y</m:t>
        </m:r>
      </m:oMath>
      <w:r>
        <w:t xml:space="preserve"> is the year index, </w:t>
      </w:r>
      <m:oMath>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oMath>
      <w:r>
        <w:t xml:space="preserve"> is an index variable which is 1 when the user groups is private and 0 otherwise and </w:t>
      </w:r>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pH</m:t>
                </m:r>
              </m:e>
            </m:d>
            <m:r>
              <w:rPr>
                <w:rFonts w:ascii="Cambria Math" w:hAnsi="Cambria Math"/>
              </w:rPr>
              <m:t>ayu</m:t>
            </m:r>
          </m:sub>
        </m:sSub>
      </m:oMath>
      <w:r>
        <w:t xml:space="preserve"> is a random effect with a non-informative prior that estimates deviation from the fit line. The random effect term allowed estimation during the historical period when data is available, but the curve defined by the above equation determined release estimates between 1977 and whenever data became available (Figure DATA). Similar to the species composition logistic curve, it was only fit to data through 2019 to avoid changes in harvest proportions that resulted from regulatory changes that began to take place in 2020. Random effect terms were also forced to sum to zero for each area, user group, species and time period in an identical manner to that described in equation </w:t>
      </w:r>
      <w:r>
        <w:rPr>
          <w:b/>
          <w:bCs/>
        </w:rPr>
        <w:t>XX</w:t>
      </w:r>
      <w:r>
        <w:t xml:space="preserve"> for species compositions.</w:t>
      </w:r>
    </w:p>
    <w:p w14:paraId="7926AB7A" w14:textId="77777777" w:rsidR="008F41C3" w:rsidRDefault="00000000">
      <w:pPr>
        <w:pStyle w:val="BodyText"/>
      </w:pPr>
      <w:r>
        <w:lastRenderedPageBreak/>
        <w:t xml:space="preserve">Unlike the compositional trends, </w:t>
      </w:r>
      <w:r>
        <w:rPr>
          <w:i/>
          <w:iCs/>
        </w:rPr>
        <w:t>pH</w:t>
      </w:r>
      <w:r>
        <w:t xml:space="preserve"> </w:t>
      </w:r>
      <m:oMath>
        <m:r>
          <w:rPr>
            <w:rFonts w:ascii="Cambria Math" w:hAnsi="Cambria Math"/>
          </w:rPr>
          <m:t>β</m:t>
        </m:r>
      </m:oMath>
      <w:r>
        <w:t xml:space="preserve"> parameters were modeled hierarchically by region such that area specific </w:t>
      </w:r>
      <m:oMath>
        <m:r>
          <w:rPr>
            <w:rFonts w:ascii="Cambria Math" w:hAnsi="Cambria Math"/>
          </w:rPr>
          <m:t>β0</m:t>
        </m:r>
      </m:oMath>
      <w:r>
        <w:t xml:space="preserve">, </w:t>
      </w:r>
      <m:oMath>
        <m:r>
          <w:rPr>
            <w:rFonts w:ascii="Cambria Math" w:hAnsi="Cambria Math"/>
          </w:rPr>
          <m:t>β1</m:t>
        </m:r>
      </m:oMath>
      <w:r>
        <w:t xml:space="preserve">, and </w:t>
      </w:r>
      <m:oMath>
        <m:r>
          <w:rPr>
            <w:rFonts w:ascii="Cambria Math" w:hAnsi="Cambria Math"/>
          </w:rPr>
          <m:t>β2</m:t>
        </m:r>
      </m:oMath>
      <w:r>
        <w:t xml:space="preserve"> parameters were centered around region-specific hyperpriors such that</w:t>
      </w:r>
    </w:p>
    <w:p w14:paraId="5B8D6247" w14:textId="77777777" w:rsidR="008F41C3"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β0</m:t>
                  </m:r>
                </m:sup>
              </m:sSubSup>
            </m:e>
          </m:d>
        </m:oMath>
      </m:oMathPara>
    </w:p>
    <w:p w14:paraId="5A001A7A" w14:textId="1FCD2586" w:rsidR="008F41C3"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Sup>
                <m:sSubSupPr>
                  <m:ctrlPr>
                    <w:rPr>
                      <w:rFonts w:ascii="Cambria Math" w:hAnsi="Cambria Math"/>
                    </w:rPr>
                  </m:ctrlPr>
                </m:sSubSupPr>
                <m:e>
                  <m:sSup>
                    <m:sSupPr>
                      <m:ctrlPr>
                        <w:rPr>
                          <w:rFonts w:ascii="Cambria Math" w:hAnsi="Cambria Math"/>
                        </w:rPr>
                      </m:ctrlPr>
                    </m:sSupPr>
                    <m:e>
                      <m:r>
                        <w:rPr>
                          <w:rFonts w:ascii="Cambria Math" w:hAnsi="Cambria Math"/>
                        </w:rPr>
                        <m:t>σ</m:t>
                      </m:r>
                    </m:e>
                    <m:sup>
                      <m:r>
                        <w:rPr>
                          <w:rFonts w:ascii="Cambria Math" w:hAnsi="Cambria Math"/>
                        </w:rPr>
                        <m:t>2</m:t>
                      </m:r>
                    </m:sup>
                  </m:sSup>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m:t>
                  </m:r>
                  <m:r>
                    <w:del w:id="56" w:author="Joy, Philip J (DFG)" w:date="2026-09-21T15:21:00Z" w16du:dateUtc="2026-09-21T23:21:00Z">
                      <w:rPr>
                        <w:rFonts w:ascii="Cambria Math" w:hAnsi="Cambria Math"/>
                      </w:rPr>
                      <m:t>2</m:t>
                    </w:del>
                  </m:r>
                  <m:r>
                    <w:ins w:id="57" w:author="Joy, Philip J (DFG)" w:date="2026-09-21T15:21:00Z" w16du:dateUtc="2026-09-21T23:21:00Z">
                      <w:rPr>
                        <w:rFonts w:ascii="Cambria Math" w:hAnsi="Cambria Math"/>
                      </w:rPr>
                      <m:t>1</m:t>
                    </w:ins>
                  </m:r>
                </m:sup>
              </m:sSubSup>
            </m:e>
          </m:d>
        </m:oMath>
      </m:oMathPara>
    </w:p>
    <w:p w14:paraId="5104AE9C" w14:textId="77777777" w:rsidR="008F41C3"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β2</m:t>
                  </m:r>
                </m:sup>
              </m:sSubSup>
            </m:e>
          </m:d>
        </m:oMath>
      </m:oMathPara>
    </w:p>
    <w:p w14:paraId="3BAB6CEA" w14:textId="77777777" w:rsidR="008F41C3" w:rsidRDefault="00000000">
      <w:pPr>
        <w:pStyle w:val="BodyText"/>
      </w:pPr>
      <w:r>
        <w:t>where</w:t>
      </w:r>
    </w:p>
    <w:p w14:paraId="3A7E2978" w14:textId="77777777" w:rsidR="008F41C3"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1509BFFB" w14:textId="77777777" w:rsidR="008F41C3"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r>
                    <w:rPr>
                      <w:rFonts w:ascii="Cambria Math" w:hAnsi="Cambria Math"/>
                    </w:rPr>
                    <m:t>0.00001</m:t>
                  </m:r>
                </m:e>
              </m:d>
              <m:r>
                <m:rPr>
                  <m:sty m:val="p"/>
                </m:rPr>
                <w:rPr>
                  <w:rFonts w:ascii="Cambria Math" w:hAnsi="Cambria Math"/>
                </w:rPr>
                <m:t>,</m:t>
              </m:r>
              <m:r>
                <w:rPr>
                  <w:rFonts w:ascii="Cambria Math" w:hAnsi="Cambria Math"/>
                </w:rPr>
                <m:t>10</m:t>
              </m:r>
            </m:e>
          </m:d>
        </m:oMath>
      </m:oMathPara>
    </w:p>
    <w:p w14:paraId="3216BC6D" w14:textId="77777777" w:rsidR="008F41C3" w:rsidRDefault="00000000">
      <w:pPr>
        <w:pStyle w:val="BodyText"/>
      </w:pPr>
      <m:oMathPara>
        <m:oMath>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β0</m:t>
              </m:r>
            </m:sup>
          </m:sSubSup>
          <m:r>
            <w:rPr>
              <w:rFonts w:ascii="Cambria Math" w:hAnsi="Cambria Math"/>
            </w:rPr>
            <m:t> </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β1</m:t>
              </m:r>
            </m:sup>
          </m:sSubSup>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10</m:t>
              </m:r>
            </m:e>
          </m:d>
        </m:oMath>
      </m:oMathPara>
    </w:p>
    <w:p w14:paraId="2D477CF0" w14:textId="77777777" w:rsidR="008F41C3" w:rsidRDefault="00000000">
      <w:pPr>
        <w:pStyle w:val="BodyText"/>
      </w:pPr>
      <m:oMathPara>
        <m:oMath>
          <m:sSubSup>
            <m:sSubSupPr>
              <m:ctrlPr>
                <w:rPr>
                  <w:rFonts w:ascii="Cambria Math" w:hAnsi="Cambria Math"/>
                </w:rPr>
              </m:ctrlPr>
            </m:sSubSupPr>
            <m:e>
              <m:sSup>
                <m:sSupPr>
                  <m:ctrlPr>
                    <w:rPr>
                      <w:rFonts w:ascii="Cambria Math" w:hAnsi="Cambria Math"/>
                    </w:rPr>
                  </m:ctrlPr>
                </m:sSupPr>
                <m:e>
                  <m:r>
                    <w:rPr>
                      <w:rFonts w:ascii="Cambria Math" w:hAnsi="Cambria Math"/>
                    </w:rPr>
                    <m:t>σ</m:t>
                  </m:r>
                </m:e>
                <m:sup>
                  <m:r>
                    <w:rPr>
                      <w:rFonts w:ascii="Cambria Math" w:hAnsi="Cambria Math"/>
                    </w:rPr>
                    <m:t>2</m:t>
                  </m:r>
                </m:sup>
              </m:sSup>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β2</m:t>
              </m:r>
            </m:sup>
          </m:sSubSup>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5</m:t>
              </m:r>
            </m:e>
          </m:d>
        </m:oMath>
      </m:oMathPara>
    </w:p>
    <w:p w14:paraId="2A90C6C6" w14:textId="77777777" w:rsidR="008F41C3" w:rsidRDefault="00000000">
      <w:pPr>
        <w:pStyle w:val="BodyText"/>
      </w:pPr>
      <w:r>
        <w:t xml:space="preserve">where </w:t>
      </w:r>
      <w:r>
        <w:rPr>
          <w:i/>
          <w:iCs/>
        </w:rPr>
        <w:t>region</w:t>
      </w:r>
      <w:r>
        <w:t xml:space="preserve"> refers to Kodiak, Southcentral and Southeast. Similar to the species composition logistic curve, a uniform prior was applied to the inflection point </w:t>
      </w:r>
      <m:oMath>
        <m:r>
          <w:rPr>
            <w:rFonts w:ascii="Cambria Math" w:hAnsi="Cambria Math"/>
          </w:rPr>
          <m:t>β3</m:t>
        </m:r>
      </m:oMath>
      <w:r>
        <w:t xml:space="preserve"> bracketed by the time period during which data was available and did not use a hyper prior. </w:t>
      </w:r>
      <m:oMath>
        <m:sSub>
          <m:sSubPr>
            <m:ctrlPr>
              <w:rPr>
                <w:rFonts w:ascii="Cambria Math" w:hAnsi="Cambria Math"/>
              </w:rPr>
            </m:ctrlPr>
          </m:sSubPr>
          <m:e>
            <m:r>
              <w:rPr>
                <w:rFonts w:ascii="Cambria Math" w:hAnsi="Cambria Math"/>
              </w:rPr>
              <m:t>β</m:t>
            </m:r>
          </m:e>
          <m:sub>
            <m:r>
              <w:rPr>
                <w:rFonts w:ascii="Cambria Math" w:hAnsi="Cambria Math"/>
              </w:rPr>
              <m:t>pH</m:t>
            </m:r>
          </m:sub>
        </m:sSub>
      </m:oMath>
      <w:r>
        <w:t xml:space="preserve"> parameters were also truncated as necessary during model development to speed convergence and based on examination of traceplots and posterior distributions.</w:t>
      </w:r>
    </w:p>
    <w:p w14:paraId="0F266DA1" w14:textId="77777777" w:rsidR="008F41C3" w:rsidRDefault="00000000">
      <w:pPr>
        <w:pStyle w:val="BodyText"/>
      </w:pPr>
      <w:r>
        <w:t xml:space="preserve">When </w:t>
      </w:r>
      <m:oMath>
        <m:r>
          <w:rPr>
            <w:rFonts w:ascii="Cambria Math" w:hAnsi="Cambria Math"/>
          </w:rPr>
          <m:t>β</m:t>
        </m:r>
      </m:oMath>
      <w:r>
        <w:t xml:space="preserve"> parameters were inestimable as a result of no discernible change in harvest probability over the observed time period, </w:t>
      </w:r>
      <m:oMath>
        <m:r>
          <w:rPr>
            <w:rFonts w:ascii="Cambria Math" w:hAnsi="Cambria Math"/>
          </w:rPr>
          <m:t>β1</m:t>
        </m:r>
      </m:oMath>
      <w:r>
        <w:t xml:space="preserve"> (scaling factor) and </w:t>
      </w:r>
      <m:oMath>
        <m:r>
          <w:rPr>
            <w:rFonts w:ascii="Cambria Math" w:hAnsi="Cambria Math"/>
          </w:rPr>
          <m:t>β2</m:t>
        </m:r>
      </m:oMath>
      <w:r>
        <w:t xml:space="preserve"> (slope) were fixed to 0 and </w:t>
      </w:r>
      <m:oMath>
        <m:r>
          <w:rPr>
            <w:rFonts w:ascii="Cambria Math" w:hAnsi="Cambria Math"/>
          </w:rPr>
          <m:t>β3</m:t>
        </m:r>
      </m:oMath>
      <w:r>
        <w:t xml:space="preserve"> (inflection point) was fixed to an arbitrary value so that equation </w:t>
      </w:r>
      <w:r>
        <w:rPr>
          <w:b/>
          <w:bCs/>
        </w:rPr>
        <w:t>XX</w:t>
      </w:r>
      <w:r>
        <w:t xml:space="preserve"> resolves to equation </w:t>
      </w:r>
      <w:r>
        <w:rPr>
          <w:b/>
          <w:bCs/>
        </w:rPr>
        <w:t>XX</w:t>
      </w:r>
      <w:r>
        <w:t xml:space="preserve"> and the long term mean value was used for hindcasting. Long term means were fit for WKMA pelagics, all yelloweye, CI, BSAI, SOKO2SAP, and WKMA “other” rockfish, and SE slope rockfish assemblages.</w:t>
      </w:r>
    </w:p>
    <w:p w14:paraId="504868D8" w14:textId="1F3A34F6" w:rsidR="008F41C3" w:rsidRDefault="00000000">
      <w:pPr>
        <w:pStyle w:val="BodyText"/>
      </w:pPr>
      <w:r>
        <w:t xml:space="preserve">The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w:r>
        <w:t xml:space="preserve"> term describing the offset of the </w:t>
      </w:r>
      <w:r>
        <w:rPr>
          <w:i/>
          <w:iCs/>
        </w:rPr>
        <w:t>pH</w:t>
      </w:r>
      <w:r>
        <w:t xml:space="preserve"> logistic curve (or long-term average) for unguided anglers used a prior developed from the SWHS data that indicated whether private anglers were more or less likely to harvest a landed rockfish. The SWHS provides information on the relative number of total rockfish caught, retained and released for each user group and was used to derive an informative prior on retention probabilities, </w:t>
      </w:r>
      <w:r>
        <w:rPr>
          <w:i/>
          <w:iCs/>
        </w:rPr>
        <w:t>pH</w:t>
      </w:r>
      <w:r>
        <w:t xml:space="preserve">. Because the proportion harvested is known for guided anglers via logbook data, the difference in the proportion harvested for each user group in the SWHS data suggests whether private anglers are more or less likely to retain a generic rockfish relative to guided anglers. The same relationship was used in the Howard methods to </w:t>
      </w:r>
      <w:del w:id="58" w:author="Joy, Philip J (DFG)" w:date="2026-09-21T15:04:00Z" w16du:dateUtc="2026-09-21T23:04:00Z">
        <w:r w:rsidDel="00030B62">
          <w:delText xml:space="preserve">estimate </w:delText>
        </w:r>
      </w:del>
      <w:ins w:id="59" w:author="Joy, Philip J (DFG)" w:date="2026-09-21T15:04:00Z" w16du:dateUtc="2026-09-21T23:04:00Z">
        <w:r w:rsidR="00030B62">
          <w:t>directly calculate</w:t>
        </w:r>
        <w:r w:rsidR="00030B62">
          <w:t xml:space="preserve"> </w:t>
        </w:r>
      </w:ins>
      <w:r>
        <w:t xml:space="preserve">unguided releases whereas this approach treats it as a prior that interacts with </w:t>
      </w:r>
      <w:del w:id="60" w:author="Joy, Philip J (DFG)" w:date="2026-09-21T15:04:00Z" w16du:dateUtc="2026-09-21T23:04:00Z">
        <w:r w:rsidDel="00030B62">
          <w:delText xml:space="preserve">all </w:delText>
        </w:r>
      </w:del>
      <w:r>
        <w:t>other relevant data sources to provide a more data and process driven estimate of releases (Figure 7).</w:t>
      </w:r>
    </w:p>
    <w:p w14:paraId="04EAF885" w14:textId="77777777" w:rsidR="008F41C3" w:rsidRDefault="00000000">
      <w:pPr>
        <w:pStyle w:val="BodyText"/>
      </w:pPr>
      <w:r>
        <w:t xml:space="preserve">As such the SWHS data was used to develop a prior to inform the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w:r>
        <w:t xml:space="preserve"> terms. The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w:r>
        <w:t xml:space="preserve"> term was given a prior informed by the ratio of the proportion harvested by private anglers, as estimated by the SWHS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unguided</m:t>
            </m:r>
          </m:sub>
          <m:sup>
            <m:r>
              <w:rPr>
                <w:rFonts w:ascii="Cambria Math" w:hAnsi="Cambria Math"/>
              </w:rPr>
              <m:t>SWHS</m:t>
            </m:r>
          </m:sup>
        </m:sSubSup>
      </m:oMath>
      <w:r>
        <w:t xml:space="preserve">), to the proportion harvested by guided </w:t>
      </w:r>
      <w:r>
        <w:lastRenderedPageBreak/>
        <w:t>anglers, as estimated by the SWHS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guided</m:t>
            </m:r>
          </m:sub>
          <m:sup>
            <m:r>
              <w:rPr>
                <w:rFonts w:ascii="Cambria Math" w:hAnsi="Cambria Math"/>
              </w:rPr>
              <m:t>SWHS</m:t>
            </m:r>
          </m:sup>
        </m:sSubSup>
      </m:oMath>
      <w:r>
        <w:t xml:space="preserve">), such that unguided:guided SWHS </w:t>
      </w:r>
      <w:r>
        <w:rPr>
          <w:i/>
          <w:iCs/>
        </w:rPr>
        <w:t>pH</w:t>
      </w:r>
      <w:r>
        <w:t xml:space="preserve"> ratio in area </w:t>
      </w:r>
      <w:r>
        <w:rPr>
          <w:i/>
          <w:iCs/>
        </w:rPr>
        <w:t>a</w:t>
      </w:r>
      <w:r>
        <w:t xml:space="preserve"> and year </w:t>
      </w:r>
      <w:r>
        <w:rPr>
          <w:i/>
          <w:iCs/>
        </w:rPr>
        <w:t>y</w:t>
      </w:r>
      <w:r>
        <w:t xml:space="preserv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is defined as</w:t>
      </w:r>
    </w:p>
    <w:p w14:paraId="454CB5D2" w14:textId="77777777" w:rsidR="008F41C3" w:rsidRDefault="00000000">
      <w:pPr>
        <w:pStyle w:val="BodyText"/>
      </w:pPr>
      <m:oMathPara>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r>
            <m:rPr>
              <m:sty m:val="p"/>
            </m:rPr>
            <w:rPr>
              <w:rFonts w:ascii="Cambria Math" w:hAnsi="Cambria Math"/>
            </w:rPr>
            <m:t>=</m:t>
          </m:r>
          <m:f>
            <m:fPr>
              <m:ctrlPr>
                <w:rPr>
                  <w:rFonts w:ascii="Cambria Math" w:hAnsi="Cambria Math"/>
                </w:rPr>
              </m:ctrlPr>
            </m:fPr>
            <m:num>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unguide</m:t>
                  </m:r>
                  <m:sSub>
                    <m:sSubPr>
                      <m:ctrlPr>
                        <w:rPr>
                          <w:rFonts w:ascii="Cambria Math" w:hAnsi="Cambria Math"/>
                        </w:rPr>
                      </m:ctrlPr>
                    </m:sSubPr>
                    <m:e>
                      <m:r>
                        <w:rPr>
                          <w:rFonts w:ascii="Cambria Math" w:hAnsi="Cambria Math"/>
                        </w:rPr>
                        <m:t>d</m:t>
                      </m:r>
                    </m:e>
                    <m:sub>
                      <m:r>
                        <w:rPr>
                          <w:rFonts w:ascii="Cambria Math" w:hAnsi="Cambria Math"/>
                        </w:rPr>
                        <m:t>ay</m:t>
                      </m:r>
                    </m:sub>
                  </m:sSub>
                </m:sub>
                <m:sup>
                  <m:r>
                    <w:rPr>
                      <w:rFonts w:ascii="Cambria Math" w:hAnsi="Cambria Math"/>
                    </w:rPr>
                    <m:t>SWHS</m:t>
                  </m:r>
                </m:sup>
              </m:sSubSup>
            </m:num>
            <m:den>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guide</m:t>
                  </m:r>
                  <m:sSub>
                    <m:sSubPr>
                      <m:ctrlPr>
                        <w:rPr>
                          <w:rFonts w:ascii="Cambria Math" w:hAnsi="Cambria Math"/>
                        </w:rPr>
                      </m:ctrlPr>
                    </m:sSubPr>
                    <m:e>
                      <m:r>
                        <w:rPr>
                          <w:rFonts w:ascii="Cambria Math" w:hAnsi="Cambria Math"/>
                        </w:rPr>
                        <m:t>d</m:t>
                      </m:r>
                    </m:e>
                    <m:sub>
                      <m:r>
                        <w:rPr>
                          <w:rFonts w:ascii="Cambria Math" w:hAnsi="Cambria Math"/>
                        </w:rPr>
                        <m:t>ay</m:t>
                      </m:r>
                    </m:sub>
                  </m:sSub>
                </m:sub>
                <m:sup>
                  <m:r>
                    <w:rPr>
                      <w:rFonts w:ascii="Cambria Math" w:hAnsi="Cambria Math"/>
                    </w:rPr>
                    <m:t>SWHS</m:t>
                  </m:r>
                </m:sup>
              </m:sSubSup>
            </m:den>
          </m:f>
        </m:oMath>
      </m:oMathPara>
    </w:p>
    <w:p w14:paraId="2AE81946" w14:textId="77777777" w:rsidR="008F41C3" w:rsidRDefault="00000000">
      <w:pPr>
        <w:pStyle w:val="BodyText"/>
      </w:pPr>
      <w:r>
        <w:t xml:space="preserve">such that the proportion harvested for each user group, </w:t>
      </w:r>
      <w:r>
        <w:rPr>
          <w:i/>
          <w:iCs/>
        </w:rPr>
        <w:t>u</w:t>
      </w:r>
      <w:r>
        <w:t>, is</w:t>
      </w:r>
    </w:p>
    <w:p w14:paraId="251E600F" w14:textId="77777777" w:rsidR="008F41C3" w:rsidRDefault="00000000">
      <w:pPr>
        <w:pStyle w:val="BodyText"/>
      </w:pPr>
      <m:oMathPara>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ayu</m:t>
              </m:r>
            </m:sub>
            <m:sup>
              <m:r>
                <w:rPr>
                  <w:rFonts w:ascii="Cambria Math" w:hAnsi="Cambria Math"/>
                </w:rPr>
                <m:t>SWHS</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num>
            <m:den>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ayu</m:t>
                  </m:r>
                </m:sub>
                <m:sup>
                  <m:r>
                    <w:rPr>
                      <w:rFonts w:ascii="Cambria Math" w:hAnsi="Cambria Math"/>
                    </w:rPr>
                    <m:t>SWHS</m:t>
                  </m:r>
                </m:sup>
              </m:sSubSup>
            </m:den>
          </m:f>
        </m:oMath>
      </m:oMathPara>
    </w:p>
    <w:p w14:paraId="1957D9D2" w14:textId="77777777" w:rsidR="008F41C3" w:rsidRDefault="00000000">
      <w:pPr>
        <w:pStyle w:val="BodyText"/>
      </w:pPr>
      <w:r>
        <w:t xml:space="preserve">where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oMath>
      <w:r>
        <w:t xml:space="preserve"> and </w:t>
      </w: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ayu</m:t>
            </m:r>
          </m:sub>
          <m:sup>
            <m:r>
              <w:rPr>
                <w:rFonts w:ascii="Cambria Math" w:hAnsi="Cambria Math"/>
              </w:rPr>
              <m:t>SWHS</m:t>
            </m:r>
          </m:sup>
        </m:sSubSup>
      </m:oMath>
      <w:r>
        <w:t xml:space="preserve"> are the SWHS estimates of harvests and releases, respectively, and the standard error is</w:t>
      </w:r>
    </w:p>
    <w:p w14:paraId="5A4C13DF" w14:textId="77777777" w:rsidR="008F41C3" w:rsidRDefault="00000000">
      <w:pPr>
        <w:pStyle w:val="BodyText"/>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pHayu</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H</m:t>
                      </m:r>
                    </m:e>
                    <m:sub>
                      <m:r>
                        <w:rPr>
                          <w:rFonts w:ascii="Cambria Math" w:hAnsi="Cambria Math"/>
                        </w:rPr>
                        <m:t>ay</m:t>
                      </m:r>
                    </m:sub>
                  </m:sSub>
                </m:sub>
                <m:sup>
                  <m:r>
                    <w:rPr>
                      <w:rFonts w:ascii="Cambria Math" w:hAnsi="Cambria Math"/>
                    </w:rPr>
                    <m:t>2</m:t>
                  </m:r>
                </m:sup>
              </m:sSubSup>
              <m:sSup>
                <m:sSupPr>
                  <m:ctrlPr>
                    <w:rPr>
                      <w:rFonts w:ascii="Cambria Math" w:hAnsi="Cambria Math"/>
                    </w:rPr>
                  </m:ctrlPr>
                </m:sSupPr>
                <m:e>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ayu</m:t>
                      </m:r>
                    </m:sub>
                    <m:sup>
                      <m:r>
                        <w:rPr>
                          <w:rFonts w:ascii="Cambria Math" w:hAnsi="Cambria Math"/>
                        </w:rPr>
                        <m:t>SWHS</m:t>
                      </m:r>
                    </m:sup>
                  </m:sSubSup>
                </m:e>
                <m:sup>
                  <m:r>
                    <w:rPr>
                      <w:rFonts w:ascii="Cambria Math" w:hAnsi="Cambria Math"/>
                    </w:rPr>
                    <m:t>2</m:t>
                  </m:r>
                </m:sup>
              </m:sSup>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R</m:t>
                      </m:r>
                    </m:e>
                    <m:sub>
                      <m:r>
                        <w:rPr>
                          <w:rFonts w:ascii="Cambria Math" w:hAnsi="Cambria Math"/>
                        </w:rPr>
                        <m:t>ay</m:t>
                      </m:r>
                    </m:sub>
                  </m:sSub>
                </m:sub>
                <m:sup>
                  <m:r>
                    <w:rPr>
                      <w:rFonts w:ascii="Cambria Math" w:hAnsi="Cambria Math"/>
                    </w:rPr>
                    <m:t>2</m:t>
                  </m:r>
                </m:sup>
              </m:sSubSup>
              <m:sSup>
                <m:sSupPr>
                  <m:ctrlPr>
                    <w:rPr>
                      <w:rFonts w:ascii="Cambria Math" w:hAnsi="Cambria Math"/>
                    </w:rPr>
                  </m:ctrlPr>
                </m:sSupPr>
                <m:e>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ayu</m:t>
                  </m:r>
                </m:sub>
                <m:sup>
                  <m:r>
                    <w:rPr>
                      <w:rFonts w:ascii="Cambria Math" w:hAnsi="Cambria Math"/>
                    </w:rPr>
                    <m:t>SWHS</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r>
                <m:rPr>
                  <m:sty m:val="p"/>
                </m:rPr>
                <w:rPr>
                  <w:rFonts w:ascii="Cambria Math" w:hAnsi="Cambria Math"/>
                </w:rPr>
                <m:t>*</m:t>
              </m:r>
              <m:r>
                <w:rPr>
                  <w:rFonts w:ascii="Cambria Math" w:hAnsi="Cambria Math"/>
                </w:rPr>
                <m:t>cov</m:t>
              </m:r>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H</m:t>
                      </m:r>
                    </m:e>
                    <m:sub>
                      <m:r>
                        <w:rPr>
                          <w:rFonts w:ascii="Cambria Math" w:hAnsi="Cambria Math"/>
                        </w:rPr>
                        <m:t>ay</m:t>
                      </m:r>
                    </m:sub>
                  </m:sSub>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R</m:t>
                      </m:r>
                    </m:e>
                    <m:sub>
                      <m:r>
                        <w:rPr>
                          <w:rFonts w:ascii="Cambria Math" w:hAnsi="Cambria Math"/>
                        </w:rPr>
                        <m:t>ay</m:t>
                      </m:r>
                    </m:sub>
                  </m:sSub>
                </m:sub>
              </m:sSub>
            </m:e>
          </m:rad>
        </m:oMath>
      </m:oMathPara>
    </w:p>
    <w:p w14:paraId="33A32FE6" w14:textId="5431BF8D" w:rsidR="008F41C3" w:rsidRDefault="00000000">
      <w:pPr>
        <w:pStyle w:val="BodyText"/>
      </w:pPr>
      <w:r>
        <w:t xml:space="preserve">For each area the area specific mean of the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ratios</w:t>
      </w:r>
      <w:ins w:id="61" w:author="Joy, Philip J (DFG)" w:date="2026-09-21T15:06:00Z" w16du:dateUtc="2026-09-21T23:06:00Z">
        <w:r w:rsidR="00030B62">
          <w:t xml:space="preserve"> </w:t>
        </w:r>
      </w:ins>
      <w:del w:id="62" w:author="Joy, Philip J (DFG)" w:date="2026-09-21T15:08:00Z" w16du:dateUtc="2026-09-21T23:08:00Z">
        <w:r w:rsidDel="00030B62">
          <w:delText xml:space="preserve"> </w:delText>
        </w:r>
      </w:del>
      <w:r>
        <w:t xml:space="preserve">was used as a prior on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m:t>
            </m:r>
          </m:sub>
        </m:sSub>
      </m:oMath>
      <w:r>
        <w:t xml:space="preserve"> with the annual associated error of the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estimates propagated through the prior such that</w:t>
      </w:r>
    </w:p>
    <w:p w14:paraId="167154E3" w14:textId="77777777" w:rsidR="008F41C3"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β4</m:t>
                      </m:r>
                    </m:sup>
                  </m:sSubSup>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τ</m:t>
                      </m:r>
                    </m:e>
                    <m:sub>
                      <m:bar>
                        <m:barPr>
                          <m:pos m:val="top"/>
                          <m:ctrlPr>
                            <w:rPr>
                              <w:rFonts w:ascii="Cambria Math" w:hAnsi="Cambria Math"/>
                            </w:rPr>
                          </m:ctrlPr>
                        </m:barPr>
                        <m:e>
                          <m:r>
                            <w:rPr>
                              <w:rFonts w:ascii="Cambria Math" w:hAnsi="Cambria Math"/>
                            </w:rPr>
                            <m:t>pH</m:t>
                          </m:r>
                        </m:e>
                      </m:bar>
                      <m:r>
                        <w:rPr>
                          <w:rFonts w:ascii="Cambria Math" w:hAnsi="Cambria Math"/>
                        </w:rPr>
                        <m:t>a</m:t>
                      </m:r>
                    </m:sub>
                  </m:sSub>
                </m:den>
              </m:f>
            </m:e>
          </m:d>
        </m:oMath>
      </m:oMathPara>
    </w:p>
    <w:p w14:paraId="14D24323" w14:textId="77777777" w:rsidR="008F41C3" w:rsidRDefault="00000000">
      <w:pPr>
        <w:pStyle w:val="BodyText"/>
      </w:pPr>
      <w:r>
        <w:t xml:space="preserve">where modeled </w:t>
      </w:r>
      <m:oMath>
        <m:sSubSup>
          <m:sSubSupPr>
            <m:ctrlPr>
              <w:rPr>
                <w:rFonts w:ascii="Cambria Math" w:hAnsi="Cambria Math"/>
              </w:rPr>
            </m:ctrlPr>
          </m:sSubSupPr>
          <m:e>
            <m:acc>
              <m:accPr>
                <m:ctrlPr>
                  <w:rPr>
                    <w:rFonts w:ascii="Cambria Math" w:hAnsi="Cambria Math"/>
                  </w:rPr>
                </m:ctrlPr>
              </m:accPr>
              <m:e>
                <m:r>
                  <w:rPr>
                    <w:rFonts w:ascii="Cambria Math" w:hAnsi="Cambria Math"/>
                  </w:rPr>
                  <m:t>pH</m:t>
                </m:r>
              </m:e>
            </m:acc>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assumes a lognormal distribution relative to observed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such that</w:t>
      </w:r>
    </w:p>
    <w:p w14:paraId="616651CE" w14:textId="77777777" w:rsidR="008F41C3" w:rsidRDefault="00000000">
      <w:pPr>
        <w:pStyle w:val="BodyText"/>
      </w:pPr>
      <m:oMathPara>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pH</m:t>
                          </m:r>
                        </m:e>
                      </m:acc>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e>
              </m:d>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r>
                    <w:rPr>
                      <w:rFonts w:ascii="Cambria Math" w:hAnsi="Cambria Math"/>
                    </w:rPr>
                    <m:t>pHayu</m:t>
                  </m:r>
                </m:sub>
                <m:sup>
                  <m:r>
                    <w:rPr>
                      <w:rFonts w:ascii="Cambria Math" w:hAnsi="Cambria Math"/>
                    </w:rPr>
                    <m:t>2</m:t>
                  </m:r>
                </m:sup>
              </m:sSubSup>
            </m:e>
          </m:d>
        </m:oMath>
      </m:oMathPara>
    </w:p>
    <w:p w14:paraId="2D5D3F9A" w14:textId="77777777" w:rsidR="008F41C3" w:rsidRDefault="00000000">
      <w:pPr>
        <w:pStyle w:val="BodyText"/>
      </w:pPr>
      <w:r>
        <w:t>and</w:t>
      </w:r>
    </w:p>
    <w:p w14:paraId="6D5DC2C5" w14:textId="77777777" w:rsidR="008F41C3" w:rsidRDefault="00000000">
      <w:pPr>
        <w:pStyle w:val="BodyText"/>
      </w:pPr>
      <m:oMathPara>
        <m:oMath>
          <m:r>
            <m:rPr>
              <m:nor/>
            </m:rPr>
            <m:t>log</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pH</m:t>
                      </m:r>
                    </m:e>
                  </m:acc>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m:rPr>
                  <m:nor/>
                </m:rPr>
                <m:t>log</m:t>
              </m:r>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β4</m:t>
                      </m:r>
                    </m:sup>
                  </m:sSubSup>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τ</m:t>
                      </m:r>
                    </m:e>
                    <m:sub>
                      <m:bar>
                        <m:barPr>
                          <m:pos m:val="top"/>
                          <m:ctrlPr>
                            <w:rPr>
                              <w:rFonts w:ascii="Cambria Math" w:hAnsi="Cambria Math"/>
                            </w:rPr>
                          </m:ctrlPr>
                        </m:barPr>
                        <m:e>
                          <m:r>
                            <w:rPr>
                              <w:rFonts w:ascii="Cambria Math" w:hAnsi="Cambria Math"/>
                            </w:rPr>
                            <m:t>pH</m:t>
                          </m:r>
                        </m:e>
                      </m:bar>
                      <m:r>
                        <w:rPr>
                          <w:rFonts w:ascii="Cambria Math" w:hAnsi="Cambria Math"/>
                        </w:rPr>
                        <m:t>a</m:t>
                      </m:r>
                    </m:sub>
                  </m:sSub>
                </m:den>
              </m:f>
            </m:e>
          </m:d>
        </m:oMath>
      </m:oMathPara>
    </w:p>
    <w:p w14:paraId="4105F8E0" w14:textId="77777777" w:rsidR="008F41C3" w:rsidRDefault="00000000">
      <w:pPr>
        <w:pStyle w:val="BodyText"/>
      </w:pPr>
      <w:r>
        <w:t xml:space="preserve">where </w:t>
      </w:r>
      <m:oMath>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β4</m:t>
            </m:r>
          </m:sup>
        </m:sSubSup>
      </m:oMath>
      <w:r>
        <w:t xml:space="preserve"> and </w:t>
      </w:r>
      <m:oMath>
        <m:sSub>
          <m:sSubPr>
            <m:ctrlPr>
              <w:rPr>
                <w:rFonts w:ascii="Cambria Math" w:hAnsi="Cambria Math"/>
              </w:rPr>
            </m:ctrlPr>
          </m:sSubPr>
          <m:e>
            <m:r>
              <w:rPr>
                <w:rFonts w:ascii="Cambria Math" w:hAnsi="Cambria Math"/>
              </w:rPr>
              <m:t>τ</m:t>
            </m:r>
          </m:e>
          <m:sub>
            <m:bar>
              <m:barPr>
                <m:pos m:val="top"/>
                <m:ctrlPr>
                  <w:rPr>
                    <w:rFonts w:ascii="Cambria Math" w:hAnsi="Cambria Math"/>
                  </w:rPr>
                </m:ctrlPr>
              </m:barPr>
              <m:e>
                <m:r>
                  <w:rPr>
                    <w:rFonts w:ascii="Cambria Math" w:hAnsi="Cambria Math"/>
                  </w:rPr>
                  <m:t>pH</m:t>
                </m:r>
              </m:e>
            </m:bar>
            <m:r>
              <w:rPr>
                <w:rFonts w:ascii="Cambria Math" w:hAnsi="Cambria Math"/>
              </w:rPr>
              <m:t>a</m:t>
            </m:r>
          </m:sub>
        </m:sSub>
      </m:oMath>
      <w:r>
        <w:t xml:space="preserve"> assumed vague priors</w:t>
      </w:r>
    </w:p>
    <w:p w14:paraId="1D298637" w14:textId="77777777" w:rsidR="008F41C3" w:rsidRDefault="00000000">
      <w:pPr>
        <w:pStyle w:val="BodyText"/>
      </w:pPr>
      <m:oMathPara>
        <m:oMath>
          <m:r>
            <m:rPr>
              <m:nor/>
            </m:rPr>
            <m:t>log</m:t>
          </m:r>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β4</m:t>
                  </m:r>
                </m:sup>
              </m:sSubSup>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32</m:t>
              </m:r>
            </m:e>
          </m:d>
        </m:oMath>
      </m:oMathPara>
    </w:p>
    <w:p w14:paraId="5D0EA17A" w14:textId="77777777" w:rsidR="008F41C3" w:rsidRDefault="00000000">
      <w:pPr>
        <w:pStyle w:val="BodyText"/>
      </w:pPr>
      <m:oMathPara>
        <m:oMath>
          <m:sSub>
            <m:sSubPr>
              <m:ctrlPr>
                <w:rPr>
                  <w:rFonts w:ascii="Cambria Math" w:hAnsi="Cambria Math"/>
                </w:rPr>
              </m:ctrlPr>
            </m:sSubPr>
            <m:e>
              <m:r>
                <w:rPr>
                  <w:rFonts w:ascii="Cambria Math" w:hAnsi="Cambria Math"/>
                </w:rPr>
                <m:t>τ</m:t>
              </m:r>
            </m:e>
            <m:sub>
              <m:bar>
                <m:barPr>
                  <m:pos m:val="top"/>
                  <m:ctrlPr>
                    <w:rPr>
                      <w:rFonts w:ascii="Cambria Math" w:hAnsi="Cambria Math"/>
                    </w:rPr>
                  </m:ctrlPr>
                </m:barPr>
                <m:e>
                  <m:r>
                    <w:rPr>
                      <w:rFonts w:ascii="Cambria Math" w:hAnsi="Cambria Math"/>
                    </w:rPr>
                    <m:t>pH</m:t>
                  </m:r>
                </m:e>
              </m:bar>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Gamma</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0.1</m:t>
              </m:r>
            </m:e>
          </m:d>
        </m:oMath>
      </m:oMathPara>
    </w:p>
    <w:p w14:paraId="1555B9B0" w14:textId="77777777" w:rsidR="008F41C3" w:rsidRDefault="00000000">
      <w:pPr>
        <w:pStyle w:val="BodyText"/>
      </w:pPr>
      <w:r>
        <w:t xml:space="preserve">These priors were weakly informative given the large variances associated with SWHS release estimates and propagation of that uncertainty through the derivation of the priors. Given the other sources of data informing </w:t>
      </w:r>
      <w:r>
        <w:rPr>
          <w:i/>
          <w:iCs/>
        </w:rPr>
        <w:t>pH</w:t>
      </w:r>
      <w:r>
        <w:t xml:space="preserve"> estimates it was not clear that these vague priors would be necessary. However, sensitivity testing during model development demonstrated that the priors significantly aided model convergence and provided stability during the early years in the time series when other data sources about unguided angler harvest probabilities were not available.</w:t>
      </w:r>
    </w:p>
    <w:p w14:paraId="14C14BCA" w14:textId="77777777" w:rsidR="008F41C3" w:rsidRDefault="00000000">
      <w:pPr>
        <w:pStyle w:val="Heading3"/>
      </w:pPr>
      <w:bookmarkStart w:id="63" w:name="total-mortality"/>
      <w:bookmarkEnd w:id="55"/>
      <w:r>
        <w:t>Total mortality</w:t>
      </w:r>
    </w:p>
    <w:p w14:paraId="5685365C" w14:textId="77777777" w:rsidR="008F41C3" w:rsidRDefault="00000000">
      <w:pPr>
        <w:pStyle w:val="FirstParagraph"/>
      </w:pPr>
      <w:r>
        <w:t xml:space="preserve">Release mortality (i.e., the number of released rockfish expected to die) was calculated assuming fixed mortality rates developed in each of the regions (FIGURE 8 REL_MORT). Deep-water </w:t>
      </w:r>
      <w:r>
        <w:lastRenderedPageBreak/>
        <w:t>release mechanism (DRM) devices were mandated for charter fleets in 2013 and release mortality rates were reduced since then to match research results (Jarvis and Lowe 2008; Hochhalter and Reed 2011; Blain and Sutton 2016; Blain-Roth and Sutton 2019). Southeast applies basic rates estimated in these studies while Southcentral and Kodiak rates were derived by using historical depth-of-release data to adjust the rates based on area and user group.</w:t>
      </w:r>
    </w:p>
    <w:p w14:paraId="4F83472E" w14:textId="77777777" w:rsidR="008F41C3" w:rsidRDefault="00000000">
      <w:pPr>
        <w:pStyle w:val="BodyText"/>
      </w:pPr>
      <w:r>
        <w:t>The total number of mortalities by year, area, user and species/species assemblage in numbers was calculated by summing harvests and release mortality such that</w:t>
      </w:r>
    </w:p>
    <w:p w14:paraId="7A4E8ECB" w14:textId="77777777" w:rsidR="008F41C3" w:rsidRDefault="00000000">
      <w:pPr>
        <w:pStyle w:val="BodyText"/>
      </w:pPr>
      <m:oMathPara>
        <m:oMath>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32C8EED8" w14:textId="77777777" w:rsidR="008F41C3" w:rsidRDefault="00000000">
      <w:pPr>
        <w:pStyle w:val="BodyText"/>
      </w:pPr>
      <w:r>
        <w:t xml:space="preserve">where </w:t>
      </w:r>
      <m:oMath>
        <m:sSub>
          <m:sSubPr>
            <m:ctrlPr>
              <w:rPr>
                <w:rFonts w:ascii="Cambria Math" w:hAnsi="Cambria Math"/>
              </w:rPr>
            </m:ctrlPr>
          </m:sSubPr>
          <m:e>
            <m:r>
              <w:rPr>
                <w:rFonts w:ascii="Cambria Math" w:hAnsi="Cambria Math"/>
              </w:rPr>
              <m:t>m</m:t>
            </m:r>
          </m:e>
          <m:sub>
            <m: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the release mortality rate by year, area, user and species (Figure 8 REL_MORT).</w:t>
      </w:r>
    </w:p>
    <w:p w14:paraId="617F99ED" w14:textId="77777777" w:rsidR="008F41C3" w:rsidRDefault="00000000">
      <w:pPr>
        <w:pStyle w:val="Heading3"/>
      </w:pPr>
      <w:bookmarkStart w:id="64" w:name="biomass-conversions"/>
      <w:bookmarkEnd w:id="63"/>
      <w:r>
        <w:t>Biomass conversions</w:t>
      </w:r>
    </w:p>
    <w:p w14:paraId="7741018B" w14:textId="77777777" w:rsidR="008F41C3" w:rsidRDefault="00000000">
      <w:pPr>
        <w:pStyle w:val="FirstParagraph"/>
      </w:pPr>
      <w:r>
        <w:t>Total removals in numbers of fish were converted to biomass in pounds using the average weight of fish as estimated from port sampling. Weights were modeled hierarchically to estimate weights in years when data was missing. The total biomass of removals by year, area, user and species was thus</w:t>
      </w:r>
    </w:p>
    <w:p w14:paraId="13E539A5" w14:textId="77777777" w:rsidR="008F41C3" w:rsidRDefault="00000000">
      <w:pPr>
        <w:pStyle w:val="BodyText"/>
      </w:pPr>
      <m:oMathPara>
        <m:oMath>
          <m:sSub>
            <m:sSubPr>
              <m:ctrlPr>
                <w:rPr>
                  <w:rFonts w:ascii="Cambria Math" w:hAnsi="Cambria Math"/>
                </w:rPr>
              </m:ctrlPr>
            </m:sSubPr>
            <m:e>
              <m:r>
                <w:rPr>
                  <w:rFonts w:ascii="Cambria Math" w:hAnsi="Cambria Math"/>
                </w:rPr>
                <m:t>B</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5BE12410" w14:textId="77777777" w:rsidR="008F41C3" w:rsidRDefault="00000000">
      <w:pPr>
        <w:pStyle w:val="BodyText"/>
      </w:pPr>
      <w:r>
        <w:t xml:space="preserve">where </w:t>
      </w:r>
      <m:oMath>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the mean weight by species, area, user and year.</w:t>
      </w:r>
    </w:p>
    <w:p w14:paraId="673171B2" w14:textId="77777777" w:rsidR="008F41C3" w:rsidRDefault="00000000">
      <w:pPr>
        <w:pStyle w:val="Heading2"/>
      </w:pPr>
      <w:bookmarkStart w:id="65" w:name="observation-equations"/>
      <w:bookmarkStart w:id="66" w:name="_Toc240870626"/>
      <w:bookmarkEnd w:id="47"/>
      <w:bookmarkEnd w:id="64"/>
      <w:r>
        <w:t>Observation equations</w:t>
      </w:r>
      <w:bookmarkEnd w:id="66"/>
    </w:p>
    <w:p w14:paraId="6EE3AB7A" w14:textId="77777777" w:rsidR="008F41C3" w:rsidRDefault="00000000">
      <w:pPr>
        <w:pStyle w:val="Heading3"/>
      </w:pPr>
      <w:bookmarkStart w:id="67" w:name="harvests-1"/>
      <w:r>
        <w:t>Harvests</w:t>
      </w:r>
    </w:p>
    <w:p w14:paraId="2F366427" w14:textId="77777777" w:rsidR="008F41C3" w:rsidRDefault="00000000">
      <w:pPr>
        <w:pStyle w:val="FirstParagraph"/>
      </w:pPr>
      <w:r>
        <w:t xml:space="preserve">The modeled process described above was fit to the SWHS, logbook and port sampling data using the following equations. SWHS estimates of annual rockfish harvest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m:t>
            </m:r>
          </m:sub>
          <m:sup>
            <m:r>
              <w:rPr>
                <w:rFonts w:ascii="Cambria Math" w:hAnsi="Cambria Math"/>
              </w:rPr>
              <m:t>SWHS</m:t>
            </m:r>
          </m:sup>
        </m:sSubSup>
      </m:oMath>
      <w:r>
        <w:t xml:space="preserve"> were assumed to index true harvest:</w:t>
      </w:r>
    </w:p>
    <w:p w14:paraId="54ACF752" w14:textId="77777777" w:rsidR="008F41C3"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m:t>
              </m:r>
            </m:sub>
            <m:sup>
              <m:r>
                <w:rPr>
                  <w:rFonts w:ascii="Cambria Math" w:hAnsi="Cambria Math"/>
                </w:rPr>
                <m:t>SWHS</m:t>
              </m:r>
            </m:sup>
          </m:sSubSup>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m:rPr>
                  <m:nor/>
                </m:rPr>
                <m:t>log</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m:t>
                      </m:r>
                    </m:sub>
                  </m:sSub>
                  <m:sSub>
                    <m:sSubPr>
                      <m:ctrlPr>
                        <w:rPr>
                          <w:rFonts w:ascii="Cambria Math" w:hAnsi="Cambria Math"/>
                        </w:rPr>
                      </m:ctrlPr>
                    </m:sSubPr>
                    <m:e>
                      <m:r>
                        <w:rPr>
                          <w:rFonts w:ascii="Cambria Math" w:hAnsi="Cambria Math"/>
                        </w:rPr>
                        <m:t>b</m:t>
                      </m:r>
                    </m:e>
                    <m:sub>
                      <m:r>
                        <w:rPr>
                          <w:rFonts w:ascii="Cambria Math" w:hAnsi="Cambria Math"/>
                        </w:rPr>
                        <m:t>H</m:t>
                      </m:r>
                    </m:sub>
                  </m:sSub>
                  <m:r>
                    <w:rPr>
                      <w:rFonts w:ascii="Cambria Math" w:hAnsi="Cambria Math"/>
                    </w:rPr>
                    <m:t>ay</m:t>
                  </m:r>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SWHSHay</m:t>
                  </m:r>
                </m:sub>
                <m:sup>
                  <m:r>
                    <w:rPr>
                      <w:rFonts w:ascii="Cambria Math" w:hAnsi="Cambria Math"/>
                    </w:rPr>
                    <m:t>2</m:t>
                  </m:r>
                </m:sup>
              </m:sSubSup>
            </m:e>
          </m:d>
        </m:oMath>
      </m:oMathPara>
    </w:p>
    <w:p w14:paraId="0A98E5C0" w14:textId="77777777" w:rsidR="008F41C3" w:rsidRDefault="00000000">
      <w:pPr>
        <w:pStyle w:val="BodyText"/>
      </w:pPr>
      <w:r>
        <w:t xml:space="preserve">where bias in the SWHS harvest estimates </w:t>
      </w:r>
      <m:oMath>
        <m:sSub>
          <m:sSubPr>
            <m:ctrlPr>
              <w:rPr>
                <w:rFonts w:ascii="Cambria Math" w:hAnsi="Cambria Math"/>
              </w:rPr>
            </m:ctrlPr>
          </m:sSubPr>
          <m:e>
            <m:r>
              <w:rPr>
                <w:rFonts w:ascii="Cambria Math" w:hAnsi="Cambria Math"/>
              </w:rPr>
              <m:t>b</m:t>
            </m:r>
          </m:e>
          <m:sub>
            <m:r>
              <w:rPr>
                <w:rFonts w:ascii="Cambria Math" w:hAnsi="Cambria Math"/>
              </w:rPr>
              <m:t>H</m:t>
            </m:r>
          </m:sub>
        </m:sSub>
        <m:r>
          <w:rPr>
            <w:rFonts w:ascii="Cambria Math" w:hAnsi="Cambria Math"/>
          </w:rPr>
          <m:t>ay</m:t>
        </m:r>
      </m:oMath>
      <w:r>
        <w:t xml:space="preserve"> is modeled hierarchically across years as:</w:t>
      </w:r>
    </w:p>
    <w:p w14:paraId="26B2ABE0" w14:textId="77777777" w:rsidR="008F41C3" w:rsidRDefault="00000000">
      <w:pPr>
        <w:pStyle w:val="BodyText"/>
      </w:pPr>
      <m:oMathPara>
        <m:oMath>
          <m:sSub>
            <m:sSubPr>
              <m:ctrlPr>
                <w:rPr>
                  <w:rFonts w:ascii="Cambria Math" w:hAnsi="Cambria Math"/>
                </w:rPr>
              </m:ctrlPr>
            </m:sSubPr>
            <m:e>
              <m:r>
                <w:rPr>
                  <w:rFonts w:ascii="Cambria Math" w:hAnsi="Cambria Math"/>
                </w:rPr>
                <m:t>b</m:t>
              </m:r>
            </m:e>
            <m:sub>
              <m:r>
                <w:rPr>
                  <w:rFonts w:ascii="Cambria Math" w:hAnsi="Cambria Math"/>
                </w:rPr>
                <m:t>H</m:t>
              </m:r>
            </m:sub>
          </m:sSub>
          <m:r>
            <w:rPr>
              <w:rFonts w:ascii="Cambria Math" w:hAnsi="Cambria Math"/>
            </w:rPr>
            <m:t>ay 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H</m:t>
                  </m:r>
                </m:sub>
              </m:sSub>
              <m:d>
                <m:dPr>
                  <m:ctrlPr>
                    <w:rPr>
                      <w:rFonts w:ascii="Cambria Math" w:hAnsi="Cambria Math"/>
                    </w:rPr>
                  </m:ctrlPr>
                </m:dPr>
                <m:e>
                  <m:r>
                    <w:rPr>
                      <w:rFonts w:ascii="Cambria Math" w:hAnsi="Cambria Math"/>
                    </w:rPr>
                    <m:t>b</m:t>
                  </m:r>
                </m:e>
              </m:d>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H</m:t>
                  </m:r>
                </m:sub>
              </m:sSub>
              <m:d>
                <m:dPr>
                  <m:ctrlPr>
                    <w:rPr>
                      <w:rFonts w:ascii="Cambria Math" w:hAnsi="Cambria Math"/>
                    </w:rPr>
                  </m:ctrlPr>
                </m:dPr>
                <m:e>
                  <m:r>
                    <w:rPr>
                      <w:rFonts w:ascii="Cambria Math" w:hAnsi="Cambria Math"/>
                    </w:rPr>
                    <m:t>b</m:t>
                  </m:r>
                </m:e>
              </m:d>
              <m:r>
                <w:rPr>
                  <w:rFonts w:ascii="Cambria Math" w:hAnsi="Cambria Math"/>
                </w:rPr>
                <m:t>a</m:t>
              </m:r>
            </m:e>
          </m:d>
        </m:oMath>
      </m:oMathPara>
    </w:p>
    <w:p w14:paraId="2F7881E6" w14:textId="77777777" w:rsidR="008F41C3" w:rsidRDefault="00000000">
      <w:pPr>
        <w:pStyle w:val="BodyText"/>
      </w:pPr>
      <w:r>
        <w:t xml:space="preserve">with non-informative priors on both parameters (Table 2 PRIORS). SWHS estimates of guided angler harvest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ay1</m:t>
            </m:r>
          </m:sub>
          <m:sup>
            <m:r>
              <w:rPr>
                <w:rFonts w:ascii="Cambria Math" w:hAnsi="Cambria Math"/>
              </w:rPr>
              <m:t>SWHS</m:t>
            </m:r>
          </m:sup>
        </m:sSubSup>
      </m:oMath>
      <w:r>
        <w:t xml:space="preserve"> are thus related to total guided harvest by:</w:t>
      </w:r>
    </w:p>
    <w:p w14:paraId="3D1C2002" w14:textId="77777777" w:rsidR="008F41C3"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ay1</m:t>
              </m:r>
            </m:sub>
            <m:sup>
              <m:r>
                <w:rPr>
                  <w:rFonts w:ascii="Cambria Math" w:hAnsi="Cambria Math"/>
                </w:rPr>
                <m:t>SWHS</m:t>
              </m:r>
            </m:sup>
          </m:sSubSup>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m:rPr>
                  <m:nor/>
                </m:rPr>
                <m:t>log</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ay1</m:t>
                      </m:r>
                    </m:sub>
                  </m:sSub>
                  <m:sSub>
                    <m:sSubPr>
                      <m:ctrlPr>
                        <w:rPr>
                          <w:rFonts w:ascii="Cambria Math" w:hAnsi="Cambria Math"/>
                        </w:rPr>
                      </m:ctrlPr>
                    </m:sSubPr>
                    <m:e>
                      <m:r>
                        <w:rPr>
                          <w:rFonts w:ascii="Cambria Math" w:hAnsi="Cambria Math"/>
                        </w:rPr>
                        <m:t>b</m:t>
                      </m:r>
                    </m:e>
                    <m:sub>
                      <m:r>
                        <w:rPr>
                          <w:rFonts w:ascii="Cambria Math" w:hAnsi="Cambria Math"/>
                        </w:rPr>
                        <m:t>ay</m:t>
                      </m:r>
                    </m:sub>
                  </m:sSub>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ay1</m:t>
                      </m:r>
                    </m:sub>
                  </m:sSub>
                </m:sub>
                <m:sup>
                  <m:r>
                    <w:rPr>
                      <w:rFonts w:ascii="Cambria Math" w:hAnsi="Cambria Math"/>
                    </w:rPr>
                    <m:t>2</m:t>
                  </m:r>
                </m:sup>
              </m:sSubSup>
            </m:e>
          </m:d>
        </m:oMath>
      </m:oMathPara>
    </w:p>
    <w:p w14:paraId="7B04C331" w14:textId="77777777" w:rsidR="008F41C3" w:rsidRDefault="00000000">
      <w:pPr>
        <w:pStyle w:val="BodyText"/>
      </w:pPr>
      <w:r>
        <w:t xml:space="preserve">Reported guide logbook harvest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m:t>
            </m:r>
          </m:sub>
          <m:sup>
            <m:r>
              <w:rPr>
                <w:rFonts w:ascii="Cambria Math" w:hAnsi="Cambria Math"/>
              </w:rPr>
              <m:t>LB</m:t>
            </m:r>
          </m:sup>
        </m:sSubSup>
      </m:oMath>
      <w:r>
        <w:t xml:space="preserve"> are considered a census of the true harvest and is related to true harvest as:</w:t>
      </w:r>
    </w:p>
    <w:p w14:paraId="00C1202C" w14:textId="77777777" w:rsidR="008F41C3"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ay1</m:t>
                  </m:r>
                </m:sub>
              </m:sSub>
            </m:e>
          </m:d>
        </m:oMath>
      </m:oMathPara>
    </w:p>
    <w:p w14:paraId="0BFBE4B8" w14:textId="77777777" w:rsidR="008F41C3"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d>
                <m:dPr>
                  <m:ctrlPr>
                    <w:rPr>
                      <w:rFonts w:ascii="Cambria Math" w:hAnsi="Cambria Math"/>
                    </w:rPr>
                  </m:ctrlPr>
                </m:dPr>
                <m:e>
                  <m:r>
                    <w:rPr>
                      <w:rFonts w:ascii="Cambria Math" w:hAnsi="Cambria Math"/>
                    </w:rPr>
                    <m:t>pelagic</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ay1</m:t>
                  </m:r>
                </m:sub>
              </m:sSub>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ay1</m:t>
                  </m:r>
                </m:sub>
              </m:sSub>
            </m:e>
          </m:d>
        </m:oMath>
      </m:oMathPara>
    </w:p>
    <w:p w14:paraId="59822B2E" w14:textId="77777777" w:rsidR="008F41C3"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d>
                <m:dPr>
                  <m:ctrlPr>
                    <w:rPr>
                      <w:rFonts w:ascii="Cambria Math" w:hAnsi="Cambria Math"/>
                    </w:rPr>
                  </m:ctrlPr>
                </m:dPr>
                <m:e>
                  <m:r>
                    <w:rPr>
                      <w:rFonts w:ascii="Cambria Math" w:hAnsi="Cambria Math"/>
                    </w:rPr>
                    <m:t>yelloweye</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yelloweye</m:t>
                      </m:r>
                    </m:e>
                  </m:d>
                  <m:r>
                    <w:rPr>
                      <w:rFonts w:ascii="Cambria Math" w:hAnsi="Cambria Math"/>
                    </w:rPr>
                    <m:t>ay1</m:t>
                  </m:r>
                </m:sub>
              </m:sSub>
            </m:e>
          </m:d>
        </m:oMath>
      </m:oMathPara>
    </w:p>
    <w:p w14:paraId="71BF5BDD" w14:textId="77777777" w:rsidR="008F41C3"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ay1</m:t>
                  </m:r>
                </m:sub>
              </m:sSub>
            </m:e>
          </m:d>
        </m:oMath>
      </m:oMathPara>
    </w:p>
    <w:p w14:paraId="55340ED7" w14:textId="77777777" w:rsidR="008F41C3" w:rsidRDefault="00000000">
      <w:pPr>
        <w:pStyle w:val="BodyText"/>
      </w:pPr>
      <w:r>
        <w:t xml:space="preserve">Note that for Southcentral and Kodiak areas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ay1</m:t>
            </m:r>
          </m:sub>
        </m:sSub>
      </m:oMath>
      <w:r>
        <w:t xml:space="preserve"> is equal to the total harvest minus pelagic and yelloweye harvests. For Southeast areas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ay1</m:t>
            </m:r>
          </m:sub>
        </m:sSub>
      </m:oMath>
      <w:r>
        <w:t xml:space="preserve"> is also equal to the sum of the non-yelloweye DSR and slope harvests. Although yelloweye rockfish are technically part of the DSR complex, the DSR estimates in this report do not include yelloweye rockfish.</w:t>
      </w:r>
    </w:p>
    <w:p w14:paraId="492A3B20" w14:textId="77777777" w:rsidR="008F41C3" w:rsidRDefault="00000000">
      <w:pPr>
        <w:pStyle w:val="Heading3"/>
      </w:pPr>
      <w:bookmarkStart w:id="68" w:name="species-compositions-port-sampling"/>
      <w:bookmarkEnd w:id="67"/>
      <w:r>
        <w:t>Species Compositions (Port Sampling)</w:t>
      </w:r>
    </w:p>
    <w:p w14:paraId="742B1F7A" w14:textId="6BA56284" w:rsidR="008F41C3" w:rsidRDefault="00000000">
      <w:pPr>
        <w:pStyle w:val="FirstParagraph"/>
      </w:pPr>
      <w:r>
        <w:t xml:space="preserve">The number of pelagic rockfish sampled in </w:t>
      </w:r>
      <w:del w:id="69" w:author="Joy, Philip J (DFG)" w:date="2026-09-21T15:10:00Z" w16du:dateUtc="2026-09-21T23:10:00Z">
        <w:r w:rsidDel="004C19BF">
          <w:delText xml:space="preserve">harvest </w:delText>
        </w:r>
      </w:del>
      <w:ins w:id="70" w:author="Joy, Philip J (DFG)" w:date="2026-09-21T15:10:00Z" w16du:dateUtc="2026-09-21T23:10:00Z">
        <w:r w:rsidR="004C19BF">
          <w:t>port</w:t>
        </w:r>
        <w:r w:rsidR="004C19BF">
          <w:t xml:space="preserve"> </w:t>
        </w:r>
      </w:ins>
      <w:r>
        <w:t xml:space="preserve">sampling programs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pelagic</m:t>
                </m:r>
              </m:e>
            </m:d>
            <m:r>
              <w:rPr>
                <w:rFonts w:ascii="Cambria Math" w:hAnsi="Cambria Math"/>
              </w:rPr>
              <m:t>ayu</m:t>
            </m:r>
          </m:sub>
        </m:sSub>
      </m:oMath>
      <w:r>
        <w:t xml:space="preserve"> follow a binomial distribution relative to the true proportion of the harvest comprised of pelagic rockfish,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oMath>
      <w:r>
        <w:t xml:space="preserve"> in area </w:t>
      </w:r>
      <w:r>
        <w:rPr>
          <w:i/>
          <w:iCs/>
        </w:rPr>
        <w:t>a</w:t>
      </w:r>
      <w:r>
        <w:t xml:space="preserve">, year </w:t>
      </w:r>
      <w:r>
        <w:rPr>
          <w:i/>
          <w:iCs/>
        </w:rPr>
        <w:t>y</w:t>
      </w:r>
      <w:r>
        <w:t xml:space="preserve"> by user group </w:t>
      </w:r>
      <w:r>
        <w:rPr>
          <w:i/>
          <w:iCs/>
        </w:rPr>
        <w:t>u</w:t>
      </w:r>
      <w:r>
        <w:t>, such that:</w:t>
      </w:r>
    </w:p>
    <w:p w14:paraId="356377E4" w14:textId="77777777" w:rsidR="008F41C3"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pelagic</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ayu</m:t>
                  </m:r>
                </m:sub>
              </m:sSub>
            </m:e>
          </m:d>
        </m:oMath>
      </m:oMathPara>
    </w:p>
    <w:p w14:paraId="43FB474F" w14:textId="77777777" w:rsidR="008F41C3" w:rsidRDefault="00000000">
      <w:pPr>
        <w:pStyle w:val="BodyText"/>
      </w:pPr>
      <w:r>
        <w:t xml:space="preserve">where </w:t>
      </w:r>
      <m:oMath>
        <m:sSub>
          <m:sSubPr>
            <m:ctrlPr>
              <w:rPr>
                <w:rFonts w:ascii="Cambria Math" w:hAnsi="Cambria Math"/>
              </w:rPr>
            </m:ctrlPr>
          </m:sSubPr>
          <m:e>
            <m:r>
              <w:rPr>
                <w:rFonts w:ascii="Cambria Math" w:hAnsi="Cambria Math"/>
              </w:rPr>
              <m:t>N</m:t>
            </m:r>
          </m:e>
          <m:sub>
            <m:r>
              <w:rPr>
                <w:rFonts w:ascii="Cambria Math" w:hAnsi="Cambria Math"/>
              </w:rPr>
              <m:t>ayu</m:t>
            </m:r>
          </m:sub>
        </m:sSub>
      </m:oMath>
      <w:r>
        <w:t xml:space="preserve"> is the total number of rockfish sampled in area </w:t>
      </w:r>
      <m:oMath>
        <m:r>
          <w:rPr>
            <w:rFonts w:ascii="Cambria Math" w:hAnsi="Cambria Math"/>
          </w:rPr>
          <m:t>a</m:t>
        </m:r>
      </m:oMath>
      <w:r>
        <w:t xml:space="preserve"> during year </w:t>
      </w:r>
      <m:oMath>
        <m:r>
          <w:rPr>
            <w:rFonts w:ascii="Cambria Math" w:hAnsi="Cambria Math"/>
          </w:rPr>
          <m:t>y</m:t>
        </m:r>
      </m:oMath>
      <w:r>
        <w:t xml:space="preserve"> from user group </w:t>
      </w:r>
      <m:oMath>
        <m:r>
          <w:rPr>
            <w:rFonts w:ascii="Cambria Math" w:hAnsi="Cambria Math"/>
          </w:rPr>
          <m:t>u</m:t>
        </m:r>
      </m:oMath>
      <w:r>
        <w:t>. The number of black rockfish sampled in harvest sampling programs was thus a proportion of the pelagic harvests</w:t>
      </w:r>
    </w:p>
    <w:p w14:paraId="19EB879B" w14:textId="77777777" w:rsidR="008F41C3"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black</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e>
                  </m:d>
                  <m:r>
                    <w:rPr>
                      <w:rFonts w:ascii="Cambria Math" w:hAnsi="Cambria Math"/>
                    </w:rPr>
                    <m:t>ayu</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pel</m:t>
                  </m:r>
                </m:sup>
              </m:sSubSup>
            </m:e>
          </m:d>
        </m:oMath>
      </m:oMathPara>
    </w:p>
    <w:p w14:paraId="7BBDF9FB" w14:textId="77777777" w:rsidR="008F41C3" w:rsidRDefault="00000000">
      <w:pPr>
        <w:pStyle w:val="BodyText"/>
      </w:pPr>
      <w:r>
        <w:t xml:space="preserve">where </w:t>
      </w:r>
      <m:oMath>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pel</m:t>
            </m:r>
          </m:sup>
        </m:sSubSup>
      </m:oMath>
      <w:r>
        <w:t xml:space="preserve"> is the total number of pelagic rockfish. Yelloweye rockfish were modeled similarly as a proportion of the total number of non-pelagics such that</w:t>
      </w:r>
    </w:p>
    <w:p w14:paraId="422C069F" w14:textId="77777777" w:rsidR="008F41C3"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yello</m:t>
                  </m:r>
                  <m:sSub>
                    <m:sSubPr>
                      <m:ctrlPr>
                        <w:rPr>
                          <w:rFonts w:ascii="Cambria Math" w:hAnsi="Cambria Math"/>
                        </w:rPr>
                      </m:ctrlPr>
                    </m:sSubPr>
                    <m:e>
                      <m:r>
                        <w:rPr>
                          <w:rFonts w:ascii="Cambria Math" w:hAnsi="Cambria Math"/>
                        </w:rPr>
                        <m:t>w</m:t>
                      </m:r>
                    </m:e>
                    <m:sub>
                      <m:r>
                        <w:rPr>
                          <w:rFonts w:ascii="Cambria Math" w:hAnsi="Cambria Math"/>
                        </w:rPr>
                        <m:t>R2</m:t>
                      </m:r>
                    </m:sub>
                  </m:sSub>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yellow</m:t>
                      </m:r>
                    </m:e>
                  </m:d>
                  <m:r>
                    <w:rPr>
                      <w:rFonts w:ascii="Cambria Math" w:hAnsi="Cambria Math"/>
                    </w:rPr>
                    <m:t>ayu</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nonpel</m:t>
                  </m:r>
                </m:sup>
              </m:sSubSup>
            </m:e>
          </m:d>
        </m:oMath>
      </m:oMathPara>
    </w:p>
    <w:p w14:paraId="2E06E618" w14:textId="77777777" w:rsidR="008F41C3" w:rsidRDefault="00000000">
      <w:pPr>
        <w:pStyle w:val="BodyText"/>
      </w:pPr>
      <w:r>
        <w:t>Southeast areas have two other non-pelagic groupings such that non-yelloweye DSR and slope rockfish are a proportion of non-pelagics such that</w:t>
      </w:r>
    </w:p>
    <w:p w14:paraId="59B5E283" w14:textId="77777777" w:rsidR="008F41C3"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DSR</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DSR</m:t>
                      </m:r>
                    </m:e>
                  </m:d>
                  <m:r>
                    <w:rPr>
                      <w:rFonts w:ascii="Cambria Math" w:hAnsi="Cambria Math"/>
                    </w:rPr>
                    <m:t>ayu</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nonpel</m:t>
                  </m:r>
                </m:sup>
              </m:sSubSup>
            </m:e>
          </m:d>
        </m:oMath>
      </m:oMathPara>
    </w:p>
    <w:p w14:paraId="31BF937B" w14:textId="77777777" w:rsidR="008F41C3" w:rsidRDefault="00000000">
      <w:pPr>
        <w:pStyle w:val="BodyText"/>
      </w:pPr>
      <w:r>
        <w:t>and</w:t>
      </w:r>
    </w:p>
    <w:p w14:paraId="1D89B1FF" w14:textId="77777777" w:rsidR="008F41C3"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slope</m:t>
                      </m:r>
                    </m:e>
                  </m:d>
                  <m:r>
                    <w:rPr>
                      <w:rFonts w:ascii="Cambria Math" w:hAnsi="Cambria Math"/>
                    </w:rPr>
                    <m:t>ayu</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nonpel</m:t>
                  </m:r>
                </m:sup>
              </m:sSubSup>
            </m:e>
          </m:d>
        </m:oMath>
      </m:oMathPara>
    </w:p>
    <w:p w14:paraId="467E5515" w14:textId="77777777" w:rsidR="008F41C3" w:rsidRDefault="00000000">
      <w:pPr>
        <w:pStyle w:val="Heading3"/>
      </w:pPr>
      <w:bookmarkStart w:id="71" w:name="releases-1"/>
      <w:bookmarkEnd w:id="68"/>
      <w:r>
        <w:t>Releases</w:t>
      </w:r>
    </w:p>
    <w:p w14:paraId="7792F179" w14:textId="77777777" w:rsidR="008F41C3" w:rsidRDefault="00000000">
      <w:pPr>
        <w:pStyle w:val="FirstParagraph"/>
      </w:pPr>
      <w:r>
        <w:t xml:space="preserve">SWHS estimates of annual rockfish releases </w:t>
      </w: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SWHS</m:t>
            </m:r>
          </m:sup>
        </m:sSubSup>
      </m:oMath>
      <w:r>
        <w:t xml:space="preserve"> were assumed to index true releases similarly to harvests and were modeled such that</w:t>
      </w:r>
    </w:p>
    <w:p w14:paraId="5B46AFE8" w14:textId="77777777" w:rsidR="008F41C3"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SWHS</m:t>
              </m:r>
            </m:sup>
          </m:sSubSup>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m:rPr>
                  <m:nor/>
                </m:rPr>
                <m:t>log</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ay</m:t>
                      </m:r>
                    </m:sub>
                  </m:sSub>
                  <m:sSub>
                    <m:sSubPr>
                      <m:ctrlPr>
                        <w:rPr>
                          <w:rFonts w:ascii="Cambria Math" w:hAnsi="Cambria Math"/>
                        </w:rPr>
                      </m:ctrlPr>
                    </m:sSubPr>
                    <m:e>
                      <m:r>
                        <w:rPr>
                          <w:rFonts w:ascii="Cambria Math" w:hAnsi="Cambria Math"/>
                        </w:rPr>
                        <m:t>b</m:t>
                      </m:r>
                    </m:e>
                    <m:sub>
                      <m:r>
                        <w:rPr>
                          <w:rFonts w:ascii="Cambria Math" w:hAnsi="Cambria Math"/>
                        </w:rPr>
                        <m:t>R</m:t>
                      </m:r>
                    </m:sub>
                  </m:sSub>
                  <m:r>
                    <w:rPr>
                      <w:rFonts w:ascii="Cambria Math" w:hAnsi="Cambria Math"/>
                    </w:rPr>
                    <m:t>ay</m:t>
                  </m:r>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R</m:t>
                      </m:r>
                    </m:sub>
                  </m:sSub>
                  <m:r>
                    <w:rPr>
                      <w:rFonts w:ascii="Cambria Math" w:hAnsi="Cambria Math"/>
                    </w:rPr>
                    <m:t>ay</m:t>
                  </m:r>
                </m:sub>
                <m:sup>
                  <m:r>
                    <w:rPr>
                      <w:rFonts w:ascii="Cambria Math" w:hAnsi="Cambria Math"/>
                    </w:rPr>
                    <m:t>2</m:t>
                  </m:r>
                </m:sup>
              </m:sSubSup>
            </m:e>
          </m:d>
        </m:oMath>
      </m:oMathPara>
    </w:p>
    <w:p w14:paraId="41D74859" w14:textId="77777777" w:rsidR="008F41C3" w:rsidRDefault="00000000">
      <w:pPr>
        <w:pStyle w:val="BodyText"/>
      </w:pPr>
      <w:r>
        <w:t>SWHS estimates of guided angler releases assumed an independent bias from that of the harvests such that</w:t>
      </w:r>
    </w:p>
    <w:p w14:paraId="7AFF5BD7" w14:textId="77777777" w:rsidR="008F41C3" w:rsidRDefault="00000000">
      <w:pPr>
        <w:pStyle w:val="BodyText"/>
      </w:pPr>
      <m:oMathPara>
        <m:oMath>
          <m:sSub>
            <m:sSubPr>
              <m:ctrlPr>
                <w:rPr>
                  <w:rFonts w:ascii="Cambria Math" w:hAnsi="Cambria Math"/>
                </w:rPr>
              </m:ctrlPr>
            </m:sSubPr>
            <m:e>
              <m:r>
                <w:rPr>
                  <w:rFonts w:ascii="Cambria Math" w:hAnsi="Cambria Math"/>
                </w:rPr>
                <m:t>b</m:t>
              </m:r>
            </m:e>
            <m:sub>
              <m:r>
                <w:rPr>
                  <w:rFonts w:ascii="Cambria Math" w:hAnsi="Cambria Math"/>
                </w:rPr>
                <m:t>R</m:t>
              </m:r>
            </m:sub>
          </m:sSub>
          <m:r>
            <w:rPr>
              <w:rFonts w:ascii="Cambria Math" w:hAnsi="Cambria Math"/>
            </w:rPr>
            <m:t>ay 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R</m:t>
                  </m:r>
                </m:sub>
              </m:sSub>
              <m:d>
                <m:dPr>
                  <m:ctrlPr>
                    <w:rPr>
                      <w:rFonts w:ascii="Cambria Math" w:hAnsi="Cambria Math"/>
                    </w:rPr>
                  </m:ctrlPr>
                </m:dPr>
                <m:e>
                  <m:r>
                    <w:rPr>
                      <w:rFonts w:ascii="Cambria Math" w:hAnsi="Cambria Math"/>
                    </w:rPr>
                    <m:t>b</m:t>
                  </m:r>
                </m:e>
              </m:d>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R</m:t>
                  </m:r>
                </m:sub>
              </m:sSub>
              <m:d>
                <m:dPr>
                  <m:ctrlPr>
                    <w:rPr>
                      <w:rFonts w:ascii="Cambria Math" w:hAnsi="Cambria Math"/>
                    </w:rPr>
                  </m:ctrlPr>
                </m:dPr>
                <m:e>
                  <m:r>
                    <w:rPr>
                      <w:rFonts w:ascii="Cambria Math" w:hAnsi="Cambria Math"/>
                    </w:rPr>
                    <m:t>b</m:t>
                  </m:r>
                </m:e>
              </m:d>
              <m:r>
                <w:rPr>
                  <w:rFonts w:ascii="Cambria Math" w:hAnsi="Cambria Math"/>
                </w:rPr>
                <m:t>a</m:t>
              </m:r>
            </m:e>
          </m:d>
        </m:oMath>
      </m:oMathPara>
    </w:p>
    <w:p w14:paraId="31733B52" w14:textId="77777777" w:rsidR="008F41C3" w:rsidRDefault="00000000">
      <w:pPr>
        <w:pStyle w:val="BodyText"/>
      </w:pPr>
      <w:r>
        <w:t xml:space="preserve">where bias in the SWHS release estimates </w:t>
      </w:r>
      <m:oMath>
        <m:sSub>
          <m:sSubPr>
            <m:ctrlPr>
              <w:rPr>
                <w:rFonts w:ascii="Cambria Math" w:hAnsi="Cambria Math"/>
              </w:rPr>
            </m:ctrlPr>
          </m:sSubPr>
          <m:e>
            <m:r>
              <w:rPr>
                <w:rFonts w:ascii="Cambria Math" w:hAnsi="Cambria Math"/>
              </w:rPr>
              <m:t>b</m:t>
            </m:r>
          </m:e>
          <m:sub>
            <m:r>
              <w:rPr>
                <w:rFonts w:ascii="Cambria Math" w:hAnsi="Cambria Math"/>
              </w:rPr>
              <m:t>R</m:t>
            </m:r>
          </m:sub>
        </m:sSub>
        <m:r>
          <w:rPr>
            <w:rFonts w:ascii="Cambria Math" w:hAnsi="Cambria Math"/>
          </w:rPr>
          <m:t>ay</m:t>
        </m:r>
      </m:oMath>
      <w:r>
        <w:t xml:space="preserve"> is modeled hierarchically across years with non-informative priors on both parameters (Table 2 PRIORS).</w:t>
      </w:r>
    </w:p>
    <w:p w14:paraId="2CB78824" w14:textId="77777777" w:rsidR="008F41C3" w:rsidRDefault="00000000">
      <w:pPr>
        <w:pStyle w:val="BodyText"/>
      </w:pPr>
      <w:r>
        <w:t xml:space="preserve">Reported guide logbook releases </w:t>
      </w: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LB</m:t>
            </m:r>
          </m:sup>
        </m:sSubSup>
      </m:oMath>
      <w:r>
        <w:t xml:space="preserve"> are considered a census of the true releases and is related to true releases as:</w:t>
      </w:r>
    </w:p>
    <w:p w14:paraId="17EE8E45" w14:textId="77777777" w:rsidR="008F41C3"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ay1</m:t>
                  </m:r>
                </m:sub>
              </m:sSub>
            </m:e>
          </m:d>
        </m:oMath>
      </m:oMathPara>
    </w:p>
    <w:p w14:paraId="35D4A198" w14:textId="77777777" w:rsidR="008F41C3"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d>
                <m:dPr>
                  <m:ctrlPr>
                    <w:rPr>
                      <w:rFonts w:ascii="Cambria Math" w:hAnsi="Cambria Math"/>
                    </w:rPr>
                  </m:ctrlPr>
                </m:dPr>
                <m:e>
                  <m:r>
                    <w:rPr>
                      <w:rFonts w:ascii="Cambria Math" w:hAnsi="Cambria Math"/>
                    </w:rPr>
                    <m:t>pelagic</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ay1</m:t>
                  </m:r>
                </m:sub>
              </m:sSub>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ay1</m:t>
                  </m:r>
                </m:sub>
              </m:sSub>
            </m:e>
          </m:d>
        </m:oMath>
      </m:oMathPara>
    </w:p>
    <w:p w14:paraId="3948045C" w14:textId="77777777" w:rsidR="008F41C3"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d>
                <m:dPr>
                  <m:ctrlPr>
                    <w:rPr>
                      <w:rFonts w:ascii="Cambria Math" w:hAnsi="Cambria Math"/>
                    </w:rPr>
                  </m:ctrlPr>
                </m:dPr>
                <m:e>
                  <m:r>
                    <w:rPr>
                      <w:rFonts w:ascii="Cambria Math" w:hAnsi="Cambria Math"/>
                    </w:rPr>
                    <m:t>yelloweye</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yelloweye</m:t>
                      </m:r>
                    </m:e>
                  </m:d>
                  <m:r>
                    <w:rPr>
                      <w:rFonts w:ascii="Cambria Math" w:hAnsi="Cambria Math"/>
                    </w:rPr>
                    <m:t>ay1</m:t>
                  </m:r>
                </m:sub>
              </m:sSub>
            </m:e>
          </m:d>
        </m:oMath>
      </m:oMathPara>
    </w:p>
    <w:p w14:paraId="1ADC037C" w14:textId="77777777" w:rsidR="008F41C3"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ay1</m:t>
                  </m:r>
                </m:sub>
              </m:sSub>
            </m:e>
          </m:d>
        </m:oMath>
      </m:oMathPara>
    </w:p>
    <w:p w14:paraId="057E5928" w14:textId="77777777" w:rsidR="008F41C3" w:rsidRDefault="00000000">
      <w:pPr>
        <w:pStyle w:val="BodyText"/>
      </w:pPr>
      <w:r>
        <w:t xml:space="preserve">Releases are also related to harvests through the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quantity describing the proportion of landed fish that are retained and harvested by species, area, year and user. This quantity is informed by portside sampling and interviews where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the number of harvested rockfish of species </w:t>
      </w:r>
      <w:r>
        <w:rPr>
          <w:i/>
          <w:iCs/>
        </w:rPr>
        <w:t>comp</w:t>
      </w:r>
      <w:r>
        <w:t xml:space="preserve"> sampled dockside in area </w:t>
      </w:r>
      <w:r>
        <w:rPr>
          <w:i/>
          <w:iCs/>
        </w:rPr>
        <w:t>a</w:t>
      </w:r>
      <w:r>
        <w:t xml:space="preserve"> and year </w:t>
      </w:r>
      <w:r>
        <w:rPr>
          <w:i/>
          <w:iCs/>
        </w:rPr>
        <w:t>y</w:t>
      </w:r>
      <w:r>
        <w:t xml:space="preserve"> by user group </w:t>
      </w:r>
      <w:r>
        <w:rPr>
          <w:i/>
          <w:iCs/>
        </w:rPr>
        <w:t>u</w:t>
      </w:r>
      <w:r>
        <w:t xml:space="preserve">, and assumes a binomial distribution in relation to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such that</w:t>
      </w:r>
    </w:p>
    <w:p w14:paraId="5B2F1458" w14:textId="77777777" w:rsidR="008F41C3"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e>
          </m:d>
        </m:oMath>
      </m:oMathPara>
    </w:p>
    <w:p w14:paraId="382C5261" w14:textId="77777777" w:rsidR="008F41C3" w:rsidRDefault="00000000">
      <w:pPr>
        <w:pStyle w:val="BodyText"/>
      </w:pPr>
      <w:r>
        <w:t xml:space="preserve">where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the corresponding number of rockfish reported as released in portside angler interviews and when summed with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represents the total number landed of that species assemblage.</w:t>
      </w:r>
    </w:p>
    <w:p w14:paraId="176127FC" w14:textId="77777777" w:rsidR="008F41C3" w:rsidRDefault="00000000">
      <w:pPr>
        <w:pStyle w:val="BodyText"/>
      </w:pPr>
      <w:r>
        <w:t xml:space="preserve">Angler interview data in Southeast showed discrepancies in the number of “other” rockfish released relative to the numbers reported in charter logbooks. Southeast “other” rockfish are comprised of slope and DSR assemblages, both of which may contribute to these discrepancies.  To accommodate apparent overdispersion in the angler interview data for the slope and DSR assemblages a logistic-normal random effect was used to inflate the variance (Molenberghs et al. 2010; Kassahun et al. 2012) such that the observed probability of being harvested in the interview data, </w:t>
      </w:r>
      <m:oMath>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up>
            <m:r>
              <w:rPr>
                <w:rFonts w:ascii="Cambria Math" w:hAnsi="Cambria Math"/>
              </w:rPr>
              <m:t>int</m:t>
            </m:r>
          </m:sup>
        </m:sSubSup>
      </m:oMath>
      <w:r>
        <w:t xml:space="preserve">, relates to the true underlying probability of being harvested,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oMath>
      <w:r>
        <w:t>, with area-specific overdispersion such that</w:t>
      </w:r>
    </w:p>
    <w:p w14:paraId="0547B2BC" w14:textId="77777777" w:rsidR="008F41C3" w:rsidRDefault="00000000">
      <w:pPr>
        <w:pStyle w:val="BodyText"/>
      </w:pPr>
      <m:oMathPara>
        <m:oMath>
          <m:r>
            <m:rPr>
              <m:nor/>
            </m:rPr>
            <m:t>logit</m:t>
          </m:r>
          <m:d>
            <m:dPr>
              <m:ctrlPr>
                <w:rPr>
                  <w:rFonts w:ascii="Cambria Math" w:hAnsi="Cambria Math"/>
                </w:rPr>
              </m:ctrlPr>
            </m:dPr>
            <m:e>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up>
                  <m:r>
                    <w:rPr>
                      <w:rFonts w:ascii="Cambria Math" w:hAnsi="Cambria Math"/>
                    </w:rPr>
                    <m:t>int</m:t>
                  </m:r>
                </m:sup>
              </m:sSubSup>
            </m:e>
          </m:d>
          <m:r>
            <w:rPr>
              <w:rFonts w:ascii="Cambria Math" w:hAnsi="Cambria Math"/>
            </w:rPr>
            <m:t> </m:t>
          </m:r>
          <m:r>
            <m:rPr>
              <m:sty m:val="p"/>
            </m:rPr>
            <w:rPr>
              <w:rFonts w:ascii="Cambria Math" w:hAnsi="Cambria Math"/>
            </w:rPr>
            <m:t>=</m:t>
          </m:r>
          <m:r>
            <w:rPr>
              <w:rFonts w:ascii="Cambria Math" w:hAnsi="Cambria Math"/>
            </w:rPr>
            <m:t> </m:t>
          </m:r>
          <m:r>
            <m:rPr>
              <m:nor/>
            </m:rPr>
            <m:t>logit</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e>
          </m:d>
          <m:r>
            <m:rPr>
              <m:sty m:val="p"/>
            </m:rPr>
            <w:rPr>
              <w:rFonts w:ascii="Cambria Math" w:hAnsi="Cambria Math"/>
            </w:rPr>
            <m:t>+</m:t>
          </m:r>
          <m:sSub>
            <m:sSubPr>
              <m:ctrlPr>
                <w:rPr>
                  <w:rFonts w:ascii="Cambria Math" w:hAnsi="Cambria Math"/>
                </w:rPr>
              </m:ctrlPr>
            </m:sSubPr>
            <m:e>
              <m:r>
                <w:rPr>
                  <w:rFonts w:ascii="Cambria Math" w:hAnsi="Cambria Math"/>
                </w:rPr>
                <m:t>η</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oMath>
      </m:oMathPara>
    </w:p>
    <w:p w14:paraId="2AA09503" w14:textId="77777777" w:rsidR="008F41C3" w:rsidRDefault="00000000">
      <w:pPr>
        <w:pStyle w:val="BodyText"/>
      </w:pPr>
      <w:r>
        <w:t xml:space="preserve">where </w:t>
      </w:r>
      <m:oMath>
        <m:sSub>
          <m:sSubPr>
            <m:ctrlPr>
              <w:rPr>
                <w:rFonts w:ascii="Cambria Math" w:hAnsi="Cambria Math"/>
              </w:rPr>
            </m:ctrlPr>
          </m:sSubPr>
          <m:e>
            <m:r>
              <w:rPr>
                <w:rFonts w:ascii="Cambria Math" w:hAnsi="Cambria Math"/>
              </w:rPr>
              <m:t>η</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oMath>
      <w:r>
        <w:t xml:space="preserve"> is an area-specific random effect that compensates for overdisperion</w:t>
      </w:r>
    </w:p>
    <w:p w14:paraId="6D816F33" w14:textId="77777777" w:rsidR="008F41C3" w:rsidRDefault="00000000">
      <w:pPr>
        <w:pStyle w:val="BodyText"/>
      </w:pPr>
      <m:oMathPara>
        <m:oMath>
          <m:sSub>
            <m:sSubPr>
              <m:ctrlPr>
                <w:rPr>
                  <w:rFonts w:ascii="Cambria Math" w:hAnsi="Cambria Math"/>
                </w:rPr>
              </m:ctrlPr>
            </m:sSubPr>
            <m:e>
              <m:r>
                <w:rPr>
                  <w:rFonts w:ascii="Cambria Math" w:hAnsi="Cambria Math"/>
                </w:rPr>
                <m:t>η</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η</m:t>
                  </m:r>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e>
          </m:d>
        </m:oMath>
      </m:oMathPara>
    </w:p>
    <w:p w14:paraId="1993F2F0" w14:textId="77777777" w:rsidR="008F41C3" w:rsidRDefault="00000000">
      <w:pPr>
        <w:pStyle w:val="BodyText"/>
      </w:pPr>
      <w:r>
        <w:t xml:space="preserve">and </w:t>
      </w:r>
      <m:oMath>
        <m:sSub>
          <m:sSubPr>
            <m:ctrlPr>
              <w:rPr>
                <w:rFonts w:ascii="Cambria Math" w:hAnsi="Cambria Math"/>
              </w:rPr>
            </m:ctrlPr>
          </m:sSubPr>
          <m:e>
            <m:r>
              <w:rPr>
                <w:rFonts w:ascii="Cambria Math" w:hAnsi="Cambria Math"/>
              </w:rPr>
              <m:t>σ</m:t>
            </m:r>
          </m:e>
          <m:sub>
            <m:r>
              <w:rPr>
                <w:rFonts w:ascii="Cambria Math" w:hAnsi="Cambria Math"/>
              </w:rPr>
              <m:t>η</m:t>
            </m:r>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oMath>
      <w:r>
        <w:t xml:space="preserve"> was modelled with a uniform prior between 0 and 6, resulting in an adjusted binomial likelihood that accommodates the overdispersed probability as</w:t>
      </w:r>
    </w:p>
    <w:p w14:paraId="5BDB9AF5" w14:textId="77777777" w:rsidR="008F41C3"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up>
                  <m:r>
                    <w:rPr>
                      <w:rFonts w:ascii="Cambria Math" w:hAnsi="Cambria Math"/>
                    </w:rPr>
                    <m:t>int</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e>
          </m:d>
        </m:oMath>
      </m:oMathPara>
    </w:p>
    <w:p w14:paraId="12D48492" w14:textId="77777777" w:rsidR="008F41C3" w:rsidRDefault="00000000">
      <w:pPr>
        <w:pStyle w:val="BodyText"/>
      </w:pPr>
      <w:r>
        <w:t>Release estimates interact such that the model estimates of species-specific releases must sum to the bias corrected SWHS estimate of releases for both user groups such that</w:t>
      </w:r>
    </w:p>
    <w:p w14:paraId="7DEE872A" w14:textId="77777777" w:rsidR="008F41C3" w:rsidRDefault="00000000">
      <w:pPr>
        <w:pStyle w:val="BodyText"/>
      </w:pPr>
      <m:oMathPara>
        <m:oMath>
          <m:sSub>
            <m:sSubPr>
              <m:ctrlPr>
                <w:rPr>
                  <w:rFonts w:ascii="Cambria Math" w:hAnsi="Cambria Math"/>
                </w:rPr>
              </m:ctrlPr>
            </m:sSubPr>
            <m:e>
              <m:r>
                <w:rPr>
                  <w:rFonts w:ascii="Cambria Math" w:hAnsi="Cambria Math"/>
                </w:rPr>
                <m:t>R</m:t>
              </m:r>
            </m:e>
            <m:sub>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pelagic</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yelloweye</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pelagic</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yelloweye</m:t>
                  </m:r>
                </m:e>
              </m:d>
              <m:r>
                <w:rPr>
                  <w:rFonts w:ascii="Cambria Math" w:hAnsi="Cambria Math"/>
                </w:rPr>
                <m:t>ayu</m:t>
              </m:r>
            </m:sub>
          </m:sSub>
        </m:oMath>
      </m:oMathPara>
    </w:p>
    <w:p w14:paraId="42C443F4" w14:textId="77777777" w:rsidR="008F41C3" w:rsidRDefault="00000000">
      <w:pPr>
        <w:pStyle w:val="BodyText"/>
      </w:pPr>
      <w:r>
        <w:t>and for Southeast areas</w:t>
      </w:r>
    </w:p>
    <w:p w14:paraId="7E6FBE7B" w14:textId="77777777" w:rsidR="008F41C3" w:rsidRDefault="00000000">
      <w:pPr>
        <w:pStyle w:val="BodyText"/>
      </w:pPr>
      <m:oMathPara>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pelagic</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yelloweye</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DSR</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e>
              </m:d>
              <m:r>
                <w:rPr>
                  <w:rFonts w:ascii="Cambria Math" w:hAnsi="Cambria Math"/>
                </w:rPr>
                <m:t>ayu</m:t>
              </m:r>
            </m:sub>
          </m:sSub>
        </m:oMath>
      </m:oMathPara>
    </w:p>
    <w:p w14:paraId="1FEB6288" w14:textId="77777777" w:rsidR="008F41C3" w:rsidRDefault="00000000">
      <w:pPr>
        <w:pStyle w:val="BodyText"/>
      </w:pPr>
      <w:r>
        <w:t xml:space="preserve">Unguided release estimates by species thus reflect a balance of several information sources that include, 1) an estimate of all rockfish released by unguided anglers, </w:t>
      </w: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SWHS</m:t>
            </m:r>
          </m:sup>
        </m:sSubSup>
      </m:oMath>
      <w:r>
        <w:t xml:space="preserve">, 2) species specific estimates of unguided angler harvests,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3) species-specific retention probabilities of </w:t>
      </w:r>
      <w:r>
        <w:lastRenderedPageBreak/>
        <w:t xml:space="preserve">guided anglers as estimated from logbook data,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ay1</m:t>
            </m:r>
          </m:sub>
        </m:sSub>
      </m:oMath>
      <w:r>
        <w:t xml:space="preserve">, 4) portside sampling estimates of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for both user groups, and 5) the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ratios from the SWHS indicating unguided angler predilection for releasing fish relative to guided anglers. The portside interview data is the primary driver of unguided release estimates, but the other data sources and modelled interactions provide further information where interview data is limited or absent.</w:t>
      </w:r>
    </w:p>
    <w:p w14:paraId="242FB9F9" w14:textId="77777777" w:rsidR="008F41C3" w:rsidRDefault="00000000">
      <w:pPr>
        <w:pStyle w:val="Heading3"/>
      </w:pPr>
      <w:bookmarkStart w:id="72" w:name="weights"/>
      <w:bookmarkEnd w:id="71"/>
      <w:r>
        <w:t>Weights</w:t>
      </w:r>
    </w:p>
    <w:p w14:paraId="55FE52A2" w14:textId="77777777" w:rsidR="008F41C3" w:rsidRDefault="00000000">
      <w:pPr>
        <w:pStyle w:val="FirstParagraph"/>
      </w:pPr>
      <w:r>
        <w:t xml:space="preserve">The average weight of rockfish by species, user, area and year was modeled hierarchically at several levels within regions such that the average weight by species, area, year and user group </w:t>
      </w:r>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related to the average weight by area </w:t>
      </w:r>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which is related to the average weight by region </w:t>
      </w:r>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region</m:t>
            </m:r>
          </m:sub>
        </m:sSub>
      </m:oMath>
      <w:r>
        <w:t xml:space="preserve">, which is related to the average weight by species assemblage </w:t>
      </w:r>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oMath>
      <w:r>
        <w:t xml:space="preserve"> such that</w:t>
      </w:r>
    </w:p>
    <w:p w14:paraId="18B4EE24" w14:textId="77777777" w:rsidR="008F41C3" w:rsidRDefault="00000000">
      <w:pPr>
        <w:pStyle w:val="BodyText"/>
      </w:pPr>
      <m:oMathPara>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sub>
              </m:sSub>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sub>
              </m:sSub>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sub>
              </m:sSub>
            </m:e>
          </m:d>
        </m:oMath>
      </m:oMathPara>
    </w:p>
    <w:p w14:paraId="70209405" w14:textId="77777777" w:rsidR="008F41C3" w:rsidRDefault="00000000">
      <w:pPr>
        <w:pStyle w:val="BodyText"/>
      </w:pPr>
      <w:r>
        <w:t xml:space="preserve">where </w:t>
      </w:r>
      <w:r>
        <w:rPr>
          <w:i/>
          <w:iCs/>
        </w:rPr>
        <w:t>region</w:t>
      </w:r>
      <w:r>
        <w:t xml:space="preserve"> refers to Kodiak, Southcentral and Southeast, </w:t>
      </w:r>
      <m:oMath>
        <m:sSub>
          <m:sSubPr>
            <m:ctrlPr>
              <w:rPr>
                <w:rFonts w:ascii="Cambria Math" w:hAnsi="Cambria Math"/>
              </w:rPr>
            </m:ctrlPr>
          </m:sSubPr>
          <m:e>
            <m:r>
              <w:rPr>
                <w:rFonts w:ascii="Cambria Math" w:hAnsi="Cambria Math"/>
              </w:rPr>
              <m:t>σ</m:t>
            </m:r>
          </m:e>
          <m:sub>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sub>
        </m:sSub>
      </m:oMath>
      <w:r>
        <w:t xml:space="preserve"> is the variance of the weight for each species assemblage,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is an offset defining the difference in mean weights between user groups in each area and </w:t>
      </w:r>
      <w:r>
        <w:rPr>
          <w:i/>
          <w:iCs/>
        </w:rPr>
        <w:t>I</w:t>
      </w:r>
      <w:r>
        <w:t xml:space="preserve"> is an index variable which is 1 when the user group is private and 0 when it is guided. The prior for the species mean weight was centered on the mean of the data and corresponding variance and standard deviation.</w:t>
      </w:r>
    </w:p>
    <w:p w14:paraId="2CDB85D2" w14:textId="77777777" w:rsidR="008F41C3" w:rsidRDefault="00000000">
      <w:pPr>
        <w:pStyle w:val="BodyText"/>
      </w:pPr>
      <w:r>
        <w:t xml:space="preserve">The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was modeled hierarchically at the regional level such that</w:t>
      </w:r>
    </w:p>
    <w:p w14:paraId="7CA98275" w14:textId="77777777" w:rsidR="008F41C3" w:rsidRDefault="00000000">
      <w:pPr>
        <w:pStyle w:val="BodyText"/>
      </w:pPr>
      <m:oMathPara>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sub>
              </m:sSub>
            </m:e>
          </m:d>
        </m:oMath>
      </m:oMathPara>
    </w:p>
    <w:p w14:paraId="0DFEB30D" w14:textId="77777777" w:rsidR="008F41C3" w:rsidRDefault="00000000">
      <w:pPr>
        <w:pStyle w:val="BodyText"/>
      </w:pPr>
      <w:r>
        <w:t xml:space="preserve">where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oMath>
      <w:r>
        <w:t xml:space="preserve"> was given a weak prior centered around 0 and </w:t>
      </w:r>
      <m:oMath>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sub>
        </m:sSub>
      </m:oMath>
      <w:r>
        <w:t xml:space="preserve"> was given an uninformative uniform prior between 0 and 5. Because the Kodiak region only has weight data from the Northeast CFMU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oMath>
      <w:r>
        <w:t xml:space="preserve"> was used in lieu of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in equation XX above.</w:t>
      </w:r>
    </w:p>
    <w:p w14:paraId="7F27A69A" w14:textId="77777777" w:rsidR="008F41C3" w:rsidRDefault="00000000">
      <w:pPr>
        <w:pStyle w:val="BodyText"/>
      </w:pPr>
      <w:r>
        <w:t>Observed mean weights assume a normal distribution such that</w:t>
      </w:r>
    </w:p>
    <w:p w14:paraId="2F2F5A95" w14:textId="77777777" w:rsidR="008F41C3" w:rsidRDefault="00000000">
      <w:pPr>
        <w:pStyle w:val="BodyText"/>
      </w:pPr>
      <m:oMathPara>
        <m:oMath>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sub>
              </m:sSub>
            </m:e>
          </m:d>
        </m:oMath>
      </m:oMathPara>
    </w:p>
    <w:p w14:paraId="46B2CAB0" w14:textId="77777777" w:rsidR="008F41C3" w:rsidRDefault="00000000">
      <w:pPr>
        <w:pStyle w:val="BodyText"/>
      </w:pPr>
      <w:r>
        <w:t xml:space="preserve">where </w:t>
      </w:r>
      <m:oMath>
        <m:sSub>
          <m:sSubPr>
            <m:ctrlPr>
              <w:rPr>
                <w:rFonts w:ascii="Cambria Math" w:hAnsi="Cambria Math"/>
              </w:rPr>
            </m:ctrlPr>
          </m:sSubPr>
          <m:e>
            <m:r>
              <w:rPr>
                <w:rFonts w:ascii="Cambria Math" w:hAnsi="Cambria Math"/>
              </w:rPr>
              <m:t>σ</m:t>
            </m:r>
          </m:e>
          <m:sub>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sub>
        </m:sSub>
      </m:oMath>
      <w:r>
        <w:t xml:space="preserve"> is the bootstrapped variance of the mean in Southcentral and Kodiak regions or the 4-stage estimate used in the Southeast region.</w:t>
      </w:r>
    </w:p>
    <w:p w14:paraId="5416A37E" w14:textId="77777777" w:rsidR="008F41C3" w:rsidRDefault="00000000">
      <w:pPr>
        <w:pStyle w:val="Heading3"/>
      </w:pPr>
      <w:bookmarkStart w:id="73" w:name="X80429dd3efbff01d1a40e42b33042e32d99ec3c"/>
      <w:bookmarkEnd w:id="72"/>
      <w:r>
        <w:t>Kodiak Stereoscopic Species Apportionment</w:t>
      </w:r>
    </w:p>
    <w:p w14:paraId="038B05A6" w14:textId="77777777" w:rsidR="008F41C3" w:rsidRDefault="00000000">
      <w:pPr>
        <w:pStyle w:val="FirstParagraph"/>
      </w:pPr>
      <w:r>
        <w:t>Kodiak has limited port sampling beyond the main harbors but has a robust hydroacoustic survey that is used to quantify black rockfish abundance across the management area and uses stereocameras to define the species compositions of the hydroacoustic based fish counts (Tscherisch et al. 2023). This data was used as supplementary data to further inform the model on the proportion of pelagic rockfish that are black in Kodiak areas. Where angler landing data is available, they demonstrate a higher proportion of black rockfish relative to the hydroacoustic survey and thus the predicted proportion of black rockfish in the hydroacoustic sample related to the true proportion such that</w:t>
      </w:r>
    </w:p>
    <w:p w14:paraId="076461DD" w14:textId="77777777" w:rsidR="008F41C3"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au</m:t>
              </m:r>
            </m:sub>
          </m:sSub>
        </m:oMath>
      </m:oMathPara>
    </w:p>
    <w:p w14:paraId="310B035F" w14:textId="77777777" w:rsidR="008F41C3" w:rsidRDefault="00000000">
      <w:pPr>
        <w:pStyle w:val="BodyText"/>
      </w:pPr>
      <w:r>
        <w:t xml:space="preserve">where </w:t>
      </w:r>
      <m:oMath>
        <m:sSub>
          <m:sSubPr>
            <m:ctrlPr>
              <w:rPr>
                <w:rFonts w:ascii="Cambria Math" w:hAnsi="Cambria Math"/>
              </w:rPr>
            </m:ctrlPr>
          </m:sSubPr>
          <m:e>
            <m:r>
              <w:rPr>
                <w:rFonts w:ascii="Cambria Math" w:hAnsi="Cambria Math"/>
              </w:rPr>
              <m:t>ψ</m:t>
            </m:r>
          </m:e>
          <m:sub>
            <m:r>
              <w:rPr>
                <w:rFonts w:ascii="Cambria Math" w:hAnsi="Cambria Math"/>
              </w:rPr>
              <m:t>au</m:t>
            </m:r>
          </m:sub>
        </m:sSub>
      </m:oMath>
      <w:r>
        <w:t xml:space="preserve"> is the angler effect for each area and user group modeled hierarchically around a mean of 0. Predicted </w:t>
      </w:r>
      <m:oMath>
        <m:sSubSup>
          <m:sSubSupPr>
            <m:ctrlPr>
              <w:rPr>
                <w:rFonts w:ascii="Cambria Math" w:hAnsi="Cambria Math"/>
              </w:rPr>
            </m:ctrlPr>
          </m:sSubSup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oMath>
      <w:r>
        <w:t xml:space="preserve"> assumed a beta distribution such that</w:t>
      </w:r>
    </w:p>
    <w:p w14:paraId="0E8D342C" w14:textId="77777777" w:rsidR="008F41C3" w:rsidRDefault="00000000">
      <w:pPr>
        <w:pStyle w:val="BodyText"/>
      </w:pPr>
      <m:oMathPara>
        <m:oMath>
          <m:sSubSup>
            <m:sSubSupPr>
              <m:ctrlPr>
                <w:rPr>
                  <w:rFonts w:ascii="Cambria Math" w:hAnsi="Cambria Math"/>
                </w:rPr>
              </m:ctrlPr>
            </m:sSubSup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w:rPr>
              <w:rFonts w:ascii="Cambria Math" w:hAnsi="Cambria Math"/>
            </w:rPr>
            <m:t> </m:t>
          </m:r>
          <m:r>
            <m:rPr>
              <m:sty m:val="p"/>
            </m:rPr>
            <w:rPr>
              <w:rFonts w:ascii="Cambria Math" w:hAnsi="Cambria Math"/>
            </w:rPr>
            <m:t>∼</m:t>
          </m:r>
          <m:r>
            <w:rPr>
              <w:rFonts w:ascii="Cambria Math" w:hAnsi="Cambria Math"/>
            </w:rPr>
            <m:t> beta</m:t>
          </m:r>
          <m:d>
            <m:dPr>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ha</m:t>
                  </m:r>
                </m:sup>
              </m:sSup>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ha</m:t>
                  </m:r>
                </m:sup>
              </m:sSup>
            </m:e>
          </m:d>
        </m:oMath>
      </m:oMathPara>
    </w:p>
    <w:p w14:paraId="5A173B99" w14:textId="77777777" w:rsidR="008F41C3" w:rsidRDefault="00000000">
      <w:pPr>
        <w:pStyle w:val="BodyText"/>
      </w:pPr>
      <w:r>
        <w:t>where</w:t>
      </w:r>
    </w:p>
    <w:p w14:paraId="48563E97" w14:textId="77777777" w:rsidR="008F41C3" w:rsidRDefault="00000000">
      <w:pPr>
        <w:pStyle w:val="BodyText"/>
      </w:pPr>
      <m:oMathPara>
        <m:oMath>
          <m:sSup>
            <m:sSupPr>
              <m:ctrlPr>
                <w:rPr>
                  <w:rFonts w:ascii="Cambria Math" w:hAnsi="Cambria Math"/>
                </w:rPr>
              </m:ctrlPr>
            </m:sSupPr>
            <m:e>
              <m:r>
                <w:rPr>
                  <w:rFonts w:ascii="Cambria Math" w:hAnsi="Cambria Math"/>
                </w:rPr>
                <m:t>α</m:t>
              </m:r>
            </m:e>
            <m:sup>
              <m:r>
                <w:rPr>
                  <w:rFonts w:ascii="Cambria Math" w:hAnsi="Cambria Math"/>
                </w:rPr>
                <m:t>ha</m:t>
              </m:r>
            </m:sup>
          </m:sSup>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num>
            <m:den>
              <m:f>
                <m:fPr>
                  <m:ctrlPr>
                    <w:rPr>
                      <w:rFonts w:ascii="Cambria Math" w:hAnsi="Cambria Math"/>
                    </w:rPr>
                  </m:ctrlPr>
                </m:fPr>
                <m:num>
                  <m:r>
                    <w:rPr>
                      <w:rFonts w:ascii="Cambria Math" w:hAnsi="Cambria Math"/>
                    </w:rPr>
                    <m:t>va</m:t>
                  </m:r>
                  <m:sSub>
                    <m:sSubPr>
                      <m:ctrlPr>
                        <w:rPr>
                          <w:rFonts w:ascii="Cambria Math" w:hAnsi="Cambria Math"/>
                        </w:rPr>
                      </m:ctrlPr>
                    </m:sSubPr>
                    <m:e>
                      <m:r>
                        <w:rPr>
                          <w:rFonts w:ascii="Cambria Math" w:hAnsi="Cambria Math"/>
                        </w:rPr>
                        <m:t>r</m:t>
                      </m:r>
                    </m:e>
                    <m:sub>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ha</m:t>
                          </m:r>
                        </m:sub>
                      </m:sSub>
                    </m:sub>
                  </m:sSub>
                  <m:r>
                    <m:rPr>
                      <m:sty m:val="p"/>
                    </m:rPr>
                    <w:rPr>
                      <w:rFonts w:ascii="Cambria Math" w:hAnsi="Cambria Math"/>
                    </w:rPr>
                    <m:t>-</m:t>
                  </m:r>
                  <m:r>
                    <w:rPr>
                      <w:rFonts w:ascii="Cambria Math" w:hAnsi="Cambria Math"/>
                    </w:rPr>
                    <m:t>1</m:t>
                  </m:r>
                </m:num>
                <m:den>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den>
              </m:f>
            </m:den>
          </m:f>
          <m:r>
            <m:rPr>
              <m:sty m:val="p"/>
            </m:rPr>
            <w:rPr>
              <w:rFonts w:ascii="Cambria Math" w:hAnsi="Cambria Math"/>
            </w:rPr>
            <m:t>,</m:t>
          </m:r>
        </m:oMath>
      </m:oMathPara>
    </w:p>
    <w:p w14:paraId="2FABF0D0" w14:textId="77777777" w:rsidR="008F41C3" w:rsidRDefault="00000000">
      <w:pPr>
        <w:pStyle w:val="BodyText"/>
      </w:pPr>
      <m:oMathPara>
        <m:oMath>
          <m:sSup>
            <m:sSupPr>
              <m:ctrlPr>
                <w:rPr>
                  <w:rFonts w:ascii="Cambria Math" w:hAnsi="Cambria Math"/>
                </w:rPr>
              </m:ctrlPr>
            </m:sSupPr>
            <m:e>
              <m:r>
                <w:rPr>
                  <w:rFonts w:ascii="Cambria Math" w:hAnsi="Cambria Math"/>
                </w:rPr>
                <m:t>β</m:t>
              </m:r>
            </m:e>
            <m:sup>
              <m:r>
                <w:rPr>
                  <w:rFonts w:ascii="Cambria Math" w:hAnsi="Cambria Math"/>
                </w:rPr>
                <m:t>ha</m:t>
              </m:r>
            </m:sup>
          </m:sSup>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ha</m:t>
                  </m:r>
                </m:sup>
              </m:sSup>
            </m:e>
          </m:d>
          <m:r>
            <m:rPr>
              <m:sty m:val="p"/>
            </m:rP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m:rPr>
                  <m:sty m:val="p"/>
                </m:rPr>
                <w:rPr>
                  <w:rFonts w:ascii="Cambria Math" w:hAnsi="Cambria Math"/>
                </w:rPr>
                <m:t>-</m:t>
              </m:r>
              <m:r>
                <w:rPr>
                  <w:rFonts w:ascii="Cambria Math" w:hAnsi="Cambria Math"/>
                </w:rPr>
                <m:t>1</m:t>
              </m:r>
            </m:den>
          </m:f>
          <m:r>
            <m:rPr>
              <m:sty m:val="p"/>
            </m:rPr>
            <w:rPr>
              <w:rFonts w:ascii="Cambria Math" w:hAnsi="Cambria Math"/>
            </w:rPr>
            <m:t>,</m:t>
          </m:r>
        </m:oMath>
      </m:oMathPara>
    </w:p>
    <w:p w14:paraId="724219C0" w14:textId="77777777" w:rsidR="008F41C3" w:rsidRDefault="00000000">
      <w:pPr>
        <w:pStyle w:val="BodyText"/>
      </w:pPr>
      <m:oMathPara>
        <m:oMath>
          <m:r>
            <w:rPr>
              <w:rFonts w:ascii="Cambria Math" w:hAnsi="Cambria Math"/>
            </w:rPr>
            <m:t>va</m:t>
          </m:r>
          <m:sSub>
            <m:sSubPr>
              <m:ctrlPr>
                <w:rPr>
                  <w:rFonts w:ascii="Cambria Math" w:hAnsi="Cambria Math"/>
                </w:rPr>
              </m:ctrlPr>
            </m:sSubPr>
            <m:e>
              <m:r>
                <w:rPr>
                  <w:rFonts w:ascii="Cambria Math" w:hAnsi="Cambria Math"/>
                </w:rPr>
                <m:t>r</m:t>
              </m:r>
            </m:e>
            <m:sub>
              <m:sSup>
                <m:sSupPr>
                  <m:ctrlPr>
                    <w:rPr>
                      <w:rFonts w:ascii="Cambria Math" w:hAnsi="Cambria Math"/>
                    </w:rPr>
                  </m:ctrlPr>
                </m:sSupPr>
                <m:e>
                  <m:acc>
                    <m:accPr>
                      <m:ctrlPr>
                        <w:rPr>
                          <w:rFonts w:ascii="Cambria Math" w:hAnsi="Cambria Math"/>
                        </w:rPr>
                      </m:ctrlPr>
                    </m:accPr>
                    <m:e>
                      <m:r>
                        <w:rPr>
                          <w:rFonts w:ascii="Cambria Math" w:hAnsi="Cambria Math"/>
                        </w:rPr>
                        <m:t>P</m:t>
                      </m:r>
                    </m:e>
                  </m:acc>
                </m:e>
                <m:sup>
                  <m:r>
                    <w:rPr>
                      <w:rFonts w:ascii="Cambria Math" w:hAnsi="Cambria Math"/>
                    </w:rPr>
                    <m:t>ha</m:t>
                  </m:r>
                </m:sup>
              </m:sSup>
            </m:sub>
          </m:sSub>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m:rPr>
                      <m:sty m:val="p"/>
                    </m:rPr>
                    <w:rPr>
                      <w:rFonts w:ascii="Cambria Math" w:hAnsi="Cambria Math"/>
                    </w:rPr>
                    <m:t>*</m:t>
                  </m:r>
                  <m:r>
                    <w:rPr>
                      <w:rFonts w:ascii="Cambria Math" w:hAnsi="Cambria Math"/>
                    </w:rPr>
                    <m:t>cv</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e>
              </m:d>
            </m:e>
            <m:sup>
              <m:r>
                <w:rPr>
                  <w:rFonts w:ascii="Cambria Math" w:hAnsi="Cambria Math"/>
                </w:rPr>
                <m:t>2</m:t>
              </m:r>
            </m:sup>
          </m:sSup>
        </m:oMath>
      </m:oMathPara>
    </w:p>
    <w:p w14:paraId="6CE2D1CF" w14:textId="77777777" w:rsidR="008F41C3" w:rsidRDefault="00000000">
      <w:pPr>
        <w:pStyle w:val="BodyText"/>
      </w:pPr>
      <w:r>
        <w:t xml:space="preserve">where </w:t>
      </w:r>
      <m:oMath>
        <m:r>
          <w:rPr>
            <w:rFonts w:ascii="Cambria Math" w:hAnsi="Cambria Math"/>
          </w:rPr>
          <m:t>cv</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oMath>
      <w:r>
        <w:t xml:space="preserve"> is the coefficient of variation for the observed hydroacoustic proportions</w:t>
      </w:r>
    </w:p>
    <w:p w14:paraId="5497E42A" w14:textId="77777777" w:rsidR="008F41C3" w:rsidRDefault="00000000">
      <w:pPr>
        <w:pStyle w:val="BodyText"/>
      </w:pPr>
      <m:oMathPara>
        <m:oMath>
          <m:r>
            <w:rPr>
              <w:rFonts w:ascii="Cambria Math" w:hAnsi="Cambria Math"/>
            </w:rPr>
            <m:t>cv</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ad>
                <m:radPr>
                  <m:degHide m:val="1"/>
                  <m:ctrlPr>
                    <w:rPr>
                      <w:rFonts w:ascii="Cambria Math" w:hAnsi="Cambria Math"/>
                    </w:rPr>
                  </m:ctrlPr>
                </m:radPr>
                <m:deg/>
                <m:e>
                  <m:r>
                    <w:rPr>
                      <w:rFonts w:ascii="Cambria Math" w:hAnsi="Cambria Math"/>
                    </w:rPr>
                    <m:t>var</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e>
              </m:rad>
            </m:num>
            <m:den>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den>
          </m:f>
        </m:oMath>
      </m:oMathPara>
    </w:p>
    <w:p w14:paraId="621903BC" w14:textId="77777777" w:rsidR="008F41C3" w:rsidRDefault="00000000">
      <w:pPr>
        <w:pStyle w:val="BodyText"/>
      </w:pPr>
      <w:r>
        <w:t>and the variance is approximated using the delta method (Casella and Berger 2002) as</w:t>
      </w:r>
    </w:p>
    <w:p w14:paraId="74B13363" w14:textId="77777777" w:rsidR="008F41C3" w:rsidRDefault="00000000">
      <w:pPr>
        <w:pStyle w:val="BodyText"/>
      </w:pPr>
      <m:oMathPara>
        <m:oMath>
          <m:r>
            <w:rPr>
              <w:rFonts w:ascii="Cambria Math" w:hAnsi="Cambria Math"/>
            </w:rPr>
            <m:t>var</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pel</m:t>
                          </m:r>
                        </m:sub>
                      </m:sSub>
                    </m:den>
                  </m:f>
                </m:e>
              </m:d>
            </m:e>
            <m:sup>
              <m:r>
                <w:rPr>
                  <w:rFonts w:ascii="Cambria Math" w:hAnsi="Cambria Math"/>
                </w:rPr>
                <m:t>2</m:t>
              </m:r>
            </m:sup>
          </m:sSup>
          <m:r>
            <m:rPr>
              <m:sty m:val="p"/>
            </m:rPr>
            <w:rPr>
              <w:rFonts w:ascii="Cambria Math" w:hAnsi="Cambria Math"/>
            </w:rPr>
            <m:t>*</m:t>
          </m:r>
          <m:r>
            <w:rPr>
              <w:rFonts w:ascii="Cambria Math" w:hAnsi="Cambria Math"/>
            </w:rPr>
            <m:t>var</m:t>
          </m:r>
          <m:sSubSup>
            <m:sSubSupPr>
              <m:ctrlPr>
                <w:rPr>
                  <w:rFonts w:ascii="Cambria Math" w:hAnsi="Cambria Math"/>
                </w:rPr>
              </m:ctrlPr>
            </m:sSubSupPr>
            <m:e>
              <m:r>
                <w:rPr>
                  <w:rFonts w:ascii="Cambria Math" w:hAnsi="Cambria Math"/>
                </w:rPr>
                <m:t>N</m:t>
              </m:r>
            </m:e>
            <m:sub>
              <m:r>
                <w:rPr>
                  <w:rFonts w:ascii="Cambria Math" w:hAnsi="Cambria Math"/>
                </w:rPr>
                <m:t>black</m:t>
              </m:r>
            </m:sub>
            <m:sup>
              <m:r>
                <w:rPr>
                  <w:rFonts w:ascii="Cambria Math" w:hAnsi="Cambria Math"/>
                </w:rPr>
                <m:t>ha</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black</m:t>
                          </m:r>
                        </m:sub>
                      </m:sSub>
                    </m:num>
                    <m:den>
                      <m:sSubSup>
                        <m:sSubSupPr>
                          <m:ctrlPr>
                            <w:rPr>
                              <w:rFonts w:ascii="Cambria Math" w:hAnsi="Cambria Math"/>
                            </w:rPr>
                          </m:ctrlPr>
                        </m:sSubSupPr>
                        <m:e>
                          <m:r>
                            <w:rPr>
                              <w:rFonts w:ascii="Cambria Math" w:hAnsi="Cambria Math"/>
                            </w:rPr>
                            <m:t>n</m:t>
                          </m:r>
                        </m:e>
                        <m:sub>
                          <m:r>
                            <w:rPr>
                              <w:rFonts w:ascii="Cambria Math" w:hAnsi="Cambria Math"/>
                            </w:rPr>
                            <m:t>pel</m:t>
                          </m:r>
                        </m:sub>
                        <m:sup>
                          <m:r>
                            <w:rPr>
                              <w:rFonts w:ascii="Cambria Math" w:hAnsi="Cambria Math"/>
                            </w:rPr>
                            <m:t>2</m:t>
                          </m:r>
                        </m:sup>
                      </m:sSubSup>
                    </m:den>
                  </m:f>
                </m:e>
              </m:d>
            </m:e>
            <m:sup>
              <m:r>
                <w:rPr>
                  <w:rFonts w:ascii="Cambria Math" w:hAnsi="Cambria Math"/>
                </w:rPr>
                <m:t>2</m:t>
              </m:r>
            </m:sup>
          </m:sSup>
          <m:r>
            <m:rPr>
              <m:sty m:val="p"/>
            </m:rPr>
            <w:rPr>
              <w:rFonts w:ascii="Cambria Math" w:hAnsi="Cambria Math"/>
            </w:rPr>
            <m:t>*</m:t>
          </m:r>
          <m:r>
            <w:rPr>
              <w:rFonts w:ascii="Cambria Math" w:hAnsi="Cambria Math"/>
            </w:rPr>
            <m:t>var</m:t>
          </m:r>
          <m:sSubSup>
            <m:sSubSupPr>
              <m:ctrlPr>
                <w:rPr>
                  <w:rFonts w:ascii="Cambria Math" w:hAnsi="Cambria Math"/>
                </w:rPr>
              </m:ctrlPr>
            </m:sSubSupPr>
            <m:e>
              <m:r>
                <w:rPr>
                  <w:rFonts w:ascii="Cambria Math" w:hAnsi="Cambria Math"/>
                </w:rPr>
                <m:t>N</m:t>
              </m:r>
            </m:e>
            <m:sub>
              <m:r>
                <w:rPr>
                  <w:rFonts w:ascii="Cambria Math" w:hAnsi="Cambria Math"/>
                </w:rPr>
                <m:t>pel</m:t>
              </m:r>
            </m:sub>
            <m:sup>
              <m:r>
                <w:rPr>
                  <w:rFonts w:ascii="Cambria Math" w:hAnsi="Cambria Math"/>
                </w:rPr>
                <m:t>ha</m:t>
              </m:r>
            </m:sup>
          </m:sSubSup>
        </m:oMath>
      </m:oMathPara>
    </w:p>
    <w:p w14:paraId="4D0D52FA" w14:textId="77777777" w:rsidR="008F41C3" w:rsidRDefault="00000000">
      <w:pPr>
        <w:pStyle w:val="BodyText"/>
      </w:pPr>
      <w:r>
        <w:t xml:space="preserve">where </w:t>
      </w:r>
      <m:oMath>
        <m:r>
          <w:rPr>
            <w:rFonts w:ascii="Cambria Math" w:hAnsi="Cambria Math"/>
          </w:rPr>
          <m:t>var</m:t>
        </m:r>
        <m:sSubSup>
          <m:sSubSupPr>
            <m:ctrlPr>
              <w:rPr>
                <w:rFonts w:ascii="Cambria Math" w:hAnsi="Cambria Math"/>
              </w:rPr>
            </m:ctrlPr>
          </m:sSubSupPr>
          <m:e>
            <m:r>
              <w:rPr>
                <w:rFonts w:ascii="Cambria Math" w:hAnsi="Cambria Math"/>
              </w:rPr>
              <m:t>N</m:t>
            </m:r>
          </m:e>
          <m:sub>
            <m:r>
              <w:rPr>
                <w:rFonts w:ascii="Cambria Math" w:hAnsi="Cambria Math"/>
              </w:rPr>
              <m:t>black</m:t>
            </m:r>
          </m:sub>
          <m:sup>
            <m:r>
              <w:rPr>
                <w:rFonts w:ascii="Cambria Math" w:hAnsi="Cambria Math"/>
              </w:rPr>
              <m:t>ha</m:t>
            </m:r>
          </m:sup>
        </m:sSubSup>
      </m:oMath>
      <w:r>
        <w:t xml:space="preserve"> and </w:t>
      </w:r>
      <m:oMath>
        <m:r>
          <w:rPr>
            <w:rFonts w:ascii="Cambria Math" w:hAnsi="Cambria Math"/>
          </w:rPr>
          <m:t>var</m:t>
        </m:r>
        <m:sSubSup>
          <m:sSubSupPr>
            <m:ctrlPr>
              <w:rPr>
                <w:rFonts w:ascii="Cambria Math" w:hAnsi="Cambria Math"/>
              </w:rPr>
            </m:ctrlPr>
          </m:sSubSupPr>
          <m:e>
            <m:r>
              <w:rPr>
                <w:rFonts w:ascii="Cambria Math" w:hAnsi="Cambria Math"/>
              </w:rPr>
              <m:t>N</m:t>
            </m:r>
          </m:e>
          <m:sub>
            <m:r>
              <w:rPr>
                <w:rFonts w:ascii="Cambria Math" w:hAnsi="Cambria Math"/>
              </w:rPr>
              <m:t>pelagic</m:t>
            </m:r>
          </m:sub>
          <m:sup>
            <m:r>
              <w:rPr>
                <w:rFonts w:ascii="Cambria Math" w:hAnsi="Cambria Math"/>
              </w:rPr>
              <m:t>ha</m:t>
            </m:r>
          </m:sup>
        </m:sSubSup>
      </m:oMath>
      <w:r>
        <w:t xml:space="preserve"> are the variance of the estimated number of black and pelagic rockfish in the hydroacoustic survey, respectively (Tscherisch et al. 2023). The covariance term was omitted as it was at or near 0.</w:t>
      </w:r>
    </w:p>
    <w:p w14:paraId="13351DF6" w14:textId="77777777" w:rsidR="008F41C3" w:rsidRDefault="00000000">
      <w:pPr>
        <w:pStyle w:val="Heading2"/>
      </w:pPr>
      <w:bookmarkStart w:id="74" w:name="model-platform-and-diagnostics"/>
      <w:bookmarkStart w:id="75" w:name="_Toc240870627"/>
      <w:bookmarkEnd w:id="65"/>
      <w:bookmarkEnd w:id="73"/>
      <w:r>
        <w:t>Model platform and diagnostics</w:t>
      </w:r>
      <w:bookmarkEnd w:id="75"/>
    </w:p>
    <w:p w14:paraId="77CB115F" w14:textId="77777777" w:rsidR="008F41C3" w:rsidRDefault="00000000">
      <w:pPr>
        <w:pStyle w:val="FirstParagraph"/>
      </w:pPr>
      <w:r>
        <w:t xml:space="preserve">The model was run using JAGS version 4.3.1 using the jagsUI and rjags packages (Plummer et al. 2006, Lunn et al. 2009, Plummer 2024) on the statistical R Statistical Software (v4.4.3;R Core Team 2021). Note that in the JAGS code normal and lognormal distributions take </w:t>
      </w:r>
      <m:oMath>
        <m:r>
          <w:rPr>
            <w:rFonts w:ascii="Cambria Math" w:hAnsi="Cambria Math"/>
          </w:rPr>
          <m:t>τ</m:t>
        </m:r>
      </m:oMath>
      <w:r>
        <w:t xml:space="preserve"> values that are related to true standard deviations such that</w:t>
      </w:r>
    </w:p>
    <w:p w14:paraId="446673C1" w14:textId="77777777" w:rsidR="008F41C3" w:rsidRDefault="00000000">
      <w:pPr>
        <w:pStyle w:val="BodyText"/>
      </w:pPr>
      <m:oMathPara>
        <m:oMath>
          <m:r>
            <w:rPr>
              <w:rFonts w:ascii="Cambria Math" w:hAnsi="Cambria Math"/>
            </w:rPr>
            <m:t>τ 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σ</m:t>
                  </m:r>
                </m:e>
                <m:sup>
                  <m:r>
                    <w:rPr>
                      <w:rFonts w:ascii="Cambria Math" w:hAnsi="Cambria Math"/>
                    </w:rPr>
                    <m:t>2</m:t>
                  </m:r>
                </m:sup>
              </m:sSup>
            </m:den>
          </m:f>
        </m:oMath>
      </m:oMathPara>
    </w:p>
    <w:p w14:paraId="297391E6" w14:textId="77777777" w:rsidR="008F41C3" w:rsidRDefault="00000000">
      <w:pPr>
        <w:pStyle w:val="BodyText"/>
      </w:pPr>
      <w:r>
        <w:t xml:space="preserve">The model was run with 3 MCMC chains for 2,500,000 iterations with a burn-in of 250,000 iterations and a thinning rate of 2,250 iterations. Model convergence was judged by examining traceplots and ensuring that </w:t>
      </w:r>
      <m:oMath>
        <m:acc>
          <m:accPr>
            <m:ctrlPr>
              <w:rPr>
                <w:rFonts w:ascii="Cambria Math" w:hAnsi="Cambria Math"/>
              </w:rPr>
            </m:ctrlPr>
          </m:accPr>
          <m:e>
            <m:r>
              <w:rPr>
                <w:rFonts w:ascii="Cambria Math" w:hAnsi="Cambria Math"/>
              </w:rPr>
              <m:t>R</m:t>
            </m:r>
          </m:e>
        </m:acc>
      </m:oMath>
      <w:r>
        <w:t xml:space="preserve"> values were below 1.1 (Gelman and Rubin 1992).</w:t>
      </w:r>
    </w:p>
    <w:p w14:paraId="51B0F5C7" w14:textId="77777777" w:rsidR="008F41C3" w:rsidRDefault="00000000">
      <w:pPr>
        <w:pStyle w:val="Heading1"/>
      </w:pPr>
      <w:bookmarkStart w:id="76" w:name="results"/>
      <w:bookmarkStart w:id="77" w:name="_Toc240870628"/>
      <w:bookmarkEnd w:id="13"/>
      <w:bookmarkEnd w:id="74"/>
      <w:r>
        <w:lastRenderedPageBreak/>
        <w:t>Results</w:t>
      </w:r>
      <w:bookmarkEnd w:id="77"/>
    </w:p>
    <w:p w14:paraId="0CD1A93D" w14:textId="77777777" w:rsidR="008F41C3" w:rsidRDefault="00000000">
      <w:pPr>
        <w:pStyle w:val="FirstParagraph"/>
      </w:pPr>
      <w:r>
        <w:t>The estimation model was able to estimate harvests, releases and total removals (harvests plus release mortalities) with near complete convergence of model parameters. Harvest estimates were very similar to Howard et al. (2020) estimates but differed more in areas where private anglers were the dominant user group. Release estimates were also very similar to guided estimates from the Howard estimates as expected given that both methods rely on the census derived from the logbook program. However, estimates of unguided releases differed substantially from the Howard estimates, particularly in recent years that include portside interview data on release and retention behavior. The large difference is unsurprising given the bias correction undertaken in the Bayesian model, the use of the proportion harvested data from the logbook program, and the integration of the portside interview data.</w:t>
      </w:r>
    </w:p>
    <w:p w14:paraId="625649BF" w14:textId="77777777" w:rsidR="008F41C3" w:rsidRDefault="00000000">
      <w:pPr>
        <w:pStyle w:val="BodyText"/>
      </w:pPr>
      <w:r>
        <w:t xml:space="preserve">The model was 99.86% converged based on </w:t>
      </w:r>
      <m:oMath>
        <m:acc>
          <m:accPr>
            <m:ctrlPr>
              <w:rPr>
                <w:rFonts w:ascii="Cambria Math" w:hAnsi="Cambria Math"/>
              </w:rPr>
            </m:ctrlPr>
          </m:accPr>
          <m:e>
            <m:r>
              <w:rPr>
                <w:rFonts w:ascii="Cambria Math" w:hAnsi="Cambria Math"/>
              </w:rPr>
              <m:t>R</m:t>
            </m:r>
          </m:e>
        </m:acc>
      </m:oMath>
      <w:r>
        <w:t xml:space="preserve"> values below 1.1 and 95.71% converged based on </w:t>
      </w:r>
      <m:oMath>
        <m:acc>
          <m:accPr>
            <m:ctrlPr>
              <w:rPr>
                <w:rFonts w:ascii="Cambria Math" w:hAnsi="Cambria Math"/>
              </w:rPr>
            </m:ctrlPr>
          </m:accPr>
          <m:e>
            <m:r>
              <w:rPr>
                <w:rFonts w:ascii="Cambria Math" w:hAnsi="Cambria Math"/>
              </w:rPr>
              <m:t>R</m:t>
            </m:r>
          </m:e>
        </m:acc>
      </m:oMath>
      <w:r>
        <w:t xml:space="preserve"> values below 1.01 (Gelman and Rubin 1992). All contemporary estimates from 2020 onward were well converged and demonstrate this model will be reliable for annual estimation of rockfish harvests going forward. The maximum </w:t>
      </w:r>
      <m:oMath>
        <m:acc>
          <m:accPr>
            <m:ctrlPr>
              <w:rPr>
                <w:rFonts w:ascii="Cambria Math" w:hAnsi="Cambria Math"/>
              </w:rPr>
            </m:ctrlPr>
          </m:accPr>
          <m:e>
            <m:r>
              <w:rPr>
                <w:rFonts w:ascii="Cambria Math" w:hAnsi="Cambria Math"/>
              </w:rPr>
              <m:t>R</m:t>
            </m:r>
          </m:e>
        </m:acc>
      </m:oMath>
      <w:r>
        <w:t xml:space="preserve"> was 1.27.</w:t>
      </w:r>
    </w:p>
    <w:p w14:paraId="0C92E74C" w14:textId="4BAD9C81" w:rsidR="00D87972" w:rsidRDefault="00000000">
      <w:pPr>
        <w:pStyle w:val="BodyText"/>
        <w:rPr>
          <w:ins w:id="78" w:author="Joy, Philip J (DFG)" w:date="2026-09-21T15:26:00Z" w16du:dateUtc="2026-09-21T23:26:00Z"/>
        </w:rPr>
      </w:pPr>
      <w:r>
        <w:t xml:space="preserve">Of the true parameters in the model, 70 failed to converge to an </w:t>
      </w:r>
      <m:oMath>
        <m:acc>
          <m:accPr>
            <m:ctrlPr>
              <w:rPr>
                <w:rFonts w:ascii="Cambria Math" w:hAnsi="Cambria Math"/>
              </w:rPr>
            </m:ctrlPr>
          </m:accPr>
          <m:e>
            <m:r>
              <w:rPr>
                <w:rFonts w:ascii="Cambria Math" w:hAnsi="Cambria Math"/>
              </w:rPr>
              <m:t>R</m:t>
            </m:r>
          </m:e>
        </m:acc>
      </m:oMath>
      <w:r>
        <w:t xml:space="preserve"> of 1.01 but only 1 of those had </w:t>
      </w:r>
      <m:oMath>
        <m:acc>
          <m:accPr>
            <m:ctrlPr>
              <w:rPr>
                <w:rFonts w:ascii="Cambria Math" w:hAnsi="Cambria Math"/>
              </w:rPr>
            </m:ctrlPr>
          </m:accPr>
          <m:e>
            <m:r>
              <w:rPr>
                <w:rFonts w:ascii="Cambria Math" w:hAnsi="Cambria Math"/>
              </w:rPr>
              <m:t>R</m:t>
            </m:r>
          </m:e>
        </m:acc>
      </m:oMath>
      <w:r>
        <w:t xml:space="preserve"> values above 1.1 (Table XXX). The </w:t>
      </w:r>
      <m:oMath>
        <m:r>
          <w:rPr>
            <w:rFonts w:ascii="Cambria Math" w:hAnsi="Cambria Math"/>
          </w:rPr>
          <m:t>β</m:t>
        </m:r>
      </m:oMath>
      <w:r>
        <w:t xml:space="preserve"> parameters used in the logistic curve were generally slow to converge given the combination of values that could describe plausible curves fit to the data. However, parameters with </w:t>
      </w:r>
      <m:oMath>
        <m:acc>
          <m:accPr>
            <m:ctrlPr>
              <w:rPr>
                <w:rFonts w:ascii="Cambria Math" w:hAnsi="Cambria Math"/>
              </w:rPr>
            </m:ctrlPr>
          </m:accPr>
          <m:e>
            <m:r>
              <w:rPr>
                <w:rFonts w:ascii="Cambria Math" w:hAnsi="Cambria Math"/>
              </w:rPr>
              <m:t>R</m:t>
            </m:r>
          </m:e>
        </m:acc>
      </m:oMath>
      <w:r>
        <w:t xml:space="preserve"> values between 1.01 and 1.1 demonstrated trace plots with occasional extreme values and skewed distributions that would likely converge with longer runs. </w:t>
      </w:r>
      <w:ins w:id="79" w:author="Joy, Philip J (DFG)" w:date="2026-09-21T15:20:00Z" w16du:dateUtc="2026-09-21T23:20:00Z">
        <w:r w:rsidR="004C19BF">
          <w:t xml:space="preserve">The lone true parameter that failed to converge was </w:t>
        </w:r>
      </w:ins>
      <m:oMath>
        <m:sSubSup>
          <m:sSubSupPr>
            <m:ctrlPr>
              <w:ins w:id="80" w:author="Joy, Philip J (DFG)" w:date="2026-09-21T15:24:00Z" w16du:dateUtc="2026-09-21T23:24:00Z">
                <w:rPr>
                  <w:rFonts w:ascii="Cambria Math" w:hAnsi="Cambria Math"/>
                </w:rPr>
              </w:ins>
            </m:ctrlPr>
          </m:sSubSupPr>
          <m:e>
            <m:r>
              <w:ins w:id="81" w:author="Joy, Philip J (DFG)" w:date="2026-09-21T15:24:00Z" w16du:dateUtc="2026-09-21T23:24:00Z">
                <w:rPr>
                  <w:rFonts w:ascii="Cambria Math" w:hAnsi="Cambria Math"/>
                </w:rPr>
                <m:t>σ</m:t>
              </w:ins>
            </m:r>
          </m:e>
          <m:sub>
            <m:d>
              <m:dPr>
                <m:ctrlPr>
                  <w:ins w:id="82" w:author="Joy, Philip J (DFG)" w:date="2026-09-21T15:24:00Z" w16du:dateUtc="2026-09-21T23:24:00Z">
                    <w:rPr>
                      <w:rFonts w:ascii="Cambria Math" w:hAnsi="Cambria Math"/>
                    </w:rPr>
                  </w:ins>
                </m:ctrlPr>
              </m:dPr>
              <m:e>
                <m:r>
                  <w:ins w:id="83" w:author="Joy, Philip J (DFG)" w:date="2026-09-21T15:24:00Z" w16du:dateUtc="2026-09-21T23:24:00Z">
                    <w:rPr>
                      <w:rFonts w:ascii="Cambria Math" w:hAnsi="Cambria Math"/>
                    </w:rPr>
                    <m:t>pH</m:t>
                  </w:ins>
                </m:r>
              </m:e>
            </m:d>
            <m:d>
              <m:dPr>
                <m:ctrlPr>
                  <w:ins w:id="84" w:author="Joy, Philip J (DFG)" w:date="2026-09-21T15:24:00Z" w16du:dateUtc="2026-09-21T23:24:00Z">
                    <w:rPr>
                      <w:rFonts w:ascii="Cambria Math" w:hAnsi="Cambria Math"/>
                    </w:rPr>
                  </w:ins>
                </m:ctrlPr>
              </m:dPr>
              <m:e>
                <m:r>
                  <w:ins w:id="85" w:author="Joy, Philip J (DFG)" w:date="2026-09-21T15:24:00Z" w16du:dateUtc="2026-09-21T23:24:00Z">
                    <w:rPr>
                      <w:rFonts w:ascii="Cambria Math" w:hAnsi="Cambria Math"/>
                    </w:rPr>
                    <m:t>other</m:t>
                  </w:ins>
                </m:r>
              </m:e>
            </m:d>
            <m:r>
              <w:ins w:id="86" w:author="Joy, Philip J (DFG)" w:date="2026-09-21T15:24:00Z" w16du:dateUtc="2026-09-21T23:24:00Z">
                <w:rPr>
                  <w:rFonts w:ascii="Cambria Math" w:hAnsi="Cambria Math"/>
                </w:rPr>
                <m:t>Kodiak</m:t>
              </w:ins>
            </m:r>
          </m:sub>
          <m:sup>
            <m:r>
              <w:ins w:id="87" w:author="Joy, Philip J (DFG)" w:date="2026-09-21T15:24:00Z" w16du:dateUtc="2026-09-21T23:24:00Z">
                <w:rPr>
                  <w:rFonts w:ascii="Cambria Math" w:hAnsi="Cambria Math"/>
                </w:rPr>
                <m:t>β2</m:t>
              </w:ins>
            </m:r>
          </m:sup>
        </m:sSubSup>
      </m:oMath>
      <w:ins w:id="88" w:author="Joy, Philip J (DFG)" w:date="2026-09-21T15:24:00Z" w16du:dateUtc="2026-09-21T23:24:00Z">
        <w:r w:rsidR="00D87972">
          <w:t xml:space="preserve"> </w:t>
        </w:r>
      </w:ins>
      <w:ins w:id="89" w:author="Joy, Philip J (DFG)" w:date="2026-09-21T15:25:00Z" w16du:dateUtc="2026-09-21T23:25:00Z">
        <w:r w:rsidR="00D87972">
          <w:t xml:space="preserve">that estimated the uncertainty in </w:t>
        </w:r>
      </w:ins>
      <w:ins w:id="90" w:author="Joy, Philip J (DFG)" w:date="2026-09-21T15:26:00Z" w16du:dateUtc="2026-09-21T23:26:00Z">
        <w:r w:rsidR="00D87972">
          <w:t xml:space="preserve">the hyperprior </w:t>
        </w:r>
      </w:ins>
      <m:oMath>
        <m:r>
          <w:ins w:id="91" w:author="Joy, Philip J (DFG)" w:date="2026-09-21T15:26:00Z" w16du:dateUtc="2026-09-21T23:26:00Z">
            <w:rPr>
              <w:rFonts w:ascii="Cambria Math" w:hAnsi="Cambria Math"/>
            </w:rPr>
            <m:t>β</m:t>
          </w:ins>
        </m:r>
        <m:sSub>
          <m:sSubPr>
            <m:ctrlPr>
              <w:ins w:id="92" w:author="Joy, Philip J (DFG)" w:date="2026-09-21T15:26:00Z" w16du:dateUtc="2026-09-21T23:26:00Z">
                <w:rPr>
                  <w:rFonts w:ascii="Cambria Math" w:hAnsi="Cambria Math"/>
                </w:rPr>
              </w:ins>
            </m:ctrlPr>
          </m:sSubPr>
          <m:e>
            <m:r>
              <w:ins w:id="93" w:author="Joy, Philip J (DFG)" w:date="2026-09-21T15:26:00Z" w16du:dateUtc="2026-09-21T23:26:00Z">
                <w:rPr>
                  <w:rFonts w:ascii="Cambria Math" w:hAnsi="Cambria Math"/>
                </w:rPr>
                <m:t>2</m:t>
              </w:ins>
            </m:r>
          </m:e>
          <m:sub>
            <m:d>
              <m:dPr>
                <m:ctrlPr>
                  <w:ins w:id="94" w:author="Joy, Philip J (DFG)" w:date="2026-09-21T15:26:00Z" w16du:dateUtc="2026-09-21T23:26:00Z">
                    <w:rPr>
                      <w:rFonts w:ascii="Cambria Math" w:hAnsi="Cambria Math"/>
                    </w:rPr>
                  </w:ins>
                </m:ctrlPr>
              </m:dPr>
              <m:e>
                <m:r>
                  <w:ins w:id="95" w:author="Joy, Philip J (DFG)" w:date="2026-09-21T15:26:00Z" w16du:dateUtc="2026-09-21T23:26:00Z">
                    <w:rPr>
                      <w:rFonts w:ascii="Cambria Math" w:hAnsi="Cambria Math"/>
                    </w:rPr>
                    <m:t>pH</m:t>
                  </w:ins>
                </m:r>
              </m:e>
            </m:d>
            <m:d>
              <m:dPr>
                <m:ctrlPr>
                  <w:ins w:id="96" w:author="Joy, Philip J (DFG)" w:date="2026-09-21T15:26:00Z" w16du:dateUtc="2026-09-21T23:26:00Z">
                    <w:rPr>
                      <w:rFonts w:ascii="Cambria Math" w:hAnsi="Cambria Math"/>
                    </w:rPr>
                  </w:ins>
                </m:ctrlPr>
              </m:dPr>
              <m:e>
                <m:r>
                  <w:ins w:id="97" w:author="Joy, Philip J (DFG)" w:date="2026-09-21T15:26:00Z" w16du:dateUtc="2026-09-21T23:26:00Z">
                    <w:rPr>
                      <w:rFonts w:ascii="Cambria Math" w:hAnsi="Cambria Math"/>
                    </w:rPr>
                    <m:t>other</m:t>
                  </w:ins>
                </m:r>
              </m:e>
            </m:d>
            <m:r>
              <w:ins w:id="98" w:author="Joy, Philip J (DFG)" w:date="2026-09-21T15:26:00Z" w16du:dateUtc="2026-09-21T23:26:00Z">
                <w:rPr>
                  <w:rFonts w:ascii="Cambria Math" w:hAnsi="Cambria Math"/>
                </w:rPr>
                <m:t>Kodiak</m:t>
              </w:ins>
            </m:r>
          </m:sub>
        </m:sSub>
      </m:oMath>
      <w:ins w:id="99" w:author="Joy, Philip J (DFG)" w:date="2026-09-21T15:26:00Z" w16du:dateUtc="2026-09-21T23:26:00Z">
        <w:r w:rsidR="00D87972">
          <w:t xml:space="preserve"> describing the slope of the</w:t>
        </w:r>
      </w:ins>
      <w:ins w:id="100" w:author="Joy, Philip J (DFG)" w:date="2026-09-21T15:27:00Z" w16du:dateUtc="2026-09-21T23:27:00Z">
        <w:r w:rsidR="00D87972">
          <w:t xml:space="preserve"> proportion of “other” rockfish harvested in Kodiak. </w:t>
        </w:r>
        <w:proofErr w:type="spellStart"/>
        <w:r w:rsidR="00D87972">
          <w:t>Traceplots</w:t>
        </w:r>
        <w:proofErr w:type="spellEnd"/>
        <w:r w:rsidR="00D87972">
          <w:t xml:space="preserve"> showed a shewed distribution with occasional spikes but a </w:t>
        </w:r>
      </w:ins>
      <w:ins w:id="101" w:author="Joy, Philip J (DFG)" w:date="2026-09-21T15:28:00Z" w16du:dateUtc="2026-09-21T23:28:00Z">
        <w:r w:rsidR="00D87972">
          <w:t>well-defined</w:t>
        </w:r>
      </w:ins>
      <w:ins w:id="102" w:author="Joy, Philip J (DFG)" w:date="2026-09-21T15:27:00Z" w16du:dateUtc="2026-09-21T23:27:00Z">
        <w:r w:rsidR="00D87972">
          <w:t xml:space="preserve"> posterior space that would likely c</w:t>
        </w:r>
      </w:ins>
      <w:ins w:id="103" w:author="Joy, Philip J (DFG)" w:date="2026-09-21T15:28:00Z" w16du:dateUtc="2026-09-21T23:28:00Z">
        <w:r w:rsidR="00D87972">
          <w:t xml:space="preserve">onverge with longer runs. </w:t>
        </w:r>
      </w:ins>
    </w:p>
    <w:p w14:paraId="23581442" w14:textId="3550C58C" w:rsidR="008F41C3" w:rsidDel="00D87972" w:rsidRDefault="00000000">
      <w:pPr>
        <w:pStyle w:val="BodyText"/>
        <w:rPr>
          <w:del w:id="104" w:author="Joy, Philip J (DFG)" w:date="2026-09-21T15:28:00Z" w16du:dateUtc="2026-09-21T23:28:00Z"/>
        </w:rPr>
      </w:pPr>
      <w:del w:id="105" w:author="Joy, Philip J (DFG)" w:date="2026-09-21T15:28:00Z" w16du:dateUtc="2026-09-21T23:28:00Z">
        <w:r w:rsidDel="00D87972">
          <w:rPr>
            <w:b/>
            <w:bCs/>
          </w:rPr>
          <w:delText>Describe unconverged beta parameters:</w:delText>
        </w:r>
        <w:r w:rsidDel="00D87972">
          <w:delText xml:space="preserve"> </w:delText>
        </w:r>
      </w:del>
    </w:p>
    <w:p w14:paraId="050DE2B9" w14:textId="77777777" w:rsidR="008F41C3" w:rsidRDefault="00000000">
      <w:pPr>
        <w:pStyle w:val="BodyText"/>
      </w:pPr>
      <w:r>
        <w:rPr>
          <w:b/>
          <w:bCs/>
        </w:rPr>
        <w:t>Table Xa.</w:t>
      </w:r>
      <w:r>
        <w:t xml:space="preserve"> Unconverged true parameters. </w:t>
      </w:r>
      <w:r>
        <w:rPr>
          <w:b/>
          <w:bCs/>
        </w:rPr>
        <w:t>Remove from document once described!</w:t>
      </w:r>
    </w:p>
    <w:tbl>
      <w:tblPr>
        <w:tblW w:w="5000" w:type="pct"/>
        <w:jc w:val="center"/>
        <w:tblLook w:val="0420" w:firstRow="1" w:lastRow="0" w:firstColumn="0" w:lastColumn="0" w:noHBand="0" w:noVBand="1"/>
      </w:tblPr>
      <w:tblGrid>
        <w:gridCol w:w="918"/>
        <w:gridCol w:w="1431"/>
        <w:gridCol w:w="1564"/>
        <w:gridCol w:w="755"/>
        <w:gridCol w:w="944"/>
        <w:gridCol w:w="1140"/>
        <w:gridCol w:w="1112"/>
        <w:gridCol w:w="748"/>
        <w:gridCol w:w="748"/>
      </w:tblGrid>
      <w:tr w:rsidR="008F41C3" w14:paraId="395CFAA5"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BF9646" w14:textId="77777777" w:rsidR="008F41C3"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Area</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F49E58" w14:textId="77777777" w:rsidR="008F41C3"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Species Ass.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6B8889" w14:textId="77777777" w:rsidR="008F41C3"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Parameter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61CAA8" w14:textId="77777777" w:rsidR="008F41C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Mean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A87588" w14:textId="77777777" w:rsidR="008F41C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Median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B1CED3" w14:textId="77777777" w:rsidR="008F41C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Lower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586E7C" w14:textId="77777777" w:rsidR="008F41C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Upper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937239" w14:textId="77777777" w:rsidR="008F41C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SD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91D31F" w14:textId="77777777" w:rsidR="008F41C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Rhat</w:t>
            </w:r>
          </w:p>
        </w:tc>
      </w:tr>
      <w:tr w:rsidR="008F41C3" w14:paraId="341FD1CF" w14:textId="77777777">
        <w:trP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085020" w14:textId="77777777" w:rsidR="008F41C3"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Kodiak</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F6C0B4" w14:textId="77777777" w:rsidR="008F41C3"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Other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4B9480" w14:textId="77777777" w:rsidR="008F41C3"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tau_beta2_pH</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8CEDE9" w14:textId="77777777" w:rsidR="008F41C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0.211</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8FBD57" w14:textId="77777777" w:rsidR="008F41C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0.086</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5F8734" w14:textId="77777777" w:rsidR="008F41C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0.041</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D28C23" w14:textId="77777777" w:rsidR="008F41C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1.107</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570809" w14:textId="77777777" w:rsidR="008F41C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0.963</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DC1BB5" w14:textId="77777777" w:rsidR="008F41C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1.235</w:t>
            </w:r>
          </w:p>
        </w:tc>
      </w:tr>
    </w:tbl>
    <w:p w14:paraId="43C0D0FC" w14:textId="77777777" w:rsidR="008F41C3" w:rsidRDefault="00000000">
      <w:pPr>
        <w:pStyle w:val="BodyText"/>
      </w:pPr>
      <w:r>
        <w:t xml:space="preserve">  </w:t>
      </w:r>
    </w:p>
    <w:p w14:paraId="571E24C5" w14:textId="77777777" w:rsidR="008F41C3" w:rsidRDefault="00000000">
      <w:pPr>
        <w:pStyle w:val="BodyText"/>
      </w:pPr>
      <w:r>
        <w:t xml:space="preserve">Derived quantities in the model can be divided into primary and secondarily derived quantities. Primary derived quantities are those derived directly from parameter estimates and included harvest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and release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by user group, year and area as well as the species composition proportion values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Secondarily derived quantities are those values derived from the primary derived quantities and their lack of convergence is directly tied to the lack of convergence in the primary quantities. Although some of the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failed to converge to an </w:t>
      </w:r>
      <m:oMath>
        <m:acc>
          <m:accPr>
            <m:ctrlPr>
              <w:rPr>
                <w:rFonts w:ascii="Cambria Math" w:hAnsi="Cambria Math"/>
              </w:rPr>
            </m:ctrlPr>
          </m:accPr>
          <m:e>
            <m:r>
              <w:rPr>
                <w:rFonts w:ascii="Cambria Math" w:hAnsi="Cambria Math"/>
              </w:rPr>
              <m:t>R</m:t>
            </m:r>
          </m:e>
        </m:acc>
      </m:oMath>
      <w:r>
        <w:t xml:space="preserve"> of 1.01, all were below 1.1.</w:t>
      </w:r>
    </w:p>
    <w:p w14:paraId="3A756F83" w14:textId="0635AB6E" w:rsidR="008F41C3" w:rsidDel="004710B3" w:rsidRDefault="00000000" w:rsidP="004710B3">
      <w:pPr>
        <w:pStyle w:val="BodyText"/>
        <w:rPr>
          <w:del w:id="106" w:author="Joy, Philip J (DFG)" w:date="2026-09-21T08:11:00Z" w16du:dateUtc="2026-09-21T16:11:00Z"/>
        </w:rPr>
      </w:pP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were generally well converged with 403 demonstrating </w:t>
      </w:r>
      <m:oMath>
        <m:acc>
          <m:accPr>
            <m:ctrlPr>
              <w:rPr>
                <w:rFonts w:ascii="Cambria Math" w:hAnsi="Cambria Math"/>
              </w:rPr>
            </m:ctrlPr>
          </m:accPr>
          <m:e>
            <m:r>
              <w:rPr>
                <w:rFonts w:ascii="Cambria Math" w:hAnsi="Cambria Math"/>
              </w:rPr>
              <m:t>R</m:t>
            </m:r>
          </m:e>
        </m:acc>
      </m:oMath>
      <w:r>
        <w:t xml:space="preserve"> values (3.04%) above 1.01 and 20 (0.15%) demonstrating values above 1.1. Unconverged estimates all demonstrated highly skewed posteriors where the bulk of the posterior distributions were near the </w:t>
      </w:r>
      <w:r>
        <w:lastRenderedPageBreak/>
        <w:t xml:space="preserve">lower bound. Of the 20 estimates with </w:t>
      </w:r>
      <m:oMath>
        <m:acc>
          <m:accPr>
            <m:ctrlPr>
              <w:rPr>
                <w:rFonts w:ascii="Cambria Math" w:hAnsi="Cambria Math"/>
              </w:rPr>
            </m:ctrlPr>
          </m:accPr>
          <m:e>
            <m:r>
              <w:rPr>
                <w:rFonts w:ascii="Cambria Math" w:hAnsi="Cambria Math"/>
              </w:rPr>
              <m:t>R</m:t>
            </m:r>
          </m:e>
        </m:acc>
      </m:oMath>
      <w:r>
        <w:t xml:space="preserve"> </w:t>
      </w:r>
      <w:proofErr w:type="gramStart"/>
      <w:r>
        <w:t>in excess of</w:t>
      </w:r>
      <w:proofErr w:type="gramEnd"/>
      <w:r>
        <w:t xml:space="preserve"> 1.1, 16 estimates (80%) had medians less than 1 and </w:t>
      </w:r>
      <w:ins w:id="107" w:author="Joy, Philip J (DFG)" w:date="2026-09-21T08:11:00Z" w16du:dateUtc="2026-09-21T16:11:00Z">
        <w:r w:rsidR="004710B3">
          <w:t xml:space="preserve">all </w:t>
        </w:r>
      </w:ins>
      <w:r>
        <w:t xml:space="preserve">20 (100%) had medians less than 10. </w:t>
      </w:r>
      <w:del w:id="108" w:author="Joy, Philip J (DFG)" w:date="2026-09-21T08:11:00Z" w16du:dateUtc="2026-09-21T16:11:00Z">
        <w:r w:rsidDel="004710B3">
          <w:delText xml:space="preserve">The remaining unconverged harvest estimates were in the BSAI or SOKO2SAP in pre-1990 years with median estimates below - and upper confidence intervals less than - fish.  </w:delText>
        </w:r>
      </w:del>
    </w:p>
    <w:p w14:paraId="4643B52E" w14:textId="420C47CA" w:rsidR="008F41C3" w:rsidDel="004710B3" w:rsidRDefault="00000000" w:rsidP="004710B3">
      <w:pPr>
        <w:pStyle w:val="BodyText"/>
        <w:rPr>
          <w:del w:id="109" w:author="Joy, Philip J (DFG)" w:date="2026-09-21T08:11:00Z" w16du:dateUtc="2026-09-21T16:11:00Z"/>
        </w:rPr>
      </w:pPr>
      <w:del w:id="110" w:author="Joy, Philip J (DFG)" w:date="2026-09-21T08:11:00Z" w16du:dateUtc="2026-09-21T16:11:00Z">
        <w:r w:rsidDel="004710B3">
          <w:rPr>
            <w:b/>
            <w:bCs/>
          </w:rPr>
          <w:delText>Table Xa.</w:delText>
        </w:r>
        <w:r w:rsidDel="004710B3">
          <w:delText xml:space="preserve"> Unconverged harvest estimates with median posteriors that were greater than 10. </w:delText>
        </w:r>
        <w:r w:rsidDel="004710B3">
          <w:rPr>
            <w:b/>
            <w:bCs/>
          </w:rPr>
          <w:delText>Remove from document once described!</w:delText>
        </w:r>
      </w:del>
    </w:p>
    <w:tbl>
      <w:tblPr>
        <w:tblW w:w="5000" w:type="pct"/>
        <w:jc w:val="center"/>
        <w:tblLook w:val="0420" w:firstRow="1" w:lastRow="0" w:firstColumn="0" w:lastColumn="0" w:noHBand="0" w:noVBand="1"/>
      </w:tblPr>
      <w:tblGrid>
        <w:gridCol w:w="731"/>
        <w:gridCol w:w="731"/>
        <w:gridCol w:w="1838"/>
        <w:gridCol w:w="856"/>
        <w:gridCol w:w="1150"/>
        <w:gridCol w:w="1452"/>
        <w:gridCol w:w="1409"/>
        <w:gridCol w:w="482"/>
        <w:gridCol w:w="711"/>
      </w:tblGrid>
      <w:tr w:rsidR="008F41C3" w:rsidDel="004710B3" w14:paraId="25D67112" w14:textId="0DF59EC2">
        <w:trPr>
          <w:tblHeader/>
          <w:jc w:val="center"/>
          <w:del w:id="111" w:author="Joy, Philip J (DFG)" w:date="2026-09-21T08:11:00Z" w16du:dateUtc="2026-09-21T16:11:00Z"/>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8A6F38" w14:textId="42D61BFF" w:rsidR="008F41C3" w:rsidDel="004710B3" w:rsidRDefault="00000000" w:rsidP="004710B3">
            <w:pPr>
              <w:pStyle w:val="BodyText"/>
              <w:rPr>
                <w:del w:id="112" w:author="Joy, Philip J (DFG)" w:date="2026-09-21T08:11:00Z" w16du:dateUtc="2026-09-21T16:11:00Z"/>
                <w:color w:val="000000"/>
                <w:sz w:val="22"/>
                <w:szCs w:val="22"/>
              </w:rPr>
              <w:pPrChange w:id="113" w:author="Joy, Philip J (DFG)" w:date="2026-09-21T08:11:00Z" w16du:dateUtc="2026-09-21T16:11:00Z">
                <w:pPr>
                  <w:pBdr>
                    <w:top w:val="none" w:sz="0" w:space="0" w:color="000000"/>
                    <w:left w:val="none" w:sz="0" w:space="0" w:color="000000"/>
                    <w:bottom w:val="none" w:sz="0" w:space="0" w:color="000000"/>
                    <w:right w:val="none" w:sz="0" w:space="0" w:color="000000"/>
                  </w:pBdr>
                  <w:spacing w:before="100" w:after="100"/>
                  <w:ind w:left="100" w:right="100"/>
                  <w:jc w:val="left"/>
                </w:pPr>
              </w:pPrChange>
            </w:pPr>
            <w:del w:id="114" w:author="Joy, Philip J (DFG)" w:date="2026-09-21T08:11:00Z" w16du:dateUtc="2026-09-21T16:11:00Z">
              <w:r w:rsidDel="004710B3">
                <w:rPr>
                  <w:color w:val="000000"/>
                  <w:sz w:val="22"/>
                  <w:szCs w:val="22"/>
                </w:rPr>
                <w:delText>Area</w:delText>
              </w:r>
            </w:del>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D97217" w14:textId="3FBA7827" w:rsidR="008F41C3" w:rsidDel="004710B3" w:rsidRDefault="00000000" w:rsidP="004710B3">
            <w:pPr>
              <w:pStyle w:val="BodyText"/>
              <w:rPr>
                <w:del w:id="115" w:author="Joy, Philip J (DFG)" w:date="2026-09-21T08:11:00Z" w16du:dateUtc="2026-09-21T16:11:00Z"/>
                <w:color w:val="000000"/>
                <w:sz w:val="22"/>
                <w:szCs w:val="22"/>
              </w:rPr>
              <w:pPrChange w:id="116" w:author="Joy, Philip J (DFG)" w:date="2026-09-21T08:11:00Z" w16du:dateUtc="2026-09-21T16:11:00Z">
                <w:pPr>
                  <w:pBdr>
                    <w:top w:val="none" w:sz="0" w:space="0" w:color="000000"/>
                    <w:left w:val="none" w:sz="0" w:space="0" w:color="000000"/>
                    <w:bottom w:val="none" w:sz="0" w:space="0" w:color="000000"/>
                    <w:right w:val="none" w:sz="0" w:space="0" w:color="000000"/>
                  </w:pBdr>
                  <w:spacing w:before="100" w:after="100"/>
                  <w:ind w:left="100" w:right="100"/>
                  <w:jc w:val="left"/>
                </w:pPr>
              </w:pPrChange>
            </w:pPr>
            <w:del w:id="117" w:author="Joy, Philip J (DFG)" w:date="2026-09-21T08:11:00Z" w16du:dateUtc="2026-09-21T16:11:00Z">
              <w:r w:rsidDel="004710B3">
                <w:rPr>
                  <w:color w:val="000000"/>
                  <w:sz w:val="22"/>
                  <w:szCs w:val="22"/>
                </w:rPr>
                <w:delText>Year</w:delText>
              </w:r>
            </w:del>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FA9F6B" w14:textId="70A91E66" w:rsidR="008F41C3" w:rsidDel="004710B3" w:rsidRDefault="00000000" w:rsidP="004710B3">
            <w:pPr>
              <w:pStyle w:val="BodyText"/>
              <w:rPr>
                <w:del w:id="118" w:author="Joy, Philip J (DFG)" w:date="2026-09-21T08:11:00Z" w16du:dateUtc="2026-09-21T16:11:00Z"/>
                <w:color w:val="000000"/>
                <w:sz w:val="22"/>
                <w:szCs w:val="22"/>
              </w:rPr>
              <w:pPrChange w:id="119" w:author="Joy, Philip J (DFG)" w:date="2026-09-21T08:11:00Z" w16du:dateUtc="2026-09-21T16:11:00Z">
                <w:pPr>
                  <w:pBdr>
                    <w:top w:val="none" w:sz="0" w:space="0" w:color="000000"/>
                    <w:left w:val="none" w:sz="0" w:space="0" w:color="000000"/>
                    <w:bottom w:val="none" w:sz="0" w:space="0" w:color="000000"/>
                    <w:right w:val="none" w:sz="0" w:space="0" w:color="000000"/>
                  </w:pBdr>
                  <w:spacing w:before="100" w:after="100"/>
                  <w:ind w:left="100" w:right="100"/>
                  <w:jc w:val="left"/>
                </w:pPr>
              </w:pPrChange>
            </w:pPr>
            <w:del w:id="120" w:author="Joy, Philip J (DFG)" w:date="2026-09-21T08:11:00Z" w16du:dateUtc="2026-09-21T16:11:00Z">
              <w:r w:rsidDel="004710B3">
                <w:rPr>
                  <w:color w:val="000000"/>
                  <w:sz w:val="22"/>
                  <w:szCs w:val="22"/>
                </w:rPr>
                <w:delText>Harvest Est.</w:delText>
              </w:r>
            </w:del>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C29526" w14:textId="58A34E6A" w:rsidR="008F41C3" w:rsidDel="004710B3" w:rsidRDefault="00000000" w:rsidP="004710B3">
            <w:pPr>
              <w:pStyle w:val="BodyText"/>
              <w:rPr>
                <w:del w:id="121" w:author="Joy, Philip J (DFG)" w:date="2026-09-21T08:11:00Z" w16du:dateUtc="2026-09-21T16:11:00Z"/>
                <w:color w:val="000000"/>
                <w:sz w:val="22"/>
                <w:szCs w:val="22"/>
              </w:rPr>
              <w:pPrChange w:id="122" w:author="Joy, Philip J (DFG)" w:date="2026-09-21T08:11:00Z" w16du:dateUtc="2026-09-21T16:11:00Z">
                <w:pPr>
                  <w:pBdr>
                    <w:top w:val="none" w:sz="0" w:space="0" w:color="000000"/>
                    <w:left w:val="none" w:sz="0" w:space="0" w:color="000000"/>
                    <w:bottom w:val="none" w:sz="0" w:space="0" w:color="000000"/>
                    <w:right w:val="none" w:sz="0" w:space="0" w:color="000000"/>
                  </w:pBdr>
                  <w:spacing w:before="100" w:after="100"/>
                  <w:ind w:left="100" w:right="100"/>
                  <w:jc w:val="right"/>
                </w:pPr>
              </w:pPrChange>
            </w:pPr>
            <w:del w:id="123" w:author="Joy, Philip J (DFG)" w:date="2026-09-21T08:11:00Z" w16du:dateUtc="2026-09-21T16:11:00Z">
              <w:r w:rsidDel="004710B3">
                <w:rPr>
                  <w:color w:val="000000"/>
                  <w:sz w:val="22"/>
                  <w:szCs w:val="22"/>
                </w:rPr>
                <w:delText>Mean</w:delText>
              </w:r>
            </w:del>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E0C55F" w14:textId="12A858DC" w:rsidR="008F41C3" w:rsidDel="004710B3" w:rsidRDefault="00000000" w:rsidP="004710B3">
            <w:pPr>
              <w:pStyle w:val="BodyText"/>
              <w:rPr>
                <w:del w:id="124" w:author="Joy, Philip J (DFG)" w:date="2026-09-21T08:11:00Z" w16du:dateUtc="2026-09-21T16:11:00Z"/>
                <w:color w:val="000000"/>
                <w:sz w:val="22"/>
                <w:szCs w:val="22"/>
              </w:rPr>
              <w:pPrChange w:id="125" w:author="Joy, Philip J (DFG)" w:date="2026-09-21T08:11:00Z" w16du:dateUtc="2026-09-21T16:11:00Z">
                <w:pPr>
                  <w:pBdr>
                    <w:top w:val="none" w:sz="0" w:space="0" w:color="000000"/>
                    <w:left w:val="none" w:sz="0" w:space="0" w:color="000000"/>
                    <w:bottom w:val="none" w:sz="0" w:space="0" w:color="000000"/>
                    <w:right w:val="none" w:sz="0" w:space="0" w:color="000000"/>
                  </w:pBdr>
                  <w:spacing w:before="100" w:after="100"/>
                  <w:ind w:left="100" w:right="100"/>
                  <w:jc w:val="right"/>
                </w:pPr>
              </w:pPrChange>
            </w:pPr>
            <w:del w:id="126" w:author="Joy, Philip J (DFG)" w:date="2026-09-21T08:11:00Z" w16du:dateUtc="2026-09-21T16:11:00Z">
              <w:r w:rsidDel="004710B3">
                <w:rPr>
                  <w:color w:val="000000"/>
                  <w:sz w:val="22"/>
                  <w:szCs w:val="22"/>
                </w:rPr>
                <w:delText>Median</w:delText>
              </w:r>
            </w:del>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009CF1" w14:textId="5D258497" w:rsidR="008F41C3" w:rsidDel="004710B3" w:rsidRDefault="00000000" w:rsidP="004710B3">
            <w:pPr>
              <w:pStyle w:val="BodyText"/>
              <w:rPr>
                <w:del w:id="127" w:author="Joy, Philip J (DFG)" w:date="2026-09-21T08:11:00Z" w16du:dateUtc="2026-09-21T16:11:00Z"/>
                <w:color w:val="000000"/>
                <w:sz w:val="22"/>
                <w:szCs w:val="22"/>
              </w:rPr>
              <w:pPrChange w:id="128" w:author="Joy, Philip J (DFG)" w:date="2026-09-21T08:11:00Z" w16du:dateUtc="2026-09-21T16:11:00Z">
                <w:pPr>
                  <w:pBdr>
                    <w:top w:val="none" w:sz="0" w:space="0" w:color="000000"/>
                    <w:left w:val="none" w:sz="0" w:space="0" w:color="000000"/>
                    <w:bottom w:val="none" w:sz="0" w:space="0" w:color="000000"/>
                    <w:right w:val="none" w:sz="0" w:space="0" w:color="000000"/>
                  </w:pBdr>
                  <w:spacing w:before="100" w:after="100"/>
                  <w:ind w:left="100" w:right="100"/>
                  <w:jc w:val="right"/>
                </w:pPr>
              </w:pPrChange>
            </w:pPr>
            <w:del w:id="129" w:author="Joy, Philip J (DFG)" w:date="2026-09-21T08:11:00Z" w16du:dateUtc="2026-09-21T16:11:00Z">
              <w:r w:rsidDel="004710B3">
                <w:rPr>
                  <w:color w:val="000000"/>
                  <w:sz w:val="22"/>
                  <w:szCs w:val="22"/>
                </w:rPr>
                <w:delText>Lower CI</w:delText>
              </w:r>
            </w:del>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916B59" w14:textId="0EEC735C" w:rsidR="008F41C3" w:rsidDel="004710B3" w:rsidRDefault="00000000" w:rsidP="004710B3">
            <w:pPr>
              <w:pStyle w:val="BodyText"/>
              <w:rPr>
                <w:del w:id="130" w:author="Joy, Philip J (DFG)" w:date="2026-09-21T08:11:00Z" w16du:dateUtc="2026-09-21T16:11:00Z"/>
                <w:color w:val="000000"/>
                <w:sz w:val="22"/>
                <w:szCs w:val="22"/>
              </w:rPr>
              <w:pPrChange w:id="131" w:author="Joy, Philip J (DFG)" w:date="2026-09-21T08:11:00Z" w16du:dateUtc="2026-09-21T16:11:00Z">
                <w:pPr>
                  <w:pBdr>
                    <w:top w:val="none" w:sz="0" w:space="0" w:color="000000"/>
                    <w:left w:val="none" w:sz="0" w:space="0" w:color="000000"/>
                    <w:bottom w:val="none" w:sz="0" w:space="0" w:color="000000"/>
                    <w:right w:val="none" w:sz="0" w:space="0" w:color="000000"/>
                  </w:pBdr>
                  <w:spacing w:before="100" w:after="100"/>
                  <w:ind w:left="100" w:right="100"/>
                  <w:jc w:val="right"/>
                </w:pPr>
              </w:pPrChange>
            </w:pPr>
            <w:del w:id="132" w:author="Joy, Philip J (DFG)" w:date="2026-09-21T08:11:00Z" w16du:dateUtc="2026-09-21T16:11:00Z">
              <w:r w:rsidDel="004710B3">
                <w:rPr>
                  <w:color w:val="000000"/>
                  <w:sz w:val="22"/>
                  <w:szCs w:val="22"/>
                </w:rPr>
                <w:delText>Upper CI</w:delText>
              </w:r>
            </w:del>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CFE5BC" w14:textId="7B3058C7" w:rsidR="008F41C3" w:rsidDel="004710B3" w:rsidRDefault="00000000" w:rsidP="004710B3">
            <w:pPr>
              <w:pStyle w:val="BodyText"/>
              <w:rPr>
                <w:del w:id="133" w:author="Joy, Philip J (DFG)" w:date="2026-09-21T08:11:00Z" w16du:dateUtc="2026-09-21T16:11:00Z"/>
                <w:color w:val="000000"/>
                <w:sz w:val="22"/>
                <w:szCs w:val="22"/>
              </w:rPr>
              <w:pPrChange w:id="134" w:author="Joy, Philip J (DFG)" w:date="2026-09-21T08:11:00Z" w16du:dateUtc="2026-09-21T16:11:00Z">
                <w:pPr>
                  <w:pBdr>
                    <w:top w:val="none" w:sz="0" w:space="0" w:color="000000"/>
                    <w:left w:val="none" w:sz="0" w:space="0" w:color="000000"/>
                    <w:bottom w:val="none" w:sz="0" w:space="0" w:color="000000"/>
                    <w:right w:val="none" w:sz="0" w:space="0" w:color="000000"/>
                  </w:pBdr>
                  <w:spacing w:before="100" w:after="100"/>
                  <w:ind w:left="100" w:right="100"/>
                  <w:jc w:val="right"/>
                </w:pPr>
              </w:pPrChange>
            </w:pPr>
            <w:del w:id="135" w:author="Joy, Philip J (DFG)" w:date="2026-09-21T08:11:00Z" w16du:dateUtc="2026-09-21T16:11:00Z">
              <w:r w:rsidDel="004710B3">
                <w:rPr>
                  <w:color w:val="000000"/>
                  <w:sz w:val="22"/>
                  <w:szCs w:val="22"/>
                </w:rPr>
                <w:delText>SD</w:delText>
              </w:r>
            </w:del>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AD4FAD" w14:textId="6811CD15" w:rsidR="008F41C3" w:rsidDel="004710B3" w:rsidRDefault="00000000" w:rsidP="004710B3">
            <w:pPr>
              <w:pStyle w:val="BodyText"/>
              <w:rPr>
                <w:del w:id="136" w:author="Joy, Philip J (DFG)" w:date="2026-09-21T08:11:00Z" w16du:dateUtc="2026-09-21T16:11:00Z"/>
                <w:color w:val="000000"/>
                <w:sz w:val="22"/>
                <w:szCs w:val="22"/>
              </w:rPr>
              <w:pPrChange w:id="137" w:author="Joy, Philip J (DFG)" w:date="2026-09-21T08:11:00Z" w16du:dateUtc="2026-09-21T16:11:00Z">
                <w:pPr>
                  <w:pBdr>
                    <w:top w:val="none" w:sz="0" w:space="0" w:color="000000"/>
                    <w:left w:val="none" w:sz="0" w:space="0" w:color="000000"/>
                    <w:bottom w:val="none" w:sz="0" w:space="0" w:color="000000"/>
                    <w:right w:val="none" w:sz="0" w:space="0" w:color="000000"/>
                  </w:pBdr>
                  <w:spacing w:before="100" w:after="100"/>
                  <w:ind w:left="100" w:right="100"/>
                  <w:jc w:val="right"/>
                </w:pPr>
              </w:pPrChange>
            </w:pPr>
            <w:del w:id="138" w:author="Joy, Philip J (DFG)" w:date="2026-09-21T08:11:00Z" w16du:dateUtc="2026-09-21T16:11:00Z">
              <w:r w:rsidDel="004710B3">
                <w:rPr>
                  <w:color w:val="000000"/>
                  <w:sz w:val="22"/>
                  <w:szCs w:val="22"/>
                </w:rPr>
                <w:delText>Rhat</w:delText>
              </w:r>
            </w:del>
          </w:p>
        </w:tc>
      </w:tr>
    </w:tbl>
    <w:p w14:paraId="2EBC957C" w14:textId="77777777" w:rsidR="008F41C3" w:rsidRDefault="008F41C3">
      <w:pPr>
        <w:pStyle w:val="BodyText"/>
      </w:pPr>
    </w:p>
    <w:p w14:paraId="13BF76A3" w14:textId="6171FC24" w:rsidR="008F41C3" w:rsidRDefault="00000000">
      <w:pPr>
        <w:pStyle w:val="BodyText"/>
      </w:pP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were less well converged relative to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with 1,448 demonstrating </w:t>
      </w:r>
      <m:oMath>
        <m:acc>
          <m:accPr>
            <m:ctrlPr>
              <w:rPr>
                <w:rFonts w:ascii="Cambria Math" w:hAnsi="Cambria Math"/>
              </w:rPr>
            </m:ctrlPr>
          </m:accPr>
          <m:e>
            <m:r>
              <w:rPr>
                <w:rFonts w:ascii="Cambria Math" w:hAnsi="Cambria Math"/>
              </w:rPr>
              <m:t>R</m:t>
            </m:r>
          </m:e>
        </m:acc>
      </m:oMath>
      <w:r>
        <w:t xml:space="preserve"> values (6.62%) above 1.01 and 104 (0.48%) demonstrating values above 1.1. Unconverged estimates demonstrated highly skewed posteriors where the bulk of the posterior distributions were near the lower bound. Of the 104 estimates with </w:t>
      </w:r>
      <m:oMath>
        <m:acc>
          <m:accPr>
            <m:ctrlPr>
              <w:rPr>
                <w:rFonts w:ascii="Cambria Math" w:hAnsi="Cambria Math"/>
              </w:rPr>
            </m:ctrlPr>
          </m:accPr>
          <m:e>
            <m:r>
              <w:rPr>
                <w:rFonts w:ascii="Cambria Math" w:hAnsi="Cambria Math"/>
              </w:rPr>
              <m:t>R</m:t>
            </m:r>
          </m:e>
        </m:acc>
      </m:oMath>
      <w:r>
        <w:t xml:space="preserve"> in excess of 1.1, 65 estimates (62%) had medians less than 1, 94 (90%) had medians less than 10, 100 (96%) had medians less than 50, and 103 (99%) had medians less than 100. </w:t>
      </w:r>
      <w:del w:id="139" w:author="Joy, Philip J (DFG)" w:date="2026-09-21T08:21:00Z" w16du:dateUtc="2026-09-21T16:21:00Z">
        <w:r w:rsidDel="00EF343D">
          <w:delText>Of t</w:delText>
        </w:r>
      </w:del>
      <w:ins w:id="140" w:author="Joy, Philip J (DFG)" w:date="2026-09-21T08:21:00Z" w16du:dateUtc="2026-09-21T16:21:00Z">
        <w:r w:rsidR="00EF343D">
          <w:t>T</w:t>
        </w:r>
      </w:ins>
      <w:r>
        <w:t xml:space="preserve">he 1 </w:t>
      </w:r>
      <w:proofErr w:type="spellStart"/>
      <w:r>
        <w:t>unconverged</w:t>
      </w:r>
      <w:proofErr w:type="spellEnd"/>
      <w:r>
        <w:t xml:space="preserve">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with </w:t>
      </w:r>
      <w:ins w:id="141" w:author="Joy, Philip J (DFG)" w:date="2026-09-21T08:21:00Z" w16du:dateUtc="2026-09-21T16:21:00Z">
        <w:r w:rsidR="00EF343D">
          <w:t xml:space="preserve">a </w:t>
        </w:r>
      </w:ins>
      <w:r>
        <w:t>median</w:t>
      </w:r>
      <w:del w:id="142" w:author="Joy, Philip J (DFG)" w:date="2026-09-21T08:21:00Z" w16du:dateUtc="2026-09-21T16:21:00Z">
        <w:r w:rsidDel="00EF343D">
          <w:delText>s</w:delText>
        </w:r>
      </w:del>
      <w:r>
        <w:t xml:space="preserve"> greater than 100</w:t>
      </w:r>
      <w:del w:id="143" w:author="Joy, Philip J (DFG)" w:date="2026-09-21T08:21:00Z" w16du:dateUtc="2026-09-21T16:21:00Z">
        <w:r w:rsidDel="00EF343D">
          <w:delText>, all 1 were</w:delText>
        </w:r>
      </w:del>
      <w:ins w:id="144" w:author="Joy, Philip J (DFG)" w:date="2026-09-21T08:21:00Z" w16du:dateUtc="2026-09-21T16:21:00Z">
        <w:r w:rsidR="00EF343D">
          <w:t xml:space="preserve"> was</w:t>
        </w:r>
      </w:ins>
      <w:r>
        <w:t xml:space="preserve"> from </w:t>
      </w:r>
      <w:del w:id="145" w:author="Joy, Philip J (DFG)" w:date="2026-09-21T08:21:00Z" w16du:dateUtc="2026-09-21T16:21:00Z">
        <w:r w:rsidDel="00EF343D">
          <w:delText>pre-1999 years</w:delText>
        </w:r>
      </w:del>
      <w:ins w:id="146" w:author="Joy, Philip J (DFG)" w:date="2026-09-21T08:21:00Z" w16du:dateUtc="2026-09-21T16:21:00Z">
        <w:r w:rsidR="00EF343D">
          <w:t>1980</w:t>
        </w:r>
      </w:ins>
      <w:r>
        <w:t xml:space="preserve"> </w:t>
      </w:r>
      <w:ins w:id="147" w:author="Joy, Philip J (DFG)" w:date="2026-09-21T08:21:00Z" w16du:dateUtc="2026-09-21T16:21:00Z">
        <w:r w:rsidR="00EF343D">
          <w:t xml:space="preserve">prior to many of the data sources being </w:t>
        </w:r>
      </w:ins>
      <w:del w:id="148" w:author="Joy, Philip J (DFG)" w:date="2026-09-21T08:21:00Z" w16du:dateUtc="2026-09-21T16:21:00Z">
        <w:r w:rsidDel="00EF343D">
          <w:delText xml:space="preserve">when logbook data became </w:delText>
        </w:r>
      </w:del>
      <w:r>
        <w:t xml:space="preserve">available. The </w:t>
      </w:r>
      <m:oMath>
        <m:acc>
          <m:accPr>
            <m:ctrlPr>
              <w:rPr>
                <w:rFonts w:ascii="Cambria Math" w:hAnsi="Cambria Math"/>
              </w:rPr>
            </m:ctrlPr>
          </m:accPr>
          <m:e>
            <m:r>
              <w:rPr>
                <w:rFonts w:ascii="Cambria Math" w:hAnsi="Cambria Math"/>
              </w:rPr>
              <m:t>R</m:t>
            </m:r>
          </m:e>
        </m:acc>
      </m:oMath>
      <w:r>
        <w:t xml:space="preserve"> values of </w:t>
      </w:r>
      <w:del w:id="149" w:author="Joy, Philip J (DFG)" w:date="2026-09-21T08:21:00Z" w16du:dateUtc="2026-09-21T16:21:00Z">
        <w:r w:rsidDel="00EF343D">
          <w:delText xml:space="preserve">these </w:delText>
        </w:r>
      </w:del>
      <w:ins w:id="150" w:author="Joy, Philip J (DFG)" w:date="2026-09-21T08:21:00Z" w16du:dateUtc="2026-09-21T16:21:00Z">
        <w:r w:rsidR="00EF343D">
          <w:t>this</w:t>
        </w:r>
      </w:ins>
      <w:ins w:id="151" w:author="Joy, Philip J (DFG)" w:date="2026-09-21T08:22:00Z" w16du:dateUtc="2026-09-21T16:22:00Z">
        <w:r w:rsidR="00EF343D">
          <w:t xml:space="preserve"> </w:t>
        </w:r>
      </w:ins>
      <w:del w:id="152" w:author="Joy, Philip J (DFG)" w:date="2026-09-21T08:22:00Z" w16du:dateUtc="2026-09-21T16:22:00Z">
        <w:r w:rsidDel="00EF343D">
          <w:delText>1</w:delText>
        </w:r>
      </w:del>
      <w:r>
        <w:t xml:space="preserve"> release estimate</w:t>
      </w:r>
      <w:del w:id="153" w:author="Joy, Philip J (DFG)" w:date="2026-09-21T08:22:00Z" w16du:dateUtc="2026-09-21T16:22:00Z">
        <w:r w:rsidDel="00EF343D">
          <w:delText>s</w:delText>
        </w:r>
      </w:del>
      <w:r>
        <w:t xml:space="preserve"> </w:t>
      </w:r>
      <w:del w:id="154" w:author="Joy, Philip J (DFG)" w:date="2026-09-21T08:22:00Z" w16du:dateUtc="2026-09-21T16:22:00Z">
        <w:r w:rsidDel="00EF343D">
          <w:delText>ranged from 1.128 to</w:delText>
        </w:r>
      </w:del>
      <w:ins w:id="155" w:author="Joy, Philip J (DFG)" w:date="2026-09-21T08:22:00Z" w16du:dateUtc="2026-09-21T16:22:00Z">
        <w:r w:rsidR="00EF343D">
          <w:t>was</w:t>
        </w:r>
      </w:ins>
      <w:r>
        <w:t xml:space="preserve"> 1.128 indicating that </w:t>
      </w:r>
      <w:del w:id="156" w:author="Joy, Philip J (DFG)" w:date="2026-09-21T08:22:00Z" w16du:dateUtc="2026-09-21T16:22:00Z">
        <w:r w:rsidDel="00EF343D">
          <w:delText>these estimates</w:delText>
        </w:r>
      </w:del>
      <w:ins w:id="157" w:author="Joy, Philip J (DFG)" w:date="2026-09-21T08:22:00Z" w16du:dateUtc="2026-09-21T16:22:00Z">
        <w:r w:rsidR="00EF343D">
          <w:t>it</w:t>
        </w:r>
      </w:ins>
      <w:r>
        <w:t xml:space="preserve"> would </w:t>
      </w:r>
      <w:del w:id="158" w:author="Joy, Philip J (DFG)" w:date="2026-09-21T08:22:00Z" w16du:dateUtc="2026-09-21T16:22:00Z">
        <w:r w:rsidDel="00EF343D">
          <w:delText xml:space="preserve">be </w:delText>
        </w:r>
      </w:del>
      <w:r>
        <w:t xml:space="preserve">likely to converge with longer runs (Table UNCONV RELEASE &gt; 100). </w:t>
      </w:r>
    </w:p>
    <w:p w14:paraId="333714B8" w14:textId="77777777" w:rsidR="008F41C3" w:rsidRDefault="00000000">
      <w:pPr>
        <w:pStyle w:val="BodyText"/>
      </w:pPr>
      <w:r>
        <w:rPr>
          <w:b/>
          <w:bCs/>
        </w:rPr>
        <w:t>Table Xc.</w:t>
      </w:r>
      <w:r>
        <w:t xml:space="preserve"> Unconverged release estimates with median posteriors that were greater than 100. </w:t>
      </w:r>
      <w:r>
        <w:rPr>
          <w:b/>
          <w:bCs/>
        </w:rPr>
        <w:t>Remove from document once described!</w:t>
      </w:r>
    </w:p>
    <w:tbl>
      <w:tblPr>
        <w:tblW w:w="5000" w:type="pct"/>
        <w:jc w:val="center"/>
        <w:tblLook w:val="0420" w:firstRow="1" w:lastRow="0" w:firstColumn="0" w:lastColumn="0" w:noHBand="0" w:noVBand="1"/>
      </w:tblPr>
      <w:tblGrid>
        <w:gridCol w:w="804"/>
        <w:gridCol w:w="787"/>
        <w:gridCol w:w="1570"/>
        <w:gridCol w:w="862"/>
        <w:gridCol w:w="1074"/>
        <w:gridCol w:w="1292"/>
        <w:gridCol w:w="1261"/>
        <w:gridCol w:w="855"/>
        <w:gridCol w:w="855"/>
      </w:tblGrid>
      <w:tr w:rsidR="008F41C3" w14:paraId="5706DC2F"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22B7F3" w14:textId="77777777" w:rsidR="008F41C3"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Area</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F7CEB4" w14:textId="77777777" w:rsidR="008F41C3"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C198AB" w14:textId="77777777" w:rsidR="008F41C3"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Release Est.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0ACAAF" w14:textId="77777777" w:rsidR="008F41C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Mean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0E915C" w14:textId="77777777" w:rsidR="008F41C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Median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EB64F2" w14:textId="77777777" w:rsidR="008F41C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Lower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8C4851" w14:textId="77777777" w:rsidR="008F41C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Upper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BF324C" w14:textId="77777777" w:rsidR="008F41C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SD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F99CF2" w14:textId="77777777" w:rsidR="008F41C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Rhat</w:t>
            </w:r>
          </w:p>
        </w:tc>
      </w:tr>
      <w:tr w:rsidR="008F41C3" w14:paraId="4CD5C856" w14:textId="77777777">
        <w:trP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39E2F9" w14:textId="77777777" w:rsidR="008F41C3"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SSEI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C53382" w14:textId="77777777" w:rsidR="008F41C3"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1980</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560640" w14:textId="77777777" w:rsidR="008F41C3"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Rs_ayg</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3AA12F" w14:textId="77777777" w:rsidR="008F41C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222</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468369" w14:textId="77777777" w:rsidR="008F41C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101</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2C0605" w14:textId="77777777" w:rsidR="008F41C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7</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EFD479" w14:textId="77777777" w:rsidR="008F41C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1,138</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B6D3BD" w14:textId="77777777" w:rsidR="008F41C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664.6</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E5D2D3" w14:textId="77777777" w:rsidR="008F41C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1.128</w:t>
            </w:r>
          </w:p>
        </w:tc>
      </w:tr>
    </w:tbl>
    <w:p w14:paraId="4073635C" w14:textId="77777777" w:rsidR="008F41C3" w:rsidRDefault="008F41C3">
      <w:pPr>
        <w:pStyle w:val="BodyText"/>
      </w:pPr>
    </w:p>
    <w:p w14:paraId="25B78B47" w14:textId="77777777" w:rsidR="008F41C3" w:rsidRDefault="00000000">
      <w:pPr>
        <w:pStyle w:val="Heading2"/>
      </w:pPr>
      <w:bookmarkStart w:id="159" w:name="residual-patterns"/>
      <w:bookmarkStart w:id="160" w:name="_Toc240870629"/>
      <w:r>
        <w:t>Residual Patterns</w:t>
      </w:r>
      <w:bookmarkEnd w:id="160"/>
    </w:p>
    <w:p w14:paraId="0D66E7E1" w14:textId="77777777" w:rsidR="008F41C3" w:rsidRDefault="00000000">
      <w:pPr>
        <w:pStyle w:val="FirstParagraph"/>
      </w:pPr>
      <w:r>
        <w:t>Residual patterns of the fit of the data to the SWHS data were generally satisfactory, with a few exceptions. Large harvest residuals (Figure 9 SWHS_H_RESIDS) were often associated with poor precision in the SWHS estimates in all regions. PWSO demonstrated odd residual patterns associated with large uncertainty prior to 2000 with the model predicting higher harvests than demonstrated in the SWHS. Kodiak areas demonstrated some strange residual patterns in the WKMA and eastside CFMU’s, but were generally associated with poor precision in the estimates. Southeast harvests showed generally satisfactory residual patterns, although SSEO model results were consistently higher than survey estimates prior to 1992.</w:t>
      </w:r>
    </w:p>
    <w:p w14:paraId="3FDA6859" w14:textId="77777777" w:rsidR="008F41C3" w:rsidRDefault="00000000">
      <w:pPr>
        <w:pStyle w:val="BodyText"/>
      </w:pPr>
      <w:r>
        <w:t>Residual patterns for the SWHS release data showed much larger residuals as would be expected from the much less precise release estimates (Figure 10 SWHS_R_RESIDS). Overall, the release residuals tended to be more positive than negative. PWSO releases demonstrated the same pattern as that of the harvests.</w:t>
      </w:r>
    </w:p>
    <w:p w14:paraId="38E1EE5B" w14:textId="77777777" w:rsidR="008F41C3" w:rsidRDefault="00000000">
      <w:pPr>
        <w:pStyle w:val="BodyText"/>
      </w:pPr>
      <w:r>
        <w:t xml:space="preserve">Residual patterns of the fit to the logbook data show some patterns but are minor with respect to the overall number of fish being estimated (Figure 11 LB_RESIDS). Logbook data is fit with a poisson distribution which assumes a very small error and thus the model estimates are usually </w:t>
      </w:r>
      <w:r>
        <w:lastRenderedPageBreak/>
        <w:t>within 1% of the logbook value for both harvests and releases. There were some odd patterns in the North Gulf and both Prince William Sound CFMUs where the model predicted less harvests than logbook entries in the early years of the program and across all of southcentral and Kodiak CFMU’s the residuals are larger during that time period. These instances mirror the residual patterns in the SWHS and are the result of the model balancing the disagreement between the two data sources.</w:t>
      </w:r>
    </w:p>
    <w:p w14:paraId="4E81F299" w14:textId="77777777" w:rsidR="008F41C3" w:rsidRDefault="00000000">
      <w:pPr>
        <w:pStyle w:val="Heading2"/>
      </w:pPr>
      <w:bookmarkStart w:id="161" w:name="bias-estimation"/>
      <w:bookmarkStart w:id="162" w:name="_Toc240870630"/>
      <w:bookmarkEnd w:id="159"/>
      <w:r>
        <w:t>Bias Estimation</w:t>
      </w:r>
      <w:bookmarkEnd w:id="162"/>
    </w:p>
    <w:p w14:paraId="6A44B3BE" w14:textId="77777777" w:rsidR="008F41C3" w:rsidRDefault="00000000">
      <w:pPr>
        <w:pStyle w:val="FirstParagraph"/>
      </w:pPr>
      <w:r>
        <w:t>Observed bias in the SWHS refers to the difference between SWHS guided harvest and release estimates and that reported in charter logbooks (Figure 6 BIAS). Model predicted bias in SWHS harvest data tracked the observed bias well across years and CFMUs (Figure 12 YEARAREA_BIAS) but there was more discrepancies in the release data (Figure 13 YEARAREA_BIAS). Results demonstrated that SWHS estimates were generally biased low while release estimates were biased high (Figure 14 MEAN_BIAS). Observed and estimated harvest bias were very consistent with the exception of the very data poor BSAI CFMU (Figure 12 YEARAREA_BIAS).</w:t>
      </w:r>
    </w:p>
    <w:p w14:paraId="68B069E5" w14:textId="77777777" w:rsidR="008F41C3" w:rsidRDefault="00000000">
      <w:pPr>
        <w:pStyle w:val="BodyText"/>
      </w:pPr>
      <w:r>
        <w:t>Model estimated bias in SWHS release estimates differed more dramatically from the “observed” bias (Figure 13 YEARAREA_BIAS) and is the result of incorporating portside interview release data into the model. Release bias for the Southcentral areas and northeast Kodiak was much lower in the model relative to that observed when comparing logbook and SWHS data (Figure 13 YEARAREA_BIAS). When the portside interview data is omitted, the model estimated bias matches the observed similarly to that of the other regions. The reduced bias estimated with the inclusion of the interview data suggests that private anglers are providing less biased responses to the SWHS than guided anglers and/or logbook records of releases in this region are perhaps less accurate than would be assumed.</w:t>
      </w:r>
    </w:p>
    <w:p w14:paraId="52DB6948" w14:textId="77777777" w:rsidR="008F41C3" w:rsidRDefault="00000000">
      <w:pPr>
        <w:pStyle w:val="BodyText"/>
      </w:pPr>
      <w:r>
        <w:t>In contrast, the CSEO in southeast demonstrates much higher bias in the SWHS relative to the logbook data since 2019. This implies that the portside interview data is providing more biased estimates than would be inferred by the guided SWHS and logbook data alone.</w:t>
      </w:r>
    </w:p>
    <w:p w14:paraId="4662C8FF" w14:textId="77777777" w:rsidR="008F41C3" w:rsidRDefault="00000000">
      <w:pPr>
        <w:pStyle w:val="Heading2"/>
      </w:pPr>
      <w:bookmarkStart w:id="163" w:name="proportion-harvested"/>
      <w:bookmarkStart w:id="164" w:name="_Toc240870631"/>
      <w:bookmarkEnd w:id="161"/>
      <w:r>
        <w:t>Proportion Harvested</w:t>
      </w:r>
      <w:bookmarkEnd w:id="164"/>
    </w:p>
    <w:p w14:paraId="56C5B04F" w14:textId="77777777" w:rsidR="008F41C3" w:rsidRDefault="00000000">
      <w:pPr>
        <w:pStyle w:val="FirstParagraph"/>
      </w:pPr>
      <w:r>
        <w:t>Estimates of the proportion harvested (</w:t>
      </w:r>
      <w:r>
        <w:rPr>
          <w:i/>
          <w:iCs/>
        </w:rPr>
        <w:t>pH</w:t>
      </w:r>
      <w:r>
        <w:t xml:space="preserve">) for guided pelagic rockfish accurately tracked the logbook and portside interview data and the logistic curve fit to that data demonstrated reasonable patterns and uncertainty for hindcasting (Figure 15 pH_PEL). Logbook data and portside interviews of guided anglers provided similar estimates and demonstrated similar trends in </w:t>
      </w:r>
      <w:r>
        <w:rPr>
          <w:i/>
          <w:iCs/>
        </w:rPr>
        <w:t>pH</w:t>
      </w:r>
      <w:r>
        <w:t xml:space="preserve"> in most cases and the model favored the logbook estimates owing to the Poisson distribution applied to the logbook data. Retention probabilities by private anglers followed the trends in the portside interview data and were stabilized by their association with guided estimates, through the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prior on angler effects.</w:t>
      </w:r>
    </w:p>
    <w:p w14:paraId="7909A016" w14:textId="77777777" w:rsidR="008F41C3" w:rsidRDefault="00000000">
      <w:pPr>
        <w:pStyle w:val="BodyText"/>
      </w:pPr>
      <w:r>
        <w:t>All CFMUs demonstrated a similar pattern where retention of pelagic rockfish has increased since the logbook program began in 1998, with very few pelagic rockfish being released by guided anglers in recent years and an increasing, but more variable trend in private anglers. Logbooks and portside interview data were in alignment for this assemblage. Private anglers were more likely to release pelagic rockfish in most regions with the difference most pronounced in Southcentral and with little difference in Southeast.</w:t>
      </w:r>
    </w:p>
    <w:p w14:paraId="014F6096" w14:textId="77777777" w:rsidR="008F41C3" w:rsidRDefault="00000000">
      <w:pPr>
        <w:pStyle w:val="BodyText"/>
      </w:pPr>
      <w:r>
        <w:lastRenderedPageBreak/>
        <w:t>The proportion harvested of yelloweye rockfish demonstrated a very different pattern from pelagic rockfish whereby anglers have retained almost all landed fish until recent years when management restrictions came into effect (Figure 16 pH_YE). This is most obvious in the Southeast CFMU’s where yelloweye retention was prohibited beginning in 2020 and to a lesser degree in Prince William Sound (CFMU PWSI and PWSO) where milder restrictions were enacted. Logbook and portside interviews data were mostly in agreement with regard to yelloweye retention. The model tracked the data well and the hindcasting applied a long term mean because the lack of appreciable change in the data since 2006.</w:t>
      </w:r>
    </w:p>
    <w:p w14:paraId="5D38FFE1" w14:textId="77777777" w:rsidR="008F41C3" w:rsidRDefault="00000000">
      <w:pPr>
        <w:pStyle w:val="BodyText"/>
      </w:pPr>
      <w:r>
        <w:t>For non-pelagic / non-yelloweye rockfish (</w:t>
      </w:r>
      <m:oMath>
        <m:r>
          <w:rPr>
            <w:rFonts w:ascii="Cambria Math" w:hAnsi="Cambria Math"/>
          </w:rPr>
          <m:t>p</m:t>
        </m:r>
        <m:sSub>
          <m:sSubPr>
            <m:ctrlPr>
              <w:rPr>
                <w:rFonts w:ascii="Cambria Math" w:hAnsi="Cambria Math"/>
              </w:rPr>
            </m:ctrlPr>
          </m:sSubPr>
          <m:e>
            <m:r>
              <w:rPr>
                <w:rFonts w:ascii="Cambria Math" w:hAnsi="Cambria Math"/>
              </w:rPr>
              <m:t>H</m:t>
            </m:r>
          </m:e>
          <m:sub>
            <m:r>
              <w:rPr>
                <w:rFonts w:ascii="Cambria Math" w:hAnsi="Cambria Math"/>
              </w:rPr>
              <m:t>other</m:t>
            </m:r>
          </m:sub>
        </m:sSub>
      </m:oMath>
      <w:r>
        <w:t>) the proportion harvested demonstrated variable patterns across regions (Figure 17 pH_OTHER). Central regions demonstrated a static pattern with the exception of Cook Inlet where retention probabilities increased over the observed time period. Kodiak demonstrated increasing retention probabilities with the exception of the WKMA CFMUs which were static. For these two regions, the portside interview data tracked logbook records to various degrees but demonstrated greater differences relative to the other species assemblages.</w:t>
      </w:r>
    </w:p>
    <w:p w14:paraId="6EBD4D14" w14:textId="77777777" w:rsidR="008F41C3" w:rsidRDefault="00000000">
      <w:pPr>
        <w:pStyle w:val="BodyText"/>
      </w:pPr>
      <w:r>
        <w:t xml:space="preserve">Southeast CFMU’s show a pattern similar to that of yelloweye rockfish with high retention prior to management restrictions enacted in recent years, but with greater discrepancies between the logbook and portside interview data. The model tracked the logbook data for guided anglers and estimates of unguided releases showed considerable uncertainty even in recent years as a result of high overdispersion in the interview data that is evident from the disparity between logbook and interview data (Figure 17 pH_OTHER). The “other” rockfish in Southeast Alaska are comprised of slope rockfish and non-yelloweye DSR rockfish, which further informs the model but introduces more tension as the likelihoods compete over the contradictory data. The retention probability of non-yelloweye DSR (Figure XX pH_DSR) and slope rockfish (Figure XX pH_SLOPE) are fit using the portside interview data while the sum of those releases must be equal to the release of the “other” rockfish that are fit to the portside and logbook data. The resolution of these sometimes contradictory signals results in </w:t>
      </w:r>
      <w:r>
        <w:rPr>
          <w:i/>
          <w:iCs/>
        </w:rPr>
        <w:t>pH</w:t>
      </w:r>
      <w:r>
        <w:t xml:space="preserve"> estimates for DSR that follow the data (Figure XX pH_DSR), but </w:t>
      </w:r>
      <w:r>
        <w:rPr>
          <w:i/>
          <w:iCs/>
        </w:rPr>
        <w:t>pH</w:t>
      </w:r>
      <w:r>
        <w:t xml:space="preserve"> estimates for slope rockfish in the SSEO that are substantially less than that reported in portside interviews (Figure XX pH_SLOPE). Sample sizes for slope rockfish are generally smaller than for DSR, particularly in the SSEO and thus the model resolves the conflicting data signals in favor of the DSR data relative to the slope rockfish data.</w:t>
      </w:r>
    </w:p>
    <w:p w14:paraId="6F42E49C" w14:textId="77777777" w:rsidR="008F41C3" w:rsidRDefault="00000000">
      <w:pPr>
        <w:pStyle w:val="Heading2"/>
      </w:pPr>
      <w:bookmarkStart w:id="165" w:name="species-composition"/>
      <w:bookmarkStart w:id="166" w:name="_Toc240870632"/>
      <w:bookmarkEnd w:id="163"/>
      <w:r>
        <w:t>Species Composition</w:t>
      </w:r>
      <w:bookmarkEnd w:id="166"/>
    </w:p>
    <w:p w14:paraId="744927AF" w14:textId="77777777" w:rsidR="008F41C3" w:rsidRDefault="00000000">
      <w:pPr>
        <w:pStyle w:val="FirstParagraph"/>
      </w:pPr>
      <w:r>
        <w:t xml:space="preserve">The species composition of the harvests tracked the observed data well and produced reasonable logistic curves for hindcasting. The pelagic proportion demonstrated either an increasing trend in the harvests (Southeast and Prince William Sound) or a static trend (Kodiak, Cook Inlet and North Gulf) (Figure 18 P_PEL). Model estimates tracked the observed data well and fell towards the trend line when sample sizes were small or absent. The logistic hindcasting curve appeared to match the trends in the data and encompassed the uncertainty derived from the random effect estimates. The prior applied to the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comp</m:t>
                    </m:r>
                  </m:sub>
                </m:sSub>
              </m:e>
            </m:d>
            <m:r>
              <w:rPr>
                <w:rFonts w:ascii="Cambria Math" w:hAnsi="Cambria Math"/>
              </w:rPr>
              <m:t>ayuc</m:t>
            </m:r>
          </m:sub>
        </m:sSub>
      </m:oMath>
      <w:r>
        <w:t xml:space="preserve"> term was less informative than that applied to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r>
              <w:rPr>
                <w:rFonts w:ascii="Cambria Math" w:hAnsi="Cambria Math"/>
              </w:rPr>
              <m:t>ayuc</m:t>
            </m:r>
          </m:sub>
        </m:sSub>
      </m:oMath>
      <w:r>
        <w:t xml:space="preserve"> terms but nevertheless resulted in fairly minor differences between guided and unguided anglers with the exception of PWSI and, to a lesser extent, SSEI.</w:t>
      </w:r>
    </w:p>
    <w:p w14:paraId="35845DE2" w14:textId="77777777" w:rsidR="008F41C3" w:rsidRDefault="00000000">
      <w:pPr>
        <w:pStyle w:val="BodyText"/>
      </w:pPr>
      <w:r>
        <w:t xml:space="preserve">The parameters associated with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sub>
        </m:sSub>
      </m:oMath>
      <w:r>
        <w:t xml:space="preserve"> were generally well converged with the exception of the Prince William Sound areas and the NSEI in Southeast, which were slow to converge. In these </w:t>
      </w:r>
      <w:r>
        <w:lastRenderedPageBreak/>
        <w:t>areas the port sampling data and the logbook data differ significantly and the model struggled to fit both of these data sources (Figure 18 P_PEL). Port sampling programs in this region are not proportional to the effort and thus the proportions are weighted to account for that issue (Howard et al. 2020). However, event the adjusted values do not align with the logbook data and thus remains an outstanding issue. As it stands, the model favors the logbook data over the port sampling data due to the nature of the relative likelihoods (Figure 18 P_Pel).</w:t>
      </w:r>
    </w:p>
    <w:p w14:paraId="321283F0" w14:textId="77777777" w:rsidR="008F41C3" w:rsidRDefault="00000000">
      <w:pPr>
        <w:pStyle w:val="BodyText"/>
      </w:pPr>
      <w:r>
        <w:t xml:space="preserve">The proportion of pelagic rockfish that were black proved to be static, with the exception of Cook Inlet, which showed an increase, and NSEI, which showed a decrease (Figure 19 P_BLACK). The model tracked observed values well and applied the uncertainty derived from the random effects in the hindcast values. Applying the hydroacoustic survey data to Kodiak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e>
            </m:d>
            <m:r>
              <w:rPr>
                <w:rFonts w:ascii="Cambria Math" w:hAnsi="Cambria Math"/>
              </w:rPr>
              <m:t>ayu</m:t>
            </m:r>
          </m:sub>
        </m:sSub>
      </m:oMath>
      <w:r>
        <w:t xml:space="preserve"> proved to be both informative and useful in estimating those values. Without that data the estimates tended toward the hyperprior values as informed by the Northeast data and resulted in credibility intervals that stretched from 0 to 1. The hydroacoustic data demonstrates higher black rockfish proportions in these other areas and the model was able to generate more precise and realistic estimates of these parameters.</w:t>
      </w:r>
    </w:p>
    <w:p w14:paraId="0B5C6A0E" w14:textId="77777777" w:rsidR="008F41C3" w:rsidRDefault="00000000">
      <w:pPr>
        <w:pStyle w:val="BodyText"/>
      </w:pPr>
      <w:r>
        <w:t>The yelloweye proportion demonstrated a static portion of the harvest in Kodiak, a subtle decline in Southcentral areas and a precipitous drop in Southeast where management restrictions were in place in recent years (Figure 20 P_YE). Southcentral data is noisy, but the fitted logistic curve appeared to capture the change in species composition during the observed time period and provided acceptable values for hindcasting with the appropriate level of uncertainty. Kodiak yelloweye trends were poorly informed due to a lack of data associated with consistently low harvests of yelloweye in this region. Southeast yelloweye proportions (relative to the DSR assemblage) were also somewhat noisy, but the trends in the data were adequately captured by the fitted logistic curve.</w:t>
      </w:r>
    </w:p>
    <w:p w14:paraId="735D42B8" w14:textId="77777777" w:rsidR="008F41C3" w:rsidRDefault="00000000">
      <w:pPr>
        <w:pStyle w:val="BodyText"/>
      </w:pPr>
      <w:r>
        <w:t>The proportion of the Southeast harvest that were DSR and slope rockfish also appeared to track the data well and provide reasonable predictions for hindcasting (Figure P_DSR 21, P_SLOPE 22, P_SLOPE_REL 23). The trends in these two assemblages indicate that prior to restrictions being placed on yelloweye and DSR, the vast bulk of the non-pelagic harvests in Southeast were DSR species with slope species comprising only a minor proportion. However, with the closure of yelloweye and restrictions on DSR the proportion of the harvest that were slope rose steeply in recent years.</w:t>
      </w:r>
    </w:p>
    <w:p w14:paraId="5BD5906B" w14:textId="77777777" w:rsidR="008F41C3" w:rsidRDefault="00000000">
      <w:pPr>
        <w:pStyle w:val="Heading2"/>
      </w:pPr>
      <w:bookmarkStart w:id="167" w:name="proportion-guided"/>
      <w:bookmarkStart w:id="168" w:name="_Toc240870633"/>
      <w:bookmarkEnd w:id="165"/>
      <w:r>
        <w:t>Proportion Guided</w:t>
      </w:r>
      <w:bookmarkEnd w:id="168"/>
    </w:p>
    <w:p w14:paraId="2B123137" w14:textId="77777777" w:rsidR="008F41C3" w:rsidRDefault="00000000">
      <w:pPr>
        <w:pStyle w:val="FirstParagraph"/>
      </w:pPr>
      <w:r>
        <w:t xml:space="preserve">Data on the proportion of total rockfish catches that were guided is lacking and there was no trend estimated for hindcasting these parameters. The model captured the observed estimates within the credibility intervals but tended to smooth the observed estimates (Figure 24 pG). Difference btween the observed pG and that estimated by the model are the result of bias correction in SWHS estimates and more informed estimates of unguided angler harvests. Without a modeled trend, the model essentially uses a long-term average as described by the estimated beta distribution of the </w:t>
      </w:r>
      <m:oMath>
        <m:sSub>
          <m:sSubPr>
            <m:ctrlPr>
              <w:rPr>
                <w:rFonts w:ascii="Cambria Math" w:hAnsi="Cambria Math"/>
              </w:rPr>
            </m:ctrlPr>
          </m:sSubPr>
          <m:e>
            <m:r>
              <w:rPr>
                <w:rFonts w:ascii="Cambria Math" w:hAnsi="Cambria Math"/>
              </w:rPr>
              <m:t>P</m:t>
            </m:r>
          </m:e>
          <m:sub>
            <m:r>
              <w:rPr>
                <w:rFonts w:ascii="Cambria Math" w:hAnsi="Cambria Math"/>
              </w:rPr>
              <m:t>user</m:t>
            </m:r>
          </m:sub>
        </m:sSub>
      </m:oMath>
      <w:r>
        <w:t xml:space="preserve"> parameters to hindcast the guided proportion in the model. Credibility in the hindcasted values reflect the variability occuring during the observed time period.</w:t>
      </w:r>
    </w:p>
    <w:p w14:paraId="73F6C45F" w14:textId="77777777" w:rsidR="008F41C3" w:rsidRDefault="00000000">
      <w:pPr>
        <w:pStyle w:val="Heading2"/>
      </w:pPr>
      <w:bookmarkStart w:id="169" w:name="weight"/>
      <w:bookmarkStart w:id="170" w:name="_Toc240870634"/>
      <w:bookmarkEnd w:id="167"/>
      <w:r>
        <w:lastRenderedPageBreak/>
        <w:t>Weight</w:t>
      </w:r>
      <w:bookmarkEnd w:id="170"/>
    </w:p>
    <w:p w14:paraId="5CD875F5" w14:textId="77777777" w:rsidR="008F41C3" w:rsidRDefault="00000000">
      <w:pPr>
        <w:pStyle w:val="FirstParagraph"/>
      </w:pPr>
      <w:r>
        <w:t>The model estimated weights matched the observations as would be expected and tended to the hyperprior means when data was absent or sample sizes were small (Appendix C).</w:t>
      </w:r>
    </w:p>
    <w:p w14:paraId="7732252C" w14:textId="77777777" w:rsidR="008F41C3" w:rsidRDefault="00000000">
      <w:pPr>
        <w:pStyle w:val="Heading2"/>
      </w:pPr>
      <w:bookmarkStart w:id="171" w:name="X9d99479f46dec730a7a401f5db2083d62218015"/>
      <w:bookmarkStart w:id="172" w:name="_Toc240870635"/>
      <w:bookmarkEnd w:id="169"/>
      <w:r>
        <w:t>Harvest, Release and Total Removal Estimates</w:t>
      </w:r>
      <w:bookmarkEnd w:id="172"/>
    </w:p>
    <w:p w14:paraId="59C8FBC6" w14:textId="77777777" w:rsidR="008F41C3" w:rsidRDefault="00000000">
      <w:pPr>
        <w:pStyle w:val="Heading3"/>
      </w:pPr>
      <w:bookmarkStart w:id="173" w:name="harvests-2"/>
      <w:r>
        <w:t>Harvests</w:t>
      </w:r>
    </w:p>
    <w:p w14:paraId="0E6FBF43" w14:textId="77777777" w:rsidR="008F41C3" w:rsidRDefault="00000000">
      <w:pPr>
        <w:pStyle w:val="FirstParagraph"/>
      </w:pPr>
      <w:r>
        <w:t>Total rockfish harvests demonstrate a generally increasing trend across the time series with some plateauing in recent years as a result of management restrictions (Figure 25 H_ALL; Appendix C1). Prior to 1998 when the logbook program went into effect, there is greater uncertainty in estimates and harvests were generally low. Some areas such as Cook Inlet (CI), North Gulf (NG), Northeast Kodiak and many of the Southeast CFMUs demonstrate consistent harvests during that time period. Harvest estimates from the Bayesian model are very consistent with Howard method estimates with some exceptions. There are some differences in the 1998-2001 period when the Howard methods made assumptions to deal with data limitations that were more appropriately handled with the hierarchical approach in the Bayesian model. There are also differences in some of the Kodiak areas where the Howard methods borrowed values from the most data rich Kodiak CFMUs whereas the Bayesian model applies a hierarchical approach to leverage all of the available data.</w:t>
      </w:r>
    </w:p>
    <w:p w14:paraId="70092921" w14:textId="77777777" w:rsidR="008F41C3" w:rsidRDefault="00000000">
      <w:pPr>
        <w:pStyle w:val="BodyText"/>
      </w:pPr>
      <w:r>
        <w:t>Black rockfish harvests demonstrate an increasing trend over the time series that is dominated by guided anglers with the exception of PWSI (Figure 26 H_BLACK, Appendix C2). Harvests prior to 1998 are generally low, but the North Gulf (NG), Northeast Kodiak, and the SSEI, NSEI and CSEO CFMU’s in Southeast had significant harvests during that time period. Guided estimates are very precise since the logbook program went into effect and port sampling programs provide robust samples for understanding the black rockfish proportion of the pelagic harvest. Unguided harvests are more uncertain as would be expected given their reliance on the SWHS estimates. Unguided estimates are similar to the Howard estimates and where they differ the credibility intervals of the Bayesian estimates include Howard estimates in most cases. They differ significantly in the PWSI where unguided harvests are the same magnitude as guided harvests and thus bias corrections made in the Bayesian model have a larger effect on those estimates.</w:t>
      </w:r>
    </w:p>
    <w:p w14:paraId="2A7BD53E" w14:textId="77777777" w:rsidR="008F41C3" w:rsidRDefault="00000000">
      <w:pPr>
        <w:pStyle w:val="BodyText"/>
      </w:pPr>
      <w:r>
        <w:t>Yelloweye rockfish harvests also demonstrate increasing trends but with reductions in recent years that reflect management actions taken by the department (Figure 27 H_YE, Appendix C3). The Bayesian model demonstrates consistent and steady harvests in many CFMU’s prior to 1998 with the Southeast SSEI and CSEO demonstrating appreciable harvests. As with black rockfish, yelloweye rockfish guided harvests estimates agree with Howard estimates. Unguided yelloweye harvests were also similar to Howard estimates with the exception of the PWSI CFMU. This is the only area where private harvests are significantly greater than guided harvests and thus the effect of bias correction in the model is more pronounced. Variability in those harvests is significantly dampened in the Bayesian estimates while the overall magnitude of the harvests remains the same.</w:t>
      </w:r>
    </w:p>
    <w:p w14:paraId="6BB087E8" w14:textId="77777777" w:rsidR="008F41C3" w:rsidRDefault="00000000">
      <w:pPr>
        <w:pStyle w:val="BodyText"/>
      </w:pPr>
      <w:r>
        <w:t xml:space="preserve">Yelloweye rockfish harvests in the BSAI and SOKO2SAP areas of Kodiak have extremely large credibility intervals owing to a lack of area-specific data for these areas. Yelloweye harvests are generally low in the Kodiak region and portside samples are lacking, even for the most heavily fished Northeast and Afognak units. As such, the proportion of non-yelloweye harvests that are yelloweye have credibility intervals for 4 of the 6 Kodiak units ranging from 0 to 1 (Figure </w:t>
      </w:r>
      <w:r>
        <w:lastRenderedPageBreak/>
        <w:t>YE_COMP) with this uncertainty propagated through the harvest and release calculations. Harvest and total removal point estimates for these regions are very low (Figure YE_HARV, YE_REMOVALS) and even the upper end of the credibility intervals are relatively low. Although imprecise, these estimates provide managers with information on the scale and trend of harvests in these areas.</w:t>
      </w:r>
    </w:p>
    <w:p w14:paraId="6E5ACE0F" w14:textId="77777777" w:rsidR="008F41C3" w:rsidRDefault="00000000">
      <w:pPr>
        <w:pStyle w:val="BodyText"/>
      </w:pPr>
      <w:r>
        <w:t xml:space="preserve">Non-yelloweye DSR harvests in Southeast show very similar patterns to yelloweye and strong agreement with Howard estimates (Figure 28 H_DSR and Appendix C4) and slope rockfish harvests show an increasing trend that is less pronounced than the other species and complexes (Figure 29 H_SLOPE and Appendix C5). Although slope </w:t>
      </w:r>
      <w:r>
        <w:rPr>
          <w:i/>
          <w:iCs/>
        </w:rPr>
        <w:t>pH</w:t>
      </w:r>
      <w:r>
        <w:t xml:space="preserve"> increased dramatically in recent years, overall harvests did not as overall non-pelagic harvests fell during recent years in Southeast. The slope estimates show some differences from Howard estimates in EWKT CFMU because the Howard methods borrowed values from other areas whereas the Bayesian model uses hierarchical modelling to deal with low or absent samples.</w:t>
      </w:r>
    </w:p>
    <w:p w14:paraId="2C9FFC2D" w14:textId="77777777" w:rsidR="008F41C3" w:rsidRDefault="00000000">
      <w:pPr>
        <w:pStyle w:val="Heading3"/>
      </w:pPr>
      <w:bookmarkStart w:id="174" w:name="releases-2"/>
      <w:bookmarkEnd w:id="173"/>
      <w:r>
        <w:t>Releases</w:t>
      </w:r>
    </w:p>
    <w:p w14:paraId="109A2564" w14:textId="77777777" w:rsidR="008F41C3" w:rsidRDefault="00000000">
      <w:pPr>
        <w:pStyle w:val="FirstParagraph"/>
      </w:pPr>
      <w:r>
        <w:t>The release estimates for all rockfish are substantially less than harvests and demonstrate variable trends over the course of the time series with substantial uncertainty in the estimates (Figure 30 R_ALL and Appendix C1). Estimates from the pre-1998 period were sometimes similar to the low end of the post-1998 period or demonstrated an increase as the fishery in that CFMU developed. The trends in the Bayesian model diverge from the Howard estimates more than the harvest estimates due to changes in methodology, including the integration of the portside interview data. Portside interview data in Southcentral and the Northeast Kodiak CFMUs showed much lower retention probabilities for private anglers which greatly increased the release estimates in this region relative to the Howard estimates. In the Southeast region the release estimates are generally in line with the Howard estimates but are significantly lower in the early 2000s when the Howard methods relied on assumptions and long-term averages to compensate for the lack of logbook data on yelloweye releases (Figure DATA).</w:t>
      </w:r>
    </w:p>
    <w:p w14:paraId="0499150B" w14:textId="77777777" w:rsidR="008F41C3" w:rsidRDefault="00000000">
      <w:pPr>
        <w:pStyle w:val="BodyText"/>
      </w:pPr>
      <w:r>
        <w:t xml:space="preserve">Releases of black rockfish demonstrate a relatively steady trend with an increase for guided anglers in the early 2000s as anglers began to target the species and then a decline as guided angler retention increased (Figure 31 R_BLACK, Figure 15 PEL_pH, Appendix C2). Unguided anglers show a gradual increase in releases that mirrors the overall increased participation in the fishery. Estimates of guided releases are very precise since 1998 owing to logbook records and adequate sampling in the port sampling program. Prior to 1998, guided release estimates demonstrate significant uncertainty. Owing to less informative data estimates of unguided releases have substantial uncertainty as a result of data specific to unguided release numbers and the reliance on the </w:t>
      </w:r>
      <w:r>
        <w:rPr>
          <w:i/>
          <w:iCs/>
        </w:rPr>
        <w:t>pH</w:t>
      </w:r>
      <w:r>
        <w:t xml:space="preserve"> demonstrated by guided anglers. Unguided black rockfish release estimates were substantially higher than the Howard estimates in Southcentral and Kodiak regions as a result of integrating the portside interview data. In contrast, that same data resulted in lower release estimates in Southeast.</w:t>
      </w:r>
    </w:p>
    <w:p w14:paraId="7FC904CF" w14:textId="77777777" w:rsidR="008F41C3" w:rsidRDefault="00000000">
      <w:pPr>
        <w:pStyle w:val="BodyText"/>
      </w:pPr>
      <w:r>
        <w:t>Yelloweye release estimates demonstrated fairly steady trends with pronounced uncertainty around the unguided estimates (Figure 32 R_YE and Appendix C3). Retention of yelloweye rockfish has historically been high (Figure 16 YE_pH) and the overall release estimates are generally low. Unguided release estimates also differ substantially from the Howard estimates but, unlike black rockfish, are sometime higher and sometimes lower. In almost all cases the credibility intervals from the Bayesian model include the Howard estimates.</w:t>
      </w:r>
    </w:p>
    <w:p w14:paraId="5DCA73C8" w14:textId="77777777" w:rsidR="008F41C3" w:rsidRDefault="00000000">
      <w:pPr>
        <w:pStyle w:val="BodyText"/>
      </w:pPr>
      <w:r>
        <w:lastRenderedPageBreak/>
        <w:t>Non-yelloweye DSR demonstrated similar release patterns to yelloweye rockfish and lower unguided estimates than Howard (Figure R_DSR 33 and Appendix C4) while slope rockfish show very low release numbers for most of the time series and a large, uptick in recent years with substantial uncertainty (R_SLOPE 34 and Appendix C5). While the DSR estimates track the Howard estimates to a fair degree, the slope rockfish estimates are substantially higher in the SSEO and, to a lesser degree, the NSEI and EWYKT, although the overall number is still low and not likely to be a management concern.</w:t>
      </w:r>
    </w:p>
    <w:p w14:paraId="3AC89FCA" w14:textId="77777777" w:rsidR="008F41C3" w:rsidRDefault="00000000">
      <w:pPr>
        <w:pStyle w:val="Heading3"/>
      </w:pPr>
      <w:bookmarkStart w:id="175" w:name="total-removals-in-biomass"/>
      <w:bookmarkEnd w:id="174"/>
      <w:r>
        <w:t>Total Removals in Biomass</w:t>
      </w:r>
    </w:p>
    <w:p w14:paraId="3DA6E3F2" w14:textId="77777777" w:rsidR="008F41C3" w:rsidRDefault="00000000">
      <w:pPr>
        <w:pStyle w:val="FirstParagraph"/>
      </w:pPr>
      <w:r>
        <w:t>After factoring in release mortalities and converting to biomass total removals of rockfish in sport fisheries were calculated for Southcentral and Kodiak regions. The release mortality rate for pelagic and black rockfish is relatively low even before the introduction of DWRs and coupled with high retention in recent years, release mortalities represent a trivial component of overall fishery removals (Figure 35 BRF_M, 37 PEL_M, Appendix B1 and B6). DSR (including yelloweye) and slope rockfish assemblages experienced high release mortality prior to DRM requirements and even with DWR experience appreciable mortality rates (Figure 8 REL_M). As such, release mortalities comprised a modest but appreciable contribution to overall mortalities for these species (Figure 36, 38 and 39 YE_M, DRS_M and SLOPE_M, Appendix C3, C4 and C5).</w:t>
      </w:r>
    </w:p>
    <w:p w14:paraId="46839368" w14:textId="77777777" w:rsidR="008F41C3" w:rsidRDefault="00000000">
      <w:pPr>
        <w:pStyle w:val="Heading1"/>
      </w:pPr>
      <w:bookmarkStart w:id="176" w:name="discussion"/>
      <w:bookmarkStart w:id="177" w:name="_Toc240870636"/>
      <w:bookmarkEnd w:id="76"/>
      <w:bookmarkEnd w:id="171"/>
      <w:bookmarkEnd w:id="175"/>
      <w:r>
        <w:t>Discussion</w:t>
      </w:r>
      <w:bookmarkEnd w:id="177"/>
    </w:p>
    <w:p w14:paraId="40BAC41D" w14:textId="77777777" w:rsidR="008F41C3" w:rsidRDefault="00000000">
      <w:pPr>
        <w:pStyle w:val="FirstParagraph"/>
      </w:pPr>
      <w:r>
        <w:t>The Bayesian approach to reconstructing historical rockfish removals and calculating current rockfish removals build and improve on the foundation established by Howard et al. (2020). This new approach offers unified methods that encompasses all of the necessary steps to go from the SWHS, logbook and port sampling data to produce estimates of harvests, releases and total biomass removal estimates necessary to conduct stock assessments. These methods are reproducible and offer the first documentation of the biomass and mortality calculations that have been used since the Howard methods were first adopted. This will provide greater consistency and transparency in accounting for rockfish removals in Alaska waters. These methods improve on the Howard methodology by accurately addressing bias in the SWHS data, models the release data in a more realistic process, uses hierarchical modelling to deal with low or absent samples, and generates a time series back to 1977 by utilizing all available data.</w:t>
      </w:r>
    </w:p>
    <w:p w14:paraId="58026360" w14:textId="77777777" w:rsidR="008F41C3" w:rsidRDefault="00000000">
      <w:pPr>
        <w:pStyle w:val="BodyText"/>
      </w:pPr>
      <w:r>
        <w:t>Harvest estimates produced with these methods are generally consistent with the Howard estimates and differ only where the Bayesian methods offer improvements on a key, but flawed, assumption about the use of SWHS data. The Howard methods rely on the SWHS ratio of guided:unguided harvests to expand guided logbook harvests to generate unguided estimates thus making the assumption that the guided:unguided ratio applies equally to all species and species complexes. Most CFMUs have considerably higher harvests by guided users and thus this flaw is less significant as the Bayesian estimates of unguided harvests align well with Howard estimates. However, where guided anglers are in the minority (i.e., PWSI) we see larger differences in the unguided harvests that demonstrate the limitations of that approach.</w:t>
      </w:r>
    </w:p>
    <w:p w14:paraId="6EAB47B8" w14:textId="77777777" w:rsidR="008F41C3" w:rsidRDefault="00000000">
      <w:pPr>
        <w:pStyle w:val="BodyText"/>
      </w:pPr>
      <w:r>
        <w:t xml:space="preserve">The Bayesian approach to estimating releases produces noticeably different estimates from the Howard approach, particularly for the unguided sector. The Howard approach uses the same methods for estimating unguided releases as it does for harvests as it applies the SWHS ratio of guided:unguided release of all rockfish to the logbook release data. However, the Howard methods do not address bias in those estimates, assumes the ratio is equal for all species, and do not make </w:t>
      </w:r>
      <w:r>
        <w:lastRenderedPageBreak/>
        <w:t>use of the portside interview data. In contrast to SWHS harvest estimates, SWHS release estimates are biased high (i.e., anglers over-report their releases relative to logbook data) with a much larger magnitude in the bias relative to harvests. Rather than multiplying the logbook release estimates by the unguided:guided ratio of releases in the SWHS data, the Bayesian model corrects the SWHS release estimates and ensures that releases of the three logbook categories sum to that value, ensuring a more process and data driven estimation procedure. In many cases the Howard method results in unguided release estimates that are at or above guided release estimates even when the harvest of unguided anglers is substantially less (Figures 26 H_BLACK and 31 R_BLACK). This would imply that unguided anglers are discarding fish at a far higher rate than guided anglers.</w:t>
      </w:r>
    </w:p>
    <w:p w14:paraId="3BEB429F" w14:textId="77777777" w:rsidR="008F41C3" w:rsidRDefault="00000000">
      <w:pPr>
        <w:pStyle w:val="BodyText"/>
      </w:pPr>
      <w:r>
        <w:t>The flaw in the Howard methods is apparent when examining release estimates of rockfish in Southeast CFMU’s since 2020 when yelloweye retention was prohibited and DSR retention restricted. During these years the logbook data demonstrated almost 100% retention of black rockfish while regulations reduced yelloweye retention to zero and limited DSR retention to 1 per day. In most of Southeast guided harvests are significantly higher than unguided harvests but the SWHS unguided:guided release ratio suggests more releases by unguided anglers. Thus, the Howard methods expand the guided release estimates to derive unguided estimates, resulting in estimates of unguided black rockfish releases far above the guided estimates while the harvest estimates display the opposite pattern. The CSEO is particularly indicative of this inconsistency where guided harvests of black rockfish are over 4 times that of the unguided anglers while the Howard methods generate unguided release estimates 2 to 3 times that of guided anglers. Because the SWHS data is for all rockfish combined it does not address the different retention probabilities among species complexes which are particularly divergent in Southeast since 2000 due to management action.</w:t>
      </w:r>
    </w:p>
    <w:p w14:paraId="4B67B370" w14:textId="77777777" w:rsidR="008F41C3" w:rsidRDefault="00000000">
      <w:pPr>
        <w:pStyle w:val="BodyText"/>
      </w:pPr>
      <w:r>
        <w:t>The Bayesian approach is not without flaws and required making an assumption that retention probabilities have followed similar trends in both user groups. Projecting release estimates back in time required relating releases to the harvest data and necessitated estimating retention probability (</w:t>
      </w:r>
      <w:r>
        <w:rPr>
          <w:i/>
          <w:iCs/>
        </w:rPr>
        <w:t>pH</w:t>
      </w:r>
      <w:r>
        <w:t xml:space="preserve">). However, initial efforts to maintain consistency with the Howard methods and model </w:t>
      </w:r>
      <w:r>
        <w:rPr>
          <w:i/>
          <w:iCs/>
        </w:rPr>
        <w:t>pH</w:t>
      </w:r>
      <w:r>
        <w:t xml:space="preserve"> for all rockfish proved to be untenable given the underlying inconsistency in retention probabilities of pelagic, yelloweye and “other” rockfish in the logbook data. As such, the approach was altered to estimating </w:t>
      </w:r>
      <w:r>
        <w:rPr>
          <w:i/>
          <w:iCs/>
        </w:rPr>
        <w:t>pH</w:t>
      </w:r>
      <w:r>
        <w:t xml:space="preserve"> by species complex. This worked well for guided anglers because of the logbook data but was challenging to deal with for unguided anglers.</w:t>
      </w:r>
    </w:p>
    <w:p w14:paraId="645BBC2F" w14:textId="77777777" w:rsidR="008F41C3" w:rsidRDefault="00000000">
      <w:pPr>
        <w:pStyle w:val="BodyText"/>
      </w:pPr>
      <w:r>
        <w:t>Estimating unguided releases thus required an assumption that retention probabilities for unguided anglers followed similar trends to that of unguided anglers but was informed by the integration of the portside interview data. All release estimates are based on the assumption that charter captains accurately report the number of fish they release and under-reported releases in logbook data would have the effect of inflating the model estimates of release bias in the SWHS. While law enforcement provides incentives for the accurate recording of harvests, enforcement of release reporting is near impossible. Apparent bias of SWHS release estimates is very high, suggesting that anglers overestimate the number of fish released by a factor of 2 or more while underestimating the number of fish harvested. Recall bias, which may be worse with released fish relative to harvests, may partially explain these results but it cannot be ruled out that release estimates from the logbook data are not entirely accurate. Models were explored to loosen the assumption that logbook releases act as a census, but thus far no viable model has been developed that produces reasonable release estimates. The SWHS is currently undergoing a modernization project that may shed more light on how to resolve some of these issues in the future.</w:t>
      </w:r>
    </w:p>
    <w:p w14:paraId="2E4F3184" w14:textId="77777777" w:rsidR="008F41C3" w:rsidRDefault="00000000">
      <w:pPr>
        <w:pStyle w:val="BodyText"/>
      </w:pPr>
      <w:r>
        <w:lastRenderedPageBreak/>
        <w:t xml:space="preserve">One key parameter in the model that is poorly informed prior to 2011 is the proportion guided, </w:t>
      </w:r>
      <m:oMath>
        <m:sSub>
          <m:sSubPr>
            <m:ctrlPr>
              <w:rPr>
                <w:rFonts w:ascii="Cambria Math" w:hAnsi="Cambria Math"/>
              </w:rPr>
            </m:ctrlPr>
          </m:sSubPr>
          <m:e>
            <m:r>
              <w:rPr>
                <w:rFonts w:ascii="Cambria Math" w:hAnsi="Cambria Math"/>
              </w:rPr>
              <m:t>P</m:t>
            </m:r>
          </m:e>
          <m:sub>
            <m:r>
              <w:rPr>
                <w:rFonts w:ascii="Cambria Math" w:hAnsi="Cambria Math"/>
              </w:rPr>
              <m:t>user</m:t>
            </m:r>
          </m:sub>
        </m:sSub>
      </m:oMath>
      <w:r>
        <w:t xml:space="preserve">. There is limited data on this parameter and was thus modeled as a long-term average using a beta distribution (Figure 24 pG). Ideally, this would be estimated as a trend similar to how retention probability and species proportions were handled in the model, however the available data did not suggest obvious trends that would support that approach. If </w:t>
      </w:r>
      <m:oMath>
        <m:sSub>
          <m:sSubPr>
            <m:ctrlPr>
              <w:rPr>
                <w:rFonts w:ascii="Cambria Math" w:hAnsi="Cambria Math"/>
              </w:rPr>
            </m:ctrlPr>
          </m:sSubPr>
          <m:e>
            <m:r>
              <w:rPr>
                <w:rFonts w:ascii="Cambria Math" w:hAnsi="Cambria Math"/>
              </w:rPr>
              <m:t>P</m:t>
            </m:r>
          </m:e>
          <m:sub>
            <m:r>
              <w:rPr>
                <w:rFonts w:ascii="Cambria Math" w:hAnsi="Cambria Math"/>
              </w:rPr>
              <m:t>user</m:t>
            </m:r>
          </m:sub>
        </m:sSub>
      </m:oMath>
      <w:r>
        <w:t xml:space="preserve"> has changed significantly it would affect the estimates in the model and thus remains a question mark in the approach. If data were to become available the model could be updated to produce more accurate estimates, but in the absence of that data it is hoped that credibility intervals capture the true values.</w:t>
      </w:r>
    </w:p>
    <w:p w14:paraId="2F2B51A5" w14:textId="77777777" w:rsidR="008F41C3" w:rsidRDefault="00000000">
      <w:pPr>
        <w:pStyle w:val="BodyText"/>
      </w:pPr>
      <w:r>
        <w:t>Species composition data on the pelagic / non-pelagic ratio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sub>
        </m:sSub>
      </m:oMath>
      <w:r>
        <w:t xml:space="preserve">) were generally consistent between port samples and logbook data in all areas except Prince William Sound where port samples suggest a lower proportion than the logbook data (Figure 18 P_PEL). Howard et al. (2020) identified issues with the representativeness of the port samples in relation to the harvests. Consequently, that data has been weighted according to their methods although the issue remains even with the adjusted data. The discrepancy between the logbook and port sampling data may be a byproduct of the proportion of fish that are cleaned at sea and not brought to port where they can be sampled. The proportion of rockfish cleaned at sea in Prince William Sound can be as high as 73% of rockfish reported in interviews out of Whittier and if pelagic rockfish (which have historically had a higher bag limit that non-pelagic species) are more likely to be cleaned at sea than non-pelagic rockfish the lower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sub>
        </m:sSub>
      </m:oMath>
      <w:r>
        <w:t xml:space="preserve"> seen in port samples relative to logbook data would align with this explanation. The model favors the logbook data as a result of model construction that treats the logbook data as a census and estimates adhere more closely to the logbook estimates of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sub>
        </m:sSub>
      </m:oMath>
      <w:r>
        <w:t xml:space="preserve"> while the logistic curve appears to capture the uncertainty in pre-logbook estimates. However, the cause of the discrepancy remains unclear and a reevaluation of the Prince William Sound port sampling estimates is recommended. Improving port sampling procedures and regulations may help to better understand these discrepancies.</w:t>
      </w:r>
    </w:p>
    <w:p w14:paraId="2BE805BA" w14:textId="77777777" w:rsidR="008F41C3" w:rsidRDefault="00000000">
      <w:pPr>
        <w:pStyle w:val="BodyText"/>
      </w:pPr>
      <w:r>
        <w:t>The discrepancy in the release of non-yelloweye DSR and slope rockfish in the SSEO portside sampling and logbook data also bears attention. In particular, logbooks record low retention of “other” rockfish while portside interviews indicate high retention. Area biologists should investigate this data discrepancy to determine if species identification or systematic under- or overreporting in logbooks is contributing to the contradictory data.</w:t>
      </w:r>
    </w:p>
    <w:p w14:paraId="7F3081CA" w14:textId="77777777" w:rsidR="008F41C3" w:rsidRDefault="00000000">
      <w:pPr>
        <w:pStyle w:val="BodyText"/>
      </w:pPr>
      <w:r>
        <w:t>This report provides the first harvest, release and mortality estimates for the BSAI and SOKO2SAP Kodiak CFMU’s. Many of these estimates and associated parameters were the slowest to converge. Nevertheless, trace plots show consistent exploration of the parameter space and estimates include large credibility intervals that reflect the lack of data from these areas. The hierarchical nature of the model allows inferences to be made based on data from the rest of the Kodiak region and these estimates provide managers with reasonable, if imprecise, information about the scale and trend of rockfish harvests in these areas.</w:t>
      </w:r>
    </w:p>
    <w:p w14:paraId="02F01EB1" w14:textId="77777777" w:rsidR="008F41C3" w:rsidRDefault="00000000">
      <w:pPr>
        <w:pStyle w:val="Heading2"/>
      </w:pPr>
      <w:bookmarkStart w:id="178" w:name="conclusions-and-recommendations"/>
      <w:bookmarkStart w:id="179" w:name="_Toc240870637"/>
      <w:r>
        <w:t>Conclusions and Recommendations</w:t>
      </w:r>
      <w:bookmarkEnd w:id="179"/>
    </w:p>
    <w:p w14:paraId="50D62CF7" w14:textId="77777777" w:rsidR="008F41C3" w:rsidRDefault="00000000">
      <w:pPr>
        <w:pStyle w:val="FirstParagraph"/>
      </w:pPr>
      <w:r>
        <w:t xml:space="preserve">Managers understandably prefer harvest estimates to remain static once published yet removals occuring in sport fisheries are estimated quantities that can change with improved science reflecting our understanding of the system. Adopting new harvest and release estimates is ultimately at the discretion of regional staff and managers. These revisions were made to address shortcomings in the original Howard methods which provided the first steps in estimating rockfish </w:t>
      </w:r>
      <w:r>
        <w:lastRenderedPageBreak/>
        <w:t>harvests from the various data sources used to monitor sport harvests in Alaska. The new estimates represent a more uniform and reproducible approach to generating removal estimates, extend the time series back to 1977 and furthermore provide a robust and more streamlined approach to generating estimates going forward.</w:t>
      </w:r>
    </w:p>
    <w:p w14:paraId="4387D035" w14:textId="77777777" w:rsidR="008F41C3" w:rsidRDefault="00000000">
      <w:pPr>
        <w:pStyle w:val="BodyText"/>
      </w:pPr>
      <w:r>
        <w:t>With regard to contemporary estimates, the model readily converges and this model provides a single, unified method for calculating annual harvests and removals from all available data sources. Estimates should remain stable provided that sampling programs remain in place, but the model’s built-in use of long term means in the recent time period will provide reasonable estimates when samples sizes are low or absent. Biomass estimates may shift to a minute degree as weight data is added annually but should not cause concern.</w:t>
      </w:r>
    </w:p>
    <w:p w14:paraId="4C4B4EE1" w14:textId="77777777" w:rsidR="008F41C3" w:rsidRDefault="00000000">
      <w:pPr>
        <w:pStyle w:val="BodyText"/>
      </w:pPr>
      <w:r>
        <w:t xml:space="preserve">One caveat to moving forward with these methods is the the possibility of gaps occurring in the port sampling programs. The modern period of the model calculates the </w:t>
      </w:r>
      <w:r>
        <w:rPr>
          <w:i/>
          <w:iCs/>
        </w:rPr>
        <w:t>pH</w:t>
      </w:r>
      <w:r>
        <w:t xml:space="preserve"> and </w:t>
      </w:r>
      <m:oMath>
        <m:sSub>
          <m:sSubPr>
            <m:ctrlPr>
              <w:rPr>
                <w:rFonts w:ascii="Cambria Math" w:hAnsi="Cambria Math"/>
              </w:rPr>
            </m:ctrlPr>
          </m:sSubPr>
          <m:e>
            <m:r>
              <w:rPr>
                <w:rFonts w:ascii="Cambria Math" w:hAnsi="Cambria Math"/>
              </w:rPr>
              <m:t>p</m:t>
            </m:r>
          </m:e>
          <m:sub>
            <m:r>
              <w:rPr>
                <w:rFonts w:ascii="Cambria Math" w:hAnsi="Cambria Math"/>
              </w:rPr>
              <m:t>comp</m:t>
            </m:r>
          </m:sub>
        </m:sSub>
      </m:oMath>
      <w:r>
        <w:t xml:space="preserve"> parameters as deviations around a mean and those values could be substantially changed as a result of management action. Were that to occur it would be a simple matter of introducing a new time-block defined by abrupt changes in management. For example, the Southeast region closed yelloweye rockfish retention between 2020 and 2024 but opened it up in 2025. Provided that port sampling programs remain in place, there would be no need to alter the model. However, if gaps were to occur in the port sampling program the missing years would resort to the mean values for those parameters which would be greatly influenced by the management regime. This could be simply addressed by introducing a new time block for Southeast in 2025.</w:t>
      </w:r>
    </w:p>
    <w:p w14:paraId="001DEE7A" w14:textId="77777777" w:rsidR="008F41C3" w:rsidRDefault="00000000">
      <w:pPr>
        <w:pStyle w:val="BodyText"/>
      </w:pPr>
      <w:r>
        <w:t>In conclusion, these new estimates of rockfish harvest, release and removals offer an improved and more reproducible approach to catch accounting for this increasingly targeted and vulnerable group of fish. These methods build on the location accounting system built by Howard et al. (2020) as well as the validation of the port sampling representativeness. In addition to extending the time series, the new methods are more reflective of the angling process, better capture the uncertainty in the data, more appropriately share information within regions, and provide a unified and centralized approach to calculating, reporting and archiving rockfish harvests, releases and removals in Alaska waters.</w:t>
      </w:r>
    </w:p>
    <w:p w14:paraId="17525E8B" w14:textId="77777777" w:rsidR="008F41C3" w:rsidRDefault="00000000">
      <w:pPr>
        <w:pStyle w:val="Heading1"/>
      </w:pPr>
      <w:bookmarkStart w:id="180" w:name="acknowledgments"/>
      <w:bookmarkStart w:id="181" w:name="_Toc240870638"/>
      <w:bookmarkEnd w:id="176"/>
      <w:bookmarkEnd w:id="178"/>
      <w:r>
        <w:t>Acknowledgments</w:t>
      </w:r>
      <w:bookmarkEnd w:id="181"/>
    </w:p>
    <w:p w14:paraId="4E01B205" w14:textId="77777777" w:rsidR="008F41C3" w:rsidRDefault="00000000">
      <w:pPr>
        <w:pStyle w:val="FirstParagraph"/>
      </w:pPr>
      <w:r>
        <w:t>Sport harvest reconstructions provided in this document were made possible by the devoted time and effort of many people administering the data collection projects used in these analyses. First and foremost, it needs to be acknowledged that although this report may seem critical of the Howard methods, this effort does not exist without the foundational work undertaken by Katie Howard and her coauthors in developing these methods, establishing and validating the relevancy of the data, and developing a system of accurately assigning data to appropriate CFMUs that are now available annually from the SWHS and logbook programs. Similarly, those overseeing and running those programs deserve special thanks for the high quality work and products produced including Nick Smith and Jacob Bozzini from the SWHS program and Ben Jevons and Kyla Buster from the Saltwater Guide Logbook program. This project also highlights the high value of the port sampling programs with particular thanks going to Marian Ford, Corey Litwiniak, Adam Lake, and a virtual army of technicians. We would also like to thank Tyler Polum and Philip Tschersich for the Kodiak hydroacoustic data and advice. We would like to thank Adam Reimer for developing the initial approach to this model and Hamachan Hamazaki for his review of this work.</w:t>
      </w:r>
    </w:p>
    <w:p w14:paraId="32174284" w14:textId="77777777" w:rsidR="008F41C3" w:rsidRDefault="00000000">
      <w:pPr>
        <w:pStyle w:val="Heading1"/>
      </w:pPr>
      <w:bookmarkStart w:id="182" w:name="literature-cited"/>
      <w:bookmarkStart w:id="183" w:name="_Toc240870639"/>
      <w:bookmarkEnd w:id="180"/>
      <w:r>
        <w:lastRenderedPageBreak/>
        <w:t>Literature Cited</w:t>
      </w:r>
      <w:bookmarkEnd w:id="183"/>
    </w:p>
    <w:p w14:paraId="415F7FB2" w14:textId="77777777" w:rsidR="008F41C3" w:rsidRDefault="00000000">
      <w:pPr>
        <w:pStyle w:val="FirstParagraph"/>
      </w:pPr>
      <w:r>
        <w:t>Arthur, D. E., B. J. Blain-Roth, and B. Bowman. 2024. Area management report for the sport fisheries of the North Gulf Coast, 2019–2021. Alaska Department of Fish and Game, Fishery Management Report No. 24-17, Anchorage.</w:t>
      </w:r>
    </w:p>
    <w:p w14:paraId="07B29CEB" w14:textId="77777777" w:rsidR="008F41C3" w:rsidRDefault="00000000">
      <w:pPr>
        <w:pStyle w:val="BodyText"/>
      </w:pPr>
      <w:r>
        <w:t>Blain-Roth, B. J., D. E. Arthur, and C. McKean. 2024. Sport fisheries in the Prince William Sound Management Area in 2023 to inform the Alaska Board of Fisheries in 2024. Alaska Department of Fish and Game, Fishery Management Report No. 24-27, Anchorage.</w:t>
      </w:r>
    </w:p>
    <w:p w14:paraId="6A3AA142" w14:textId="77777777" w:rsidR="008F41C3" w:rsidRDefault="00000000">
      <w:pPr>
        <w:pStyle w:val="BodyText"/>
      </w:pPr>
      <w:r>
        <w:t>Blain, B. J. and T. M. Sutton. 2016. Reproductive status and blood-plasma indicators of sex and gonad maturation status for yelloweye rockfish following barotrauma and recompression events. Transactions of the American Fisheries Socociety 145: 1234-1240.</w:t>
      </w:r>
    </w:p>
    <w:p w14:paraId="66496287" w14:textId="77777777" w:rsidR="008F41C3" w:rsidRDefault="00000000">
      <w:pPr>
        <w:pStyle w:val="BodyText"/>
      </w:pPr>
      <w:r>
        <w:t>Blain-Roth, B. J., and T. M. Sutton. 2019. Effects of barotrauma and recompression events on subsequent embryo condition of yelloweye rockfish. Fisheries Research 211: 212-216.</w:t>
      </w:r>
    </w:p>
    <w:p w14:paraId="2855B10F" w14:textId="77777777" w:rsidR="008F41C3" w:rsidRDefault="00000000">
      <w:pPr>
        <w:pStyle w:val="BodyText"/>
      </w:pPr>
      <w:r>
        <w:t>Casella, G., &amp; Berger, R. L. (2002). Statistical Inference (2nd ed.). Duxbury.</w:t>
      </w:r>
    </w:p>
    <w:p w14:paraId="7A764205" w14:textId="77777777" w:rsidR="008F41C3" w:rsidRDefault="00000000">
      <w:pPr>
        <w:pStyle w:val="BodyText"/>
      </w:pPr>
      <w:r>
        <w:t>Eilers, Paul H. C., and Brian D. Marx. 1996. “Flexible Smoothing with B-Splines and Penalties.” Statistical Science 11: 89–121.</w:t>
      </w:r>
    </w:p>
    <w:p w14:paraId="25CFB526" w14:textId="77777777" w:rsidR="008F41C3" w:rsidRDefault="00000000">
      <w:pPr>
        <w:pStyle w:val="BodyText"/>
      </w:pPr>
      <w:r>
        <w:t>Failor, B. 2016. Operational plan: Assessment of Pacific halibut and groundfish sport harvest in Southcentral Alaska, 2016-2018. Alaska Department of Fish and Game, Regional Operational Plan ROP.SF.2A.2016.20, Anchorage.</w:t>
      </w:r>
    </w:p>
    <w:p w14:paraId="2C654C0C" w14:textId="77777777" w:rsidR="008F41C3" w:rsidRDefault="00000000">
      <w:pPr>
        <w:pStyle w:val="BodyText"/>
      </w:pPr>
      <w:r>
        <w:t>Gelman, A.. Prior distributions for variance parameters in hierarchical models. Bayesian Analysis, 1:515–533, 2006.</w:t>
      </w:r>
    </w:p>
    <w:p w14:paraId="452328A6" w14:textId="77777777" w:rsidR="008F41C3" w:rsidRDefault="00000000">
      <w:pPr>
        <w:pStyle w:val="BodyText"/>
      </w:pPr>
      <w:r>
        <w:t>Gelman, A. and D. Rubin. Inference from iterative simulation using multiple sequences. Statistical Science 7:457–511, 1992.</w:t>
      </w:r>
    </w:p>
    <w:p w14:paraId="70DB3C4C" w14:textId="77777777" w:rsidR="008F41C3" w:rsidRDefault="00000000">
      <w:pPr>
        <w:pStyle w:val="BodyText"/>
      </w:pPr>
      <w:r>
        <w:t>Hannah, R. W., P. S. Rankin, and M. T. O. Blume. 2012. Use of a novel cage system to measure postrecompression survival of northeast Pacific rockfish. Marine and Coastal Fisheries: Dynamics, Management, and Ecosystem Science, 4:1, 46-56.</w:t>
      </w:r>
    </w:p>
    <w:p w14:paraId="25A52134" w14:textId="77777777" w:rsidR="008F41C3" w:rsidRDefault="00000000">
      <w:pPr>
        <w:pStyle w:val="BodyText"/>
      </w:pPr>
      <w:r>
        <w:t>Hannah, R. W., S. J. Parker, and K. M. Matteson. 2008. Escaping the surface: the effect of capture depth on submergence success of surface-released Pacific rockfish. North American Journal of Fisheries Management, 28:694-700.</w:t>
      </w:r>
    </w:p>
    <w:p w14:paraId="4AF78974" w14:textId="77777777" w:rsidR="008F41C3" w:rsidRDefault="00000000">
      <w:pPr>
        <w:pStyle w:val="BodyText"/>
      </w:pPr>
      <w:r>
        <w:t>Hochhalter, S. J. 2012. Modeling submergence success of discarded yelloweye rockfish (Sebastes ruberrimus) and quillback rockfish (Sebastes maliger): Towards improved estimation of total fishery removals: Fisheries Research 127-128.</w:t>
      </w:r>
    </w:p>
    <w:p w14:paraId="1560FE83" w14:textId="77777777" w:rsidR="008F41C3" w:rsidRDefault="00000000">
      <w:pPr>
        <w:pStyle w:val="BodyText"/>
      </w:pPr>
      <w:r>
        <w:t>Hochhalter, S. J., and D. J. Reed. 2011. The effectiveness of deepwater release at improving the survival of discarded yelloweye rockfish. North American Journal of Fisheries Management 31: 852-860.</w:t>
      </w:r>
    </w:p>
    <w:p w14:paraId="45109320" w14:textId="77777777" w:rsidR="008F41C3" w:rsidRDefault="00000000">
      <w:pPr>
        <w:pStyle w:val="BodyText"/>
      </w:pPr>
      <w:r>
        <w:t>Howard, K. G., S. Campen, F. R. Bowers, R. E. Chadwick, J. W. Erickson, J. J. Hasbrouck, T. R. McKinley, J. Nichols, N. Nichols, A. Olson, J. Rumble, T. T. Taube, and B. Williams. 2019a. ADF&amp;G Statewide Rockfish Initiative: Strategic plan 2017–2020. Alaska Department of Fish and Game, Division of Commercial Fisheries, Regional Information Report 5J19-05, Anchorage.</w:t>
      </w:r>
    </w:p>
    <w:p w14:paraId="27E8FA8F" w14:textId="77777777" w:rsidR="008F41C3" w:rsidRDefault="00000000">
      <w:pPr>
        <w:pStyle w:val="BodyText"/>
      </w:pPr>
      <w:r>
        <w:lastRenderedPageBreak/>
        <w:t>Howard, K. G., D. Evans, and A. St. Saviour. 2020. Reconstructed sport harvests and releases of black and yelloweye rockfishes in the Gulf of Alaska, 1998–2018. Alaska Department of Fish and Game, Fishery Data Series No. 20-25, Anchorage.</w:t>
      </w:r>
    </w:p>
    <w:p w14:paraId="2FE101D0" w14:textId="77777777" w:rsidR="008F41C3" w:rsidRDefault="00000000">
      <w:pPr>
        <w:pStyle w:val="BodyText"/>
      </w:pPr>
      <w:r>
        <w:t>Jaenicke, M., D. Tersteeg, and J. Huang. 2019. Operational Plan: Southeast Alaska marine boat sport fishery harvest studies, 2019. Alaska Department of Fish and Game, Regional Operational Plan SF.1J.2019.05, Anchorage.</w:t>
      </w:r>
    </w:p>
    <w:p w14:paraId="660F5570" w14:textId="77777777" w:rsidR="008F41C3" w:rsidRDefault="00000000">
      <w:pPr>
        <w:pStyle w:val="BodyText"/>
      </w:pPr>
      <w:r>
        <w:t xml:space="preserve">Jarvis, E. T. and C. G. Lowe. 2008. The effects of barotrauma on the catch-and-release survival of southern California nearshore and shelf rockfish (Scorpaenidae, </w:t>
      </w:r>
      <w:r>
        <w:rPr>
          <w:i/>
          <w:iCs/>
        </w:rPr>
        <w:t>Sebastes</w:t>
      </w:r>
      <w:r>
        <w:t xml:space="preserve"> spp.). Canadian Journal of Fisheries and Aquatic Science 65: 1286-1296.</w:t>
      </w:r>
    </w:p>
    <w:p w14:paraId="754D9176" w14:textId="77777777" w:rsidR="008F41C3" w:rsidRDefault="00000000">
      <w:pPr>
        <w:pStyle w:val="BodyText"/>
      </w:pPr>
      <w:r>
        <w:t xml:space="preserve">Kassahun, W., Neyens, T., Molenberghs, G. et al. 2012. Modeling overdispersed longitudinal binary data using a combined beta and normal random-effects model. Arch Public Health 70, 7. </w:t>
      </w:r>
      <w:hyperlink r:id="rId7">
        <w:r>
          <w:rPr>
            <w:rStyle w:val="Hyperlink"/>
          </w:rPr>
          <w:t>https://doi.org/10.1186/0778-7367-70-7</w:t>
        </w:r>
      </w:hyperlink>
    </w:p>
    <w:p w14:paraId="3BD24BA9" w14:textId="77777777" w:rsidR="008F41C3" w:rsidRDefault="00000000">
      <w:pPr>
        <w:pStyle w:val="BodyText"/>
      </w:pPr>
      <w:r>
        <w:t>Lang, Stefan, and Andreas Brezger. 2004. “Bayesian P-Splines.” Journal of Computational and Graphical Statistics 13 (1): 183–212.</w:t>
      </w:r>
    </w:p>
    <w:p w14:paraId="0DAD6C89" w14:textId="77777777" w:rsidR="008F41C3" w:rsidRDefault="00000000">
      <w:pPr>
        <w:pStyle w:val="BodyText"/>
      </w:pPr>
      <w:r>
        <w:t>Lunn D, Spiegelhalter D, Thomas A, Best N. 2009. The BUGS project: Evolution, critique and future directions. Statistics in Medicine, 28:3049-67.</w:t>
      </w:r>
    </w:p>
    <w:p w14:paraId="51298AF3" w14:textId="77777777" w:rsidR="008F41C3" w:rsidRDefault="00000000">
      <w:pPr>
        <w:pStyle w:val="BodyText"/>
      </w:pPr>
      <w:r>
        <w:t>McKean, C., and M. Ford. 2025. Operational plan: Assessment of Pacific halibut and groundfish sport harvest in Southcentral Alaska, 2025–2027. Alaska Department of Fish and Game, Division of Sport Fish, Regional Operational Plan No. ROP.SF.2A.2025.07, Anchorage.</w:t>
      </w:r>
    </w:p>
    <w:p w14:paraId="41C47B8C" w14:textId="77777777" w:rsidR="008F41C3" w:rsidRDefault="00000000">
      <w:pPr>
        <w:pStyle w:val="BodyText"/>
      </w:pPr>
      <w:r>
        <w:t xml:space="preserve">Molenberghs, G., Verbeke, G., Demétrio, C. G. B., &amp; Vieira, A. M. C. 2010. A Family of Generalized Linear Models for Repeated Measures with Normal and Conjugate Random Effects. Statistical Science, 25(3), 325–347. </w:t>
      </w:r>
      <w:hyperlink r:id="rId8">
        <w:r>
          <w:rPr>
            <w:rStyle w:val="Hyperlink"/>
          </w:rPr>
          <w:t>http://www.jstor.org/stable/41058951</w:t>
        </w:r>
      </w:hyperlink>
    </w:p>
    <w:p w14:paraId="29C47996" w14:textId="77777777" w:rsidR="008F41C3" w:rsidRDefault="00000000">
      <w:pPr>
        <w:pStyle w:val="BodyText"/>
      </w:pPr>
      <w:r>
        <w:t xml:space="preserve">Plummer M (2024). </w:t>
      </w:r>
      <w:r>
        <w:rPr>
          <w:i/>
          <w:iCs/>
        </w:rPr>
        <w:t>rjags: Bayesian Graphical Models using MCMC</w:t>
      </w:r>
      <w:r>
        <w:t xml:space="preserve">. R package version 4-16, </w:t>
      </w:r>
      <w:hyperlink r:id="rId9">
        <w:r>
          <w:rPr>
            <w:rStyle w:val="Hyperlink"/>
          </w:rPr>
          <w:t>https://CRAN.R-project.org/package=rjags</w:t>
        </w:r>
      </w:hyperlink>
      <w:r>
        <w:t>.</w:t>
      </w:r>
    </w:p>
    <w:p w14:paraId="71792D28" w14:textId="77777777" w:rsidR="008F41C3" w:rsidRDefault="00000000">
      <w:pPr>
        <w:pStyle w:val="BodyText"/>
      </w:pPr>
      <w:r>
        <w:t>Plummer M, Best N, Cowles K, Vines K 2006. CODA: Convergence Diagnosis and Output Analysis for MCMC, R News, 6:7-11.</w:t>
      </w:r>
    </w:p>
    <w:p w14:paraId="50C6442D" w14:textId="77777777" w:rsidR="008F41C3" w:rsidRDefault="00000000">
      <w:pPr>
        <w:pStyle w:val="BodyText"/>
      </w:pPr>
      <w:r>
        <w:t>Polum, T., M. Witteveen, and B. Woolever. 2025. Report on selected sport fisheries of the Alaska Peninsula–Aleutian Islands Management Area, 2015–2025. Alaska Department of Fish and Game, Fishery Management Report No. 25-36, Anchorage.</w:t>
      </w:r>
    </w:p>
    <w:p w14:paraId="61325ADF" w14:textId="77777777" w:rsidR="008F41C3" w:rsidRDefault="00000000">
      <w:pPr>
        <w:pStyle w:val="BodyText"/>
      </w:pPr>
      <w:r>
        <w:t>Powers, B. 2015. Alaska Department of Fish and Game statewide saltwater guided sport fishing logbook reporting program, 2015–2017. Alaska Department of Fish and Game, Division of Sport Fish, Regional Operational Plan ROP.SF.4A.2015.02, Anchorage.</w:t>
      </w:r>
    </w:p>
    <w:p w14:paraId="63D505C2" w14:textId="77777777" w:rsidR="008F41C3" w:rsidRDefault="00000000">
      <w:pPr>
        <w:pStyle w:val="BodyText"/>
      </w:pPr>
      <w:r>
        <w:t xml:space="preserve">R Core Team (2021). R: A language and environment for statistical computing. R Foundation for Statistical Computing, Vienna, Austria. URL </w:t>
      </w:r>
      <w:hyperlink r:id="rId10">
        <w:r>
          <w:rPr>
            <w:rStyle w:val="Hyperlink"/>
          </w:rPr>
          <w:t>https://www.R-project.org/</w:t>
        </w:r>
      </w:hyperlink>
      <w:r>
        <w:t>.</w:t>
      </w:r>
    </w:p>
    <w:p w14:paraId="7E4AE121" w14:textId="77777777" w:rsidR="008F41C3" w:rsidRDefault="00000000">
      <w:pPr>
        <w:pStyle w:val="BodyText"/>
      </w:pPr>
      <w:r>
        <w:t>Richards, P., D. Tersteeg, C. M. Hinds, A. Lake, and J. Huang. 2025. Operational plan: Southeast Alaska marine boat sport fishery harvest studies, 2025. Alaska Department of Fish and Game, Division of Sport Fish, Regional Operational Plan No. ROP.SF.1J.2025.05, Anchorage.</w:t>
      </w:r>
    </w:p>
    <w:p w14:paraId="19ABA048" w14:textId="77777777" w:rsidR="008F41C3" w:rsidRDefault="00000000">
      <w:pPr>
        <w:pStyle w:val="BodyText"/>
      </w:pPr>
      <w:r>
        <w:t>Romberg, W. J., I. Rafferty, and M. Martz. 2018. Alaska Statewide Sport Fish Harvest Survey, 2018. Alaska Department of Fish and Game, Division of Sport Fish, Regional Operational Plan ROP.SF.4A.2018.07, Anchorage.</w:t>
      </w:r>
    </w:p>
    <w:p w14:paraId="6830B635" w14:textId="77777777" w:rsidR="008F41C3" w:rsidRDefault="00000000">
      <w:pPr>
        <w:pStyle w:val="BodyText"/>
      </w:pPr>
      <w:r>
        <w:lastRenderedPageBreak/>
        <w:t>Ruppert, David, Matt P. Wand, and Raymond J. Carroll. 2003. Semiparametric Regression. Cambridge University Press.</w:t>
      </w:r>
    </w:p>
    <w:p w14:paraId="2FCAF71B" w14:textId="77777777" w:rsidR="008F41C3" w:rsidRDefault="00000000">
      <w:pPr>
        <w:pStyle w:val="BodyText"/>
      </w:pPr>
      <w:r>
        <w:t>Schuster, M. D., A. B. St. Saviour, A. Reimer, C. McKean, and S. C. Meyer. 2025. Characteristics of the sport harvest of rockfishes Sebastes in Southcentral Alaska, 1996–2019. Alaska Department of Fish and Game, Fishery Data Series No. 25-40, Anchorage.</w:t>
      </w:r>
    </w:p>
    <w:p w14:paraId="18769736" w14:textId="77777777" w:rsidR="008F41C3" w:rsidRDefault="00000000">
      <w:pPr>
        <w:pStyle w:val="BodyText"/>
      </w:pPr>
      <w:r>
        <w:t>Tschersich, P., J. Dissen, and W. Gaeuman. 2023. Westward Region hydroacoustic survey for black rockfish Sebastes melanops abundance, 2007–2022. Alaska Department of Fish and Game, Fishery Data Series No. 23-31, Anchorage.</w:t>
      </w:r>
    </w:p>
    <w:p w14:paraId="1893A246" w14:textId="77777777" w:rsidR="008F41C3" w:rsidRDefault="00000000">
      <w:r>
        <w:br w:type="page"/>
      </w:r>
    </w:p>
    <w:p w14:paraId="72C51EFC" w14:textId="77777777" w:rsidR="008F41C3" w:rsidRDefault="00000000">
      <w:pPr>
        <w:pStyle w:val="Heading4"/>
      </w:pPr>
      <w:bookmarkStart w:id="184" w:name="extra-stuff-not-ready-to-delete"/>
      <w:r>
        <w:lastRenderedPageBreak/>
        <w:t>Extra Stuff not ready to delete:</w:t>
      </w:r>
    </w:p>
    <w:p w14:paraId="0F42954C" w14:textId="77777777" w:rsidR="008F41C3" w:rsidRDefault="00000000">
      <w:pPr>
        <w:pStyle w:val="FirstParagraph"/>
      </w:pPr>
      <m:oMathPara>
        <m:oMath>
          <m: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oMath>
      </m:oMathPara>
    </w:p>
    <w:p w14:paraId="08663FE2" w14:textId="77777777" w:rsidR="008F41C3" w:rsidRDefault="00000000">
      <w:pPr>
        <w:pStyle w:val="BodyText"/>
      </w:pPr>
      <w:r>
        <w:t xml:space="preserve">incorporates marginal variance such that variance of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oMath>
      <w:r>
        <w:t xml:space="preserve"> allows for extra uncertainty in the interview estimates of harvest probabilities, </w:t>
      </w:r>
      <m:oMath>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up>
            <m:r>
              <w:rPr>
                <w:rFonts w:ascii="Cambria Math" w:hAnsi="Cambria Math"/>
              </w:rPr>
              <m:t>int</m:t>
            </m:r>
          </m:sup>
        </m:sSubSup>
      </m:oMath>
      <w:r>
        <w:t xml:space="preserve"> such that</w:t>
      </w:r>
    </w:p>
    <w:p w14:paraId="55AD6837" w14:textId="77777777" w:rsidR="008F41C3" w:rsidRDefault="00000000">
      <w:pPr>
        <w:pStyle w:val="BodyText"/>
      </w:pPr>
      <m:oMathPara>
        <m:oMath>
          <m: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r>
            <m:rPr>
              <m:sty m:val="p"/>
            </m:rPr>
            <w:rPr>
              <w:rFonts w:ascii="Cambria Math" w:hAnsi="Cambria Math"/>
            </w:rPr>
            <m:t>=</m:t>
          </m:r>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up>
              <m:r>
                <w:rPr>
                  <w:rFonts w:ascii="Cambria Math" w:hAnsi="Cambria Math"/>
                </w:rPr>
                <m:t>int</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up>
                  <m:r>
                    <w:rPr>
                      <w:rFonts w:ascii="Cambria Math" w:hAnsi="Cambria Math"/>
                    </w:rPr>
                    <m:t>int</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r>
            <m:rPr>
              <m:sty m:val="p"/>
            </m:rPr>
            <w:rPr>
              <w:rFonts w:ascii="Cambria Math" w:hAnsi="Cambria Math"/>
            </w:rPr>
            <m:t>+</m:t>
          </m:r>
          <m:r>
            <w:rPr>
              <w:rFonts w:ascii="Cambria Math" w:hAnsi="Cambria Math"/>
            </w:rPr>
            <m:t>Var</m:t>
          </m:r>
          <m:d>
            <m:dPr>
              <m:ctrlPr>
                <w:rPr>
                  <w:rFonts w:ascii="Cambria Math" w:hAnsi="Cambria Math"/>
                </w:rPr>
              </m:ctrlPr>
            </m:dPr>
            <m:e>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up>
                  <m:r>
                    <w:rPr>
                      <w:rFonts w:ascii="Cambria Math" w:hAnsi="Cambria Math"/>
                    </w:rPr>
                    <m:t>int</m:t>
                  </m:r>
                </m:sup>
              </m:sSubSup>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e>
            <m:sup>
              <m:r>
                <w:rPr>
                  <w:rFonts w:ascii="Cambria Math" w:hAnsi="Cambria Math"/>
                </w:rPr>
                <m:t>2</m:t>
              </m:r>
            </m:sup>
          </m:sSup>
        </m:oMath>
      </m:oMathPara>
      <w:bookmarkEnd w:id="182"/>
      <w:bookmarkEnd w:id="184"/>
    </w:p>
    <w:sectPr w:rsidR="008F41C3" w:rsidSect="000D6A2A">
      <w:footerReference w:type="default" r:id="rId11"/>
      <w:pgSz w:w="12240" w:h="15840" w:code="1"/>
      <w:pgMar w:top="1440" w:right="1440" w:bottom="1440" w:left="1440" w:header="720" w:footer="547" w:gutter="0"/>
      <w:cols w:space="432"/>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8B0B1" w14:textId="77777777" w:rsidR="00063359" w:rsidRDefault="00063359">
      <w:pPr>
        <w:spacing w:after="0"/>
      </w:pPr>
      <w:r>
        <w:separator/>
      </w:r>
    </w:p>
  </w:endnote>
  <w:endnote w:type="continuationSeparator" w:id="0">
    <w:p w14:paraId="2D5CA81E" w14:textId="77777777" w:rsidR="00063359" w:rsidRDefault="0006335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FBFON+TimesNewRoman,Italic">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Bookman">
    <w:altName w:val="Bookman Old Style"/>
    <w:panose1 w:val="00000000000000000000"/>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Times Roman">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33CAA" w14:textId="77777777" w:rsidR="00C506F1" w:rsidRDefault="00015B0E" w:rsidP="00346BD5">
    <w:pPr>
      <w:pStyle w:val="Footer"/>
      <w:framePr w:wrap="around" w:vAnchor="text" w:hAnchor="margin" w:xAlign="center" w:y="1"/>
      <w:rPr>
        <w:rStyle w:val="PageNumber"/>
      </w:rPr>
    </w:pPr>
    <w:r>
      <w:rPr>
        <w:rStyle w:val="PageNumber"/>
      </w:rPr>
      <w:fldChar w:fldCharType="begin"/>
    </w:r>
    <w:r w:rsidR="00C506F1">
      <w:rPr>
        <w:rStyle w:val="PageNumber"/>
      </w:rPr>
      <w:instrText xml:space="preserve">PAGE  </w:instrText>
    </w:r>
    <w:r>
      <w:rPr>
        <w:rStyle w:val="PageNumber"/>
      </w:rPr>
      <w:fldChar w:fldCharType="separate"/>
    </w:r>
    <w:r w:rsidR="00D65AE6">
      <w:rPr>
        <w:rStyle w:val="PageNumber"/>
        <w:noProof/>
      </w:rPr>
      <w:t>8</w:t>
    </w:r>
    <w:r>
      <w:rPr>
        <w:rStyle w:val="PageNumber"/>
      </w:rPr>
      <w:fldChar w:fldCharType="end"/>
    </w:r>
  </w:p>
  <w:p w14:paraId="5C2B0C57" w14:textId="77777777" w:rsidR="00C506F1" w:rsidRDefault="00C506F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D268B" w14:textId="77777777" w:rsidR="00063359" w:rsidRDefault="00063359">
      <w:pPr>
        <w:spacing w:after="0"/>
      </w:pPr>
      <w:r>
        <w:separator/>
      </w:r>
    </w:p>
  </w:footnote>
  <w:footnote w:type="continuationSeparator" w:id="0">
    <w:p w14:paraId="16B5AF37" w14:textId="77777777" w:rsidR="00063359" w:rsidRDefault="0006335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CC0B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21"/>
    <w:multiLevelType w:val="multilevel"/>
    <w:tmpl w:val="08087E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721"/>
    <w:multiLevelType w:val="multilevel"/>
    <w:tmpl w:val="3CD652E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3" w15:restartNumberingAfterBreak="0">
    <w:nsid w:val="0F9A398D"/>
    <w:multiLevelType w:val="hybridMultilevel"/>
    <w:tmpl w:val="4D1CB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D03A36"/>
    <w:multiLevelType w:val="hybridMultilevel"/>
    <w:tmpl w:val="153CDCB8"/>
    <w:lvl w:ilvl="0" w:tplc="B2E6AC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551D04"/>
    <w:multiLevelType w:val="multilevel"/>
    <w:tmpl w:val="B380B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D808A7"/>
    <w:multiLevelType w:val="multilevel"/>
    <w:tmpl w:val="C46C077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C77F29"/>
    <w:multiLevelType w:val="hybridMultilevel"/>
    <w:tmpl w:val="44725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215925"/>
    <w:multiLevelType w:val="hybridMultilevel"/>
    <w:tmpl w:val="6EDC7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FD3D89"/>
    <w:multiLevelType w:val="hybridMultilevel"/>
    <w:tmpl w:val="DC8A5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2253D9"/>
    <w:multiLevelType w:val="multilevel"/>
    <w:tmpl w:val="FDE861C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85442D"/>
    <w:multiLevelType w:val="hybridMultilevel"/>
    <w:tmpl w:val="972635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7B7659"/>
    <w:multiLevelType w:val="multilevel"/>
    <w:tmpl w:val="FA3A3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C350CB"/>
    <w:multiLevelType w:val="hybridMultilevel"/>
    <w:tmpl w:val="769EE5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B50414"/>
    <w:multiLevelType w:val="multilevel"/>
    <w:tmpl w:val="4EE05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EA1A48"/>
    <w:multiLevelType w:val="hybridMultilevel"/>
    <w:tmpl w:val="F104B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B1637D"/>
    <w:multiLevelType w:val="hybridMultilevel"/>
    <w:tmpl w:val="31A62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4FC195"/>
    <w:multiLevelType w:val="multilevel"/>
    <w:tmpl w:val="A4CEF3AA"/>
    <w:lvl w:ilvl="0">
      <w:start w:val="1"/>
      <w:numFmt w:val="decimal"/>
      <w:pStyle w:val="Compact"/>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8" w15:restartNumberingAfterBreak="0">
    <w:nsid w:val="3C2D5013"/>
    <w:multiLevelType w:val="hybridMultilevel"/>
    <w:tmpl w:val="641AD2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C9F5502"/>
    <w:multiLevelType w:val="hybridMultilevel"/>
    <w:tmpl w:val="D80264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CA55B7"/>
    <w:multiLevelType w:val="hybridMultilevel"/>
    <w:tmpl w:val="F104BF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5243F45"/>
    <w:multiLevelType w:val="multilevel"/>
    <w:tmpl w:val="E3F83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FA4159"/>
    <w:multiLevelType w:val="multilevel"/>
    <w:tmpl w:val="58F64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D3166E"/>
    <w:multiLevelType w:val="hybridMultilevel"/>
    <w:tmpl w:val="46CA0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DE31A6"/>
    <w:multiLevelType w:val="multilevel"/>
    <w:tmpl w:val="E228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4720C9"/>
    <w:multiLevelType w:val="hybridMultilevel"/>
    <w:tmpl w:val="E9AC2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E35EA9"/>
    <w:multiLevelType w:val="hybridMultilevel"/>
    <w:tmpl w:val="2F8A48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8841F8"/>
    <w:multiLevelType w:val="multilevel"/>
    <w:tmpl w:val="2A58D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CF47EE"/>
    <w:multiLevelType w:val="hybridMultilevel"/>
    <w:tmpl w:val="5D749DAA"/>
    <w:lvl w:ilvl="0" w:tplc="04090001">
      <w:start w:val="1"/>
      <w:numFmt w:val="bullet"/>
      <w:lvlText w:val=""/>
      <w:lvlJc w:val="left"/>
      <w:pPr>
        <w:tabs>
          <w:tab w:val="num" w:pos="720"/>
        </w:tabs>
        <w:ind w:left="720" w:hanging="360"/>
      </w:pPr>
      <w:rPr>
        <w:rFonts w:ascii="Symbol" w:hAnsi="Symbol" w:hint="default"/>
      </w:rPr>
    </w:lvl>
    <w:lvl w:ilvl="1" w:tplc="1DDC0244">
      <w:start w:val="1"/>
      <w:numFmt w:val="bullet"/>
      <w:pStyle w:val="Bulletedtes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75441085">
    <w:abstractNumId w:val="28"/>
  </w:num>
  <w:num w:numId="2" w16cid:durableId="1697196370">
    <w:abstractNumId w:val="11"/>
  </w:num>
  <w:num w:numId="3" w16cid:durableId="823203623">
    <w:abstractNumId w:val="18"/>
  </w:num>
  <w:num w:numId="4" w16cid:durableId="1002195541">
    <w:abstractNumId w:val="25"/>
  </w:num>
  <w:num w:numId="5" w16cid:durableId="23678503">
    <w:abstractNumId w:val="17"/>
  </w:num>
  <w:num w:numId="6" w16cid:durableId="582764881">
    <w:abstractNumId w:val="13"/>
  </w:num>
  <w:num w:numId="7" w16cid:durableId="1615206266">
    <w:abstractNumId w:val="19"/>
  </w:num>
  <w:num w:numId="8" w16cid:durableId="1447501962">
    <w:abstractNumId w:val="3"/>
  </w:num>
  <w:num w:numId="9" w16cid:durableId="146943494">
    <w:abstractNumId w:val="4"/>
  </w:num>
  <w:num w:numId="10" w16cid:durableId="1932003288">
    <w:abstractNumId w:val="9"/>
  </w:num>
  <w:num w:numId="11" w16cid:durableId="1701660045">
    <w:abstractNumId w:val="15"/>
  </w:num>
  <w:num w:numId="12" w16cid:durableId="419639843">
    <w:abstractNumId w:val="20"/>
  </w:num>
  <w:num w:numId="13" w16cid:durableId="1950114990">
    <w:abstractNumId w:val="23"/>
  </w:num>
  <w:num w:numId="14" w16cid:durableId="79644334">
    <w:abstractNumId w:val="8"/>
  </w:num>
  <w:num w:numId="15" w16cid:durableId="1637249986">
    <w:abstractNumId w:val="16"/>
  </w:num>
  <w:num w:numId="16" w16cid:durableId="1894657587">
    <w:abstractNumId w:val="26"/>
  </w:num>
  <w:num w:numId="17" w16cid:durableId="1276520612">
    <w:abstractNumId w:val="5"/>
  </w:num>
  <w:num w:numId="18" w16cid:durableId="1184368509">
    <w:abstractNumId w:val="14"/>
  </w:num>
  <w:num w:numId="19" w16cid:durableId="179512789">
    <w:abstractNumId w:val="7"/>
  </w:num>
  <w:num w:numId="20" w16cid:durableId="1160000273">
    <w:abstractNumId w:val="24"/>
  </w:num>
  <w:num w:numId="21" w16cid:durableId="1979872988">
    <w:abstractNumId w:val="21"/>
  </w:num>
  <w:num w:numId="22" w16cid:durableId="1362635024">
    <w:abstractNumId w:val="27"/>
  </w:num>
  <w:num w:numId="23" w16cid:durableId="1410889386">
    <w:abstractNumId w:val="12"/>
  </w:num>
  <w:num w:numId="24" w16cid:durableId="1990207080">
    <w:abstractNumId w:val="22"/>
  </w:num>
  <w:num w:numId="25" w16cid:durableId="685012224">
    <w:abstractNumId w:val="6"/>
  </w:num>
  <w:num w:numId="26" w16cid:durableId="1979919492">
    <w:abstractNumId w:val="10"/>
  </w:num>
  <w:num w:numId="27" w16cid:durableId="1376849191">
    <w:abstractNumId w:val="0"/>
  </w:num>
  <w:num w:numId="28" w16cid:durableId="10942068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939532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y, Philip J (DFG)">
    <w15:presenceInfo w15:providerId="AD" w15:userId="S::philip.joy@alaska.gov::07bb4402-e822-4d82-9684-e0a3bfb665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embedSystemFonts/>
  <w:activeWritingStyle w:appName="MSWord" w:lang="en-US" w:vendorID="64" w:dllVersion="5" w:nlCheck="1" w:checkStyle="1"/>
  <w:activeWritingStyle w:appName="MSWord" w:lang="en-US" w:vendorID="64" w:dllVersion="0"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720"/>
  <w:drawingGridHorizontalSpacing w:val="360"/>
  <w:drawingGridVerticalSpacing w:val="36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䂚³ۇ~Ќᳫw_x000a_Table Grid7嘺l혓0ӿӿӿӿӿӿl␃ᐃ碤愀̤ll͠＀＀＀Ą＀Ą＀Ą＀Ą＀Ą＀Ą氀氀̀̃uðxĀāāऀĀś耀＀dЉЉЁ＀＀＀＀_x000a_$%ÿ䤟}á腏½僀M뮛Y撀¢걋Æ雷Fÿÿá䤟}_x000a__x000a__x000a_⃿⒐䄋Ѓ⁮潃牯楤慮整s偐⁔慓敶獁敗偢条⁥敄捳⁲敔瑸䌠潯摲湩瑡獥伀敮朠潲灵氠祡畯⁴慭歲牥映牯匠癡䅥䡳浴⁬⁙潣牯楤慮整吀潷朠潲灵氠祡畯⁴慭歲牥映牯匠癡䅥䡳浴⁬⁙潣牯楤慮整匀浩汰䕥楤⹴⸮䰀潯⁫椦㩮☀灏湥☀潃癮牥⹴⸮☀楆摮⸮.摅瑩䌠湯牴汯䌠湯整瑮搠獩汰祡摥愠⁳整瑸䘀湩⁤楦敬⁳桴瑡洠瑡档琠敨敳挠楲整楲㩡䘀汩⁥渦浡㩥䘀汩獥漠⁦琦灹㩥吀♥瑸漠⁲牰灯牥祴:慌瑳☠潭楤楦摥:䘦湩⁤潎w敎眦匠慥捲h潔♯獬匀挦畲bÚ"/>
  </w:docVars>
  <w:rsids>
    <w:rsidRoot w:val="004E258D"/>
    <w:rsid w:val="00000075"/>
    <w:rsid w:val="00001068"/>
    <w:rsid w:val="00002599"/>
    <w:rsid w:val="00003DB3"/>
    <w:rsid w:val="00004978"/>
    <w:rsid w:val="00005979"/>
    <w:rsid w:val="00006A26"/>
    <w:rsid w:val="000136D1"/>
    <w:rsid w:val="000146DE"/>
    <w:rsid w:val="000146E8"/>
    <w:rsid w:val="000155AF"/>
    <w:rsid w:val="00015B0E"/>
    <w:rsid w:val="00030A69"/>
    <w:rsid w:val="00030B62"/>
    <w:rsid w:val="0003633D"/>
    <w:rsid w:val="00042399"/>
    <w:rsid w:val="0004282A"/>
    <w:rsid w:val="00051C55"/>
    <w:rsid w:val="00055130"/>
    <w:rsid w:val="00055ADE"/>
    <w:rsid w:val="00060B02"/>
    <w:rsid w:val="0006220E"/>
    <w:rsid w:val="0006332C"/>
    <w:rsid w:val="00063359"/>
    <w:rsid w:val="00063ACC"/>
    <w:rsid w:val="0007121D"/>
    <w:rsid w:val="00071A76"/>
    <w:rsid w:val="00071CFE"/>
    <w:rsid w:val="00071FCE"/>
    <w:rsid w:val="00075914"/>
    <w:rsid w:val="00077C98"/>
    <w:rsid w:val="00081865"/>
    <w:rsid w:val="00081CCF"/>
    <w:rsid w:val="00082BCF"/>
    <w:rsid w:val="000927FD"/>
    <w:rsid w:val="00092B54"/>
    <w:rsid w:val="000947F1"/>
    <w:rsid w:val="000A2FCA"/>
    <w:rsid w:val="000A3EF3"/>
    <w:rsid w:val="000A4B25"/>
    <w:rsid w:val="000A4E31"/>
    <w:rsid w:val="000B040F"/>
    <w:rsid w:val="000B1243"/>
    <w:rsid w:val="000B4171"/>
    <w:rsid w:val="000B59C6"/>
    <w:rsid w:val="000B6048"/>
    <w:rsid w:val="000B7042"/>
    <w:rsid w:val="000C25AD"/>
    <w:rsid w:val="000C3C89"/>
    <w:rsid w:val="000C4526"/>
    <w:rsid w:val="000C5A45"/>
    <w:rsid w:val="000C5E13"/>
    <w:rsid w:val="000C77D8"/>
    <w:rsid w:val="000D10A8"/>
    <w:rsid w:val="000D4BF9"/>
    <w:rsid w:val="000D5DB5"/>
    <w:rsid w:val="000D5F9F"/>
    <w:rsid w:val="000D6A2A"/>
    <w:rsid w:val="000E0A16"/>
    <w:rsid w:val="000E1CC8"/>
    <w:rsid w:val="000E4EAE"/>
    <w:rsid w:val="000E4F93"/>
    <w:rsid w:val="000E7901"/>
    <w:rsid w:val="00101D56"/>
    <w:rsid w:val="00103651"/>
    <w:rsid w:val="00111A11"/>
    <w:rsid w:val="00114CAA"/>
    <w:rsid w:val="00117DD3"/>
    <w:rsid w:val="00126A03"/>
    <w:rsid w:val="001404D1"/>
    <w:rsid w:val="00145E46"/>
    <w:rsid w:val="00146317"/>
    <w:rsid w:val="001463AA"/>
    <w:rsid w:val="0015645E"/>
    <w:rsid w:val="00163370"/>
    <w:rsid w:val="001678BD"/>
    <w:rsid w:val="0017230C"/>
    <w:rsid w:val="001732EE"/>
    <w:rsid w:val="00176864"/>
    <w:rsid w:val="00182C4B"/>
    <w:rsid w:val="00183709"/>
    <w:rsid w:val="00184F33"/>
    <w:rsid w:val="001869B8"/>
    <w:rsid w:val="00186DBB"/>
    <w:rsid w:val="0018779D"/>
    <w:rsid w:val="001914EF"/>
    <w:rsid w:val="00191E06"/>
    <w:rsid w:val="00192968"/>
    <w:rsid w:val="00194C78"/>
    <w:rsid w:val="00195518"/>
    <w:rsid w:val="0019676A"/>
    <w:rsid w:val="001977C9"/>
    <w:rsid w:val="001A3958"/>
    <w:rsid w:val="001A3EB0"/>
    <w:rsid w:val="001A4C72"/>
    <w:rsid w:val="001A5A06"/>
    <w:rsid w:val="001A5EE6"/>
    <w:rsid w:val="001B06E5"/>
    <w:rsid w:val="001B180D"/>
    <w:rsid w:val="001B2BC0"/>
    <w:rsid w:val="001B3A4F"/>
    <w:rsid w:val="001B3F01"/>
    <w:rsid w:val="001B533B"/>
    <w:rsid w:val="001B6BF4"/>
    <w:rsid w:val="001C28CC"/>
    <w:rsid w:val="001C2980"/>
    <w:rsid w:val="001D1AF4"/>
    <w:rsid w:val="001D2123"/>
    <w:rsid w:val="001D2304"/>
    <w:rsid w:val="001D35A0"/>
    <w:rsid w:val="001D501A"/>
    <w:rsid w:val="001D7C45"/>
    <w:rsid w:val="001E11EB"/>
    <w:rsid w:val="001E17C2"/>
    <w:rsid w:val="001E20A8"/>
    <w:rsid w:val="001E48D6"/>
    <w:rsid w:val="001E5209"/>
    <w:rsid w:val="001E5833"/>
    <w:rsid w:val="001F132A"/>
    <w:rsid w:val="001F4C70"/>
    <w:rsid w:val="001F6300"/>
    <w:rsid w:val="001F6566"/>
    <w:rsid w:val="002000C7"/>
    <w:rsid w:val="00201A68"/>
    <w:rsid w:val="0020675E"/>
    <w:rsid w:val="0020696C"/>
    <w:rsid w:val="00207D23"/>
    <w:rsid w:val="00213652"/>
    <w:rsid w:val="00213C97"/>
    <w:rsid w:val="00214193"/>
    <w:rsid w:val="0021640B"/>
    <w:rsid w:val="00216E9E"/>
    <w:rsid w:val="00217480"/>
    <w:rsid w:val="002255F1"/>
    <w:rsid w:val="00233A4C"/>
    <w:rsid w:val="0023473E"/>
    <w:rsid w:val="00234956"/>
    <w:rsid w:val="00240107"/>
    <w:rsid w:val="00241E78"/>
    <w:rsid w:val="0024489E"/>
    <w:rsid w:val="00251D14"/>
    <w:rsid w:val="00252646"/>
    <w:rsid w:val="00253B70"/>
    <w:rsid w:val="0025660E"/>
    <w:rsid w:val="002605AE"/>
    <w:rsid w:val="00261EAE"/>
    <w:rsid w:val="002629DE"/>
    <w:rsid w:val="0026306A"/>
    <w:rsid w:val="002643C6"/>
    <w:rsid w:val="002654B6"/>
    <w:rsid w:val="002679A6"/>
    <w:rsid w:val="00271838"/>
    <w:rsid w:val="00271AE9"/>
    <w:rsid w:val="0027396A"/>
    <w:rsid w:val="0027449E"/>
    <w:rsid w:val="002751C4"/>
    <w:rsid w:val="0027772A"/>
    <w:rsid w:val="002826CD"/>
    <w:rsid w:val="002843DE"/>
    <w:rsid w:val="00285FA7"/>
    <w:rsid w:val="00287615"/>
    <w:rsid w:val="002A2BF0"/>
    <w:rsid w:val="002A3C82"/>
    <w:rsid w:val="002A703B"/>
    <w:rsid w:val="002B0865"/>
    <w:rsid w:val="002B1056"/>
    <w:rsid w:val="002B11FA"/>
    <w:rsid w:val="002B4298"/>
    <w:rsid w:val="002B6F29"/>
    <w:rsid w:val="002B7FE6"/>
    <w:rsid w:val="002D0CAB"/>
    <w:rsid w:val="002E1D26"/>
    <w:rsid w:val="002E4C79"/>
    <w:rsid w:val="002E54B8"/>
    <w:rsid w:val="002E6CBE"/>
    <w:rsid w:val="002F263E"/>
    <w:rsid w:val="002F30F4"/>
    <w:rsid w:val="002F4A31"/>
    <w:rsid w:val="00301B6E"/>
    <w:rsid w:val="00304AC9"/>
    <w:rsid w:val="00312355"/>
    <w:rsid w:val="00313BB9"/>
    <w:rsid w:val="0031540A"/>
    <w:rsid w:val="00320942"/>
    <w:rsid w:val="00326865"/>
    <w:rsid w:val="003269E1"/>
    <w:rsid w:val="00326E0F"/>
    <w:rsid w:val="00330F5B"/>
    <w:rsid w:val="00332665"/>
    <w:rsid w:val="00332964"/>
    <w:rsid w:val="0033336A"/>
    <w:rsid w:val="00334100"/>
    <w:rsid w:val="0033527A"/>
    <w:rsid w:val="0033658A"/>
    <w:rsid w:val="00342297"/>
    <w:rsid w:val="00343665"/>
    <w:rsid w:val="0034424F"/>
    <w:rsid w:val="00345AF4"/>
    <w:rsid w:val="00346BD5"/>
    <w:rsid w:val="00353EDE"/>
    <w:rsid w:val="003544CF"/>
    <w:rsid w:val="003553D9"/>
    <w:rsid w:val="00357613"/>
    <w:rsid w:val="00357E78"/>
    <w:rsid w:val="0036061E"/>
    <w:rsid w:val="00361A0E"/>
    <w:rsid w:val="00362194"/>
    <w:rsid w:val="00364E3F"/>
    <w:rsid w:val="00367C57"/>
    <w:rsid w:val="00370702"/>
    <w:rsid w:val="003724BF"/>
    <w:rsid w:val="003725D4"/>
    <w:rsid w:val="00376696"/>
    <w:rsid w:val="0038005F"/>
    <w:rsid w:val="003806B5"/>
    <w:rsid w:val="00383A49"/>
    <w:rsid w:val="00386812"/>
    <w:rsid w:val="0039001E"/>
    <w:rsid w:val="003932B0"/>
    <w:rsid w:val="0039796A"/>
    <w:rsid w:val="003A1624"/>
    <w:rsid w:val="003A2EE8"/>
    <w:rsid w:val="003A3D37"/>
    <w:rsid w:val="003A6C8B"/>
    <w:rsid w:val="003B195F"/>
    <w:rsid w:val="003B466E"/>
    <w:rsid w:val="003B5ED5"/>
    <w:rsid w:val="003B6046"/>
    <w:rsid w:val="003B715A"/>
    <w:rsid w:val="003C0393"/>
    <w:rsid w:val="003C0487"/>
    <w:rsid w:val="003C44D8"/>
    <w:rsid w:val="003D2391"/>
    <w:rsid w:val="003E540A"/>
    <w:rsid w:val="003E5920"/>
    <w:rsid w:val="003E77A1"/>
    <w:rsid w:val="003E7BB1"/>
    <w:rsid w:val="003F0E45"/>
    <w:rsid w:val="003F1D6A"/>
    <w:rsid w:val="003F5EF7"/>
    <w:rsid w:val="003F6586"/>
    <w:rsid w:val="0040030D"/>
    <w:rsid w:val="00400946"/>
    <w:rsid w:val="00401D68"/>
    <w:rsid w:val="00402A77"/>
    <w:rsid w:val="0041270B"/>
    <w:rsid w:val="00415187"/>
    <w:rsid w:val="00416DCA"/>
    <w:rsid w:val="00422470"/>
    <w:rsid w:val="004236AA"/>
    <w:rsid w:val="00423826"/>
    <w:rsid w:val="0042588D"/>
    <w:rsid w:val="0042746C"/>
    <w:rsid w:val="00430C74"/>
    <w:rsid w:val="004310B4"/>
    <w:rsid w:val="00431E53"/>
    <w:rsid w:val="00431F9C"/>
    <w:rsid w:val="0043245C"/>
    <w:rsid w:val="004337C8"/>
    <w:rsid w:val="00437883"/>
    <w:rsid w:val="0044129D"/>
    <w:rsid w:val="00443F71"/>
    <w:rsid w:val="0045264E"/>
    <w:rsid w:val="0045620B"/>
    <w:rsid w:val="0045635A"/>
    <w:rsid w:val="0046037E"/>
    <w:rsid w:val="00462332"/>
    <w:rsid w:val="00464365"/>
    <w:rsid w:val="004652ED"/>
    <w:rsid w:val="00465B6B"/>
    <w:rsid w:val="004677FB"/>
    <w:rsid w:val="004710B3"/>
    <w:rsid w:val="00474BB6"/>
    <w:rsid w:val="0047556C"/>
    <w:rsid w:val="004774CA"/>
    <w:rsid w:val="0048096E"/>
    <w:rsid w:val="00480BFC"/>
    <w:rsid w:val="00480E25"/>
    <w:rsid w:val="004818AB"/>
    <w:rsid w:val="00481919"/>
    <w:rsid w:val="00483181"/>
    <w:rsid w:val="00483342"/>
    <w:rsid w:val="0048542F"/>
    <w:rsid w:val="00487DA3"/>
    <w:rsid w:val="00493A4E"/>
    <w:rsid w:val="00495B9B"/>
    <w:rsid w:val="004A0A67"/>
    <w:rsid w:val="004A0F88"/>
    <w:rsid w:val="004A131B"/>
    <w:rsid w:val="004A6568"/>
    <w:rsid w:val="004B2B66"/>
    <w:rsid w:val="004B3517"/>
    <w:rsid w:val="004B5FCC"/>
    <w:rsid w:val="004B629B"/>
    <w:rsid w:val="004C1993"/>
    <w:rsid w:val="004C19BF"/>
    <w:rsid w:val="004C262C"/>
    <w:rsid w:val="004C342C"/>
    <w:rsid w:val="004C3F36"/>
    <w:rsid w:val="004C5042"/>
    <w:rsid w:val="004D060B"/>
    <w:rsid w:val="004D2D7B"/>
    <w:rsid w:val="004D3F4F"/>
    <w:rsid w:val="004D661F"/>
    <w:rsid w:val="004D7F24"/>
    <w:rsid w:val="004E15BB"/>
    <w:rsid w:val="004E258D"/>
    <w:rsid w:val="004E30D7"/>
    <w:rsid w:val="004F153D"/>
    <w:rsid w:val="004F2341"/>
    <w:rsid w:val="004F6E9B"/>
    <w:rsid w:val="00504077"/>
    <w:rsid w:val="00510AB0"/>
    <w:rsid w:val="0051152C"/>
    <w:rsid w:val="005133BF"/>
    <w:rsid w:val="00513CF8"/>
    <w:rsid w:val="00516FFD"/>
    <w:rsid w:val="00523D1C"/>
    <w:rsid w:val="00525A26"/>
    <w:rsid w:val="00530819"/>
    <w:rsid w:val="00531A80"/>
    <w:rsid w:val="00543A5C"/>
    <w:rsid w:val="00547880"/>
    <w:rsid w:val="005525D1"/>
    <w:rsid w:val="00553A2C"/>
    <w:rsid w:val="00554E6C"/>
    <w:rsid w:val="00556AD1"/>
    <w:rsid w:val="00567DCF"/>
    <w:rsid w:val="00570AFD"/>
    <w:rsid w:val="005809F5"/>
    <w:rsid w:val="00581279"/>
    <w:rsid w:val="00583778"/>
    <w:rsid w:val="00590296"/>
    <w:rsid w:val="00592510"/>
    <w:rsid w:val="00595BE8"/>
    <w:rsid w:val="005A0419"/>
    <w:rsid w:val="005A203A"/>
    <w:rsid w:val="005A2C8E"/>
    <w:rsid w:val="005B12BF"/>
    <w:rsid w:val="005B3492"/>
    <w:rsid w:val="005B558D"/>
    <w:rsid w:val="005B7E57"/>
    <w:rsid w:val="005C0F22"/>
    <w:rsid w:val="005D1915"/>
    <w:rsid w:val="005D246F"/>
    <w:rsid w:val="005D39F9"/>
    <w:rsid w:val="005D5596"/>
    <w:rsid w:val="005D56F1"/>
    <w:rsid w:val="005D59BF"/>
    <w:rsid w:val="005E3F41"/>
    <w:rsid w:val="005E6640"/>
    <w:rsid w:val="005F3B0B"/>
    <w:rsid w:val="005F4E5E"/>
    <w:rsid w:val="005F7859"/>
    <w:rsid w:val="005F7CAC"/>
    <w:rsid w:val="00602A70"/>
    <w:rsid w:val="00604829"/>
    <w:rsid w:val="00605606"/>
    <w:rsid w:val="00606FB1"/>
    <w:rsid w:val="00611074"/>
    <w:rsid w:val="0061115B"/>
    <w:rsid w:val="006124FC"/>
    <w:rsid w:val="006141F3"/>
    <w:rsid w:val="00615C19"/>
    <w:rsid w:val="00616B67"/>
    <w:rsid w:val="00620991"/>
    <w:rsid w:val="006234A3"/>
    <w:rsid w:val="00623FBF"/>
    <w:rsid w:val="00626412"/>
    <w:rsid w:val="00631B55"/>
    <w:rsid w:val="00635B62"/>
    <w:rsid w:val="0063635C"/>
    <w:rsid w:val="00650757"/>
    <w:rsid w:val="006517DA"/>
    <w:rsid w:val="00653147"/>
    <w:rsid w:val="00653E40"/>
    <w:rsid w:val="006545A6"/>
    <w:rsid w:val="00656210"/>
    <w:rsid w:val="00657087"/>
    <w:rsid w:val="0066082E"/>
    <w:rsid w:val="006608D9"/>
    <w:rsid w:val="00661414"/>
    <w:rsid w:val="00661485"/>
    <w:rsid w:val="00671F81"/>
    <w:rsid w:val="0067436F"/>
    <w:rsid w:val="00680616"/>
    <w:rsid w:val="006839D4"/>
    <w:rsid w:val="00683E49"/>
    <w:rsid w:val="00685C4A"/>
    <w:rsid w:val="00687A9E"/>
    <w:rsid w:val="00692CBD"/>
    <w:rsid w:val="00695C27"/>
    <w:rsid w:val="00695FDD"/>
    <w:rsid w:val="00697FC4"/>
    <w:rsid w:val="006A0862"/>
    <w:rsid w:val="006A0C0C"/>
    <w:rsid w:val="006A5120"/>
    <w:rsid w:val="006A5C5A"/>
    <w:rsid w:val="006A6F98"/>
    <w:rsid w:val="006A7C48"/>
    <w:rsid w:val="006B22B0"/>
    <w:rsid w:val="006B5455"/>
    <w:rsid w:val="006C052F"/>
    <w:rsid w:val="006C3605"/>
    <w:rsid w:val="006C396C"/>
    <w:rsid w:val="006C41A0"/>
    <w:rsid w:val="006C4697"/>
    <w:rsid w:val="006C5F68"/>
    <w:rsid w:val="006C637E"/>
    <w:rsid w:val="006C6A3B"/>
    <w:rsid w:val="006D23EC"/>
    <w:rsid w:val="006D3D57"/>
    <w:rsid w:val="006D7AD4"/>
    <w:rsid w:val="006E21D7"/>
    <w:rsid w:val="006E3555"/>
    <w:rsid w:val="006E384C"/>
    <w:rsid w:val="006E7B7D"/>
    <w:rsid w:val="006F16D6"/>
    <w:rsid w:val="006F1FA5"/>
    <w:rsid w:val="006F3257"/>
    <w:rsid w:val="006F6DB1"/>
    <w:rsid w:val="0070495A"/>
    <w:rsid w:val="007053FE"/>
    <w:rsid w:val="00707739"/>
    <w:rsid w:val="00712A74"/>
    <w:rsid w:val="00714A08"/>
    <w:rsid w:val="00715E0C"/>
    <w:rsid w:val="00720047"/>
    <w:rsid w:val="0072092E"/>
    <w:rsid w:val="0072177D"/>
    <w:rsid w:val="0072445E"/>
    <w:rsid w:val="00724D82"/>
    <w:rsid w:val="00724F13"/>
    <w:rsid w:val="007256C7"/>
    <w:rsid w:val="00725F1E"/>
    <w:rsid w:val="0072676F"/>
    <w:rsid w:val="00732820"/>
    <w:rsid w:val="00734CA7"/>
    <w:rsid w:val="007379A2"/>
    <w:rsid w:val="00742246"/>
    <w:rsid w:val="00744B48"/>
    <w:rsid w:val="00753FAA"/>
    <w:rsid w:val="007546A3"/>
    <w:rsid w:val="00757ECF"/>
    <w:rsid w:val="007616FB"/>
    <w:rsid w:val="0076197F"/>
    <w:rsid w:val="0076516E"/>
    <w:rsid w:val="007660C9"/>
    <w:rsid w:val="00766E34"/>
    <w:rsid w:val="007679AA"/>
    <w:rsid w:val="00771CEB"/>
    <w:rsid w:val="00772DAC"/>
    <w:rsid w:val="00773519"/>
    <w:rsid w:val="00775062"/>
    <w:rsid w:val="00784009"/>
    <w:rsid w:val="007863B4"/>
    <w:rsid w:val="00791634"/>
    <w:rsid w:val="00793877"/>
    <w:rsid w:val="00793A1C"/>
    <w:rsid w:val="00793D4C"/>
    <w:rsid w:val="0079472E"/>
    <w:rsid w:val="007A6104"/>
    <w:rsid w:val="007A7607"/>
    <w:rsid w:val="007A7D4C"/>
    <w:rsid w:val="007B0373"/>
    <w:rsid w:val="007B0AC2"/>
    <w:rsid w:val="007B3DBE"/>
    <w:rsid w:val="007B4B8F"/>
    <w:rsid w:val="007C177B"/>
    <w:rsid w:val="007C3E8A"/>
    <w:rsid w:val="007C62C2"/>
    <w:rsid w:val="007C6AF4"/>
    <w:rsid w:val="007C7F8C"/>
    <w:rsid w:val="007D1064"/>
    <w:rsid w:val="007D1CAF"/>
    <w:rsid w:val="007D211A"/>
    <w:rsid w:val="007D300A"/>
    <w:rsid w:val="007E0B12"/>
    <w:rsid w:val="007E7481"/>
    <w:rsid w:val="007E7FC9"/>
    <w:rsid w:val="007F5AD5"/>
    <w:rsid w:val="007F72F4"/>
    <w:rsid w:val="008007B1"/>
    <w:rsid w:val="00801A90"/>
    <w:rsid w:val="008039A5"/>
    <w:rsid w:val="00805AF4"/>
    <w:rsid w:val="008079C4"/>
    <w:rsid w:val="00821DFB"/>
    <w:rsid w:val="00822BBE"/>
    <w:rsid w:val="00823776"/>
    <w:rsid w:val="008240EF"/>
    <w:rsid w:val="00824D3E"/>
    <w:rsid w:val="00826343"/>
    <w:rsid w:val="00826550"/>
    <w:rsid w:val="00827171"/>
    <w:rsid w:val="008303F8"/>
    <w:rsid w:val="0083077B"/>
    <w:rsid w:val="008336CD"/>
    <w:rsid w:val="00837143"/>
    <w:rsid w:val="00841873"/>
    <w:rsid w:val="00841FED"/>
    <w:rsid w:val="00844E2E"/>
    <w:rsid w:val="00845630"/>
    <w:rsid w:val="00846F7C"/>
    <w:rsid w:val="00850B7A"/>
    <w:rsid w:val="00851417"/>
    <w:rsid w:val="00851C21"/>
    <w:rsid w:val="00855C77"/>
    <w:rsid w:val="0086080E"/>
    <w:rsid w:val="00861FED"/>
    <w:rsid w:val="00862B93"/>
    <w:rsid w:val="008655CA"/>
    <w:rsid w:val="0086570B"/>
    <w:rsid w:val="00865D11"/>
    <w:rsid w:val="00867054"/>
    <w:rsid w:val="00867C22"/>
    <w:rsid w:val="0087409B"/>
    <w:rsid w:val="008823BE"/>
    <w:rsid w:val="00885C97"/>
    <w:rsid w:val="00885EF7"/>
    <w:rsid w:val="0088650C"/>
    <w:rsid w:val="00891935"/>
    <w:rsid w:val="00892AA6"/>
    <w:rsid w:val="00895291"/>
    <w:rsid w:val="00897AF6"/>
    <w:rsid w:val="008A1C78"/>
    <w:rsid w:val="008A316C"/>
    <w:rsid w:val="008A3562"/>
    <w:rsid w:val="008A4A24"/>
    <w:rsid w:val="008A4F5C"/>
    <w:rsid w:val="008A6715"/>
    <w:rsid w:val="008B6783"/>
    <w:rsid w:val="008C03BC"/>
    <w:rsid w:val="008C0655"/>
    <w:rsid w:val="008C3967"/>
    <w:rsid w:val="008C5E9A"/>
    <w:rsid w:val="008D1371"/>
    <w:rsid w:val="008D146B"/>
    <w:rsid w:val="008D4626"/>
    <w:rsid w:val="008D738D"/>
    <w:rsid w:val="008D7D0F"/>
    <w:rsid w:val="008D7D8F"/>
    <w:rsid w:val="008E06F4"/>
    <w:rsid w:val="008E4A1F"/>
    <w:rsid w:val="008E5EE7"/>
    <w:rsid w:val="008E6710"/>
    <w:rsid w:val="008E682A"/>
    <w:rsid w:val="008E6A52"/>
    <w:rsid w:val="008F41C3"/>
    <w:rsid w:val="008F4CB6"/>
    <w:rsid w:val="008F4E09"/>
    <w:rsid w:val="009035D2"/>
    <w:rsid w:val="009051BD"/>
    <w:rsid w:val="00906C79"/>
    <w:rsid w:val="00911962"/>
    <w:rsid w:val="00913B8C"/>
    <w:rsid w:val="009144FC"/>
    <w:rsid w:val="00915EF4"/>
    <w:rsid w:val="00923A70"/>
    <w:rsid w:val="009268A4"/>
    <w:rsid w:val="00934E75"/>
    <w:rsid w:val="00936FE0"/>
    <w:rsid w:val="00937F2E"/>
    <w:rsid w:val="0094090E"/>
    <w:rsid w:val="00946A13"/>
    <w:rsid w:val="009474B3"/>
    <w:rsid w:val="009506F6"/>
    <w:rsid w:val="00951F0A"/>
    <w:rsid w:val="00952ED5"/>
    <w:rsid w:val="00960663"/>
    <w:rsid w:val="00960F6A"/>
    <w:rsid w:val="0096233B"/>
    <w:rsid w:val="00965536"/>
    <w:rsid w:val="00971755"/>
    <w:rsid w:val="009748C7"/>
    <w:rsid w:val="0097660C"/>
    <w:rsid w:val="0098284D"/>
    <w:rsid w:val="0098344F"/>
    <w:rsid w:val="00983FBF"/>
    <w:rsid w:val="00987DC4"/>
    <w:rsid w:val="00987E6C"/>
    <w:rsid w:val="00990699"/>
    <w:rsid w:val="00991743"/>
    <w:rsid w:val="00997245"/>
    <w:rsid w:val="009A2391"/>
    <w:rsid w:val="009A47A2"/>
    <w:rsid w:val="009A5E99"/>
    <w:rsid w:val="009B0A98"/>
    <w:rsid w:val="009B5D90"/>
    <w:rsid w:val="009C6600"/>
    <w:rsid w:val="009D293C"/>
    <w:rsid w:val="009D2D84"/>
    <w:rsid w:val="009D35B0"/>
    <w:rsid w:val="009D4445"/>
    <w:rsid w:val="009D5233"/>
    <w:rsid w:val="009D5AD0"/>
    <w:rsid w:val="009D616D"/>
    <w:rsid w:val="009D70F2"/>
    <w:rsid w:val="009E1056"/>
    <w:rsid w:val="009E33AF"/>
    <w:rsid w:val="009F0E56"/>
    <w:rsid w:val="009F194C"/>
    <w:rsid w:val="009F2764"/>
    <w:rsid w:val="009F2D05"/>
    <w:rsid w:val="009F6EA3"/>
    <w:rsid w:val="00A01271"/>
    <w:rsid w:val="00A018B7"/>
    <w:rsid w:val="00A025B1"/>
    <w:rsid w:val="00A02DBB"/>
    <w:rsid w:val="00A05663"/>
    <w:rsid w:val="00A05D08"/>
    <w:rsid w:val="00A075F7"/>
    <w:rsid w:val="00A07952"/>
    <w:rsid w:val="00A1595D"/>
    <w:rsid w:val="00A16688"/>
    <w:rsid w:val="00A2053F"/>
    <w:rsid w:val="00A21A28"/>
    <w:rsid w:val="00A21BD1"/>
    <w:rsid w:val="00A2464F"/>
    <w:rsid w:val="00A25071"/>
    <w:rsid w:val="00A25851"/>
    <w:rsid w:val="00A27583"/>
    <w:rsid w:val="00A27749"/>
    <w:rsid w:val="00A33A65"/>
    <w:rsid w:val="00A43E38"/>
    <w:rsid w:val="00A47F53"/>
    <w:rsid w:val="00A537DC"/>
    <w:rsid w:val="00A57CD9"/>
    <w:rsid w:val="00A601CA"/>
    <w:rsid w:val="00A60531"/>
    <w:rsid w:val="00A62228"/>
    <w:rsid w:val="00A65912"/>
    <w:rsid w:val="00A714EC"/>
    <w:rsid w:val="00A73394"/>
    <w:rsid w:val="00A85D86"/>
    <w:rsid w:val="00A8690B"/>
    <w:rsid w:val="00A9275B"/>
    <w:rsid w:val="00A92CEB"/>
    <w:rsid w:val="00A92F4A"/>
    <w:rsid w:val="00A954D4"/>
    <w:rsid w:val="00AA1803"/>
    <w:rsid w:val="00AA1FF3"/>
    <w:rsid w:val="00AA37CF"/>
    <w:rsid w:val="00AA4870"/>
    <w:rsid w:val="00AA6561"/>
    <w:rsid w:val="00AA6D8E"/>
    <w:rsid w:val="00AA7819"/>
    <w:rsid w:val="00AB336F"/>
    <w:rsid w:val="00AB3D8D"/>
    <w:rsid w:val="00AB44AD"/>
    <w:rsid w:val="00AB5D23"/>
    <w:rsid w:val="00AB5E03"/>
    <w:rsid w:val="00AB633D"/>
    <w:rsid w:val="00AB73B6"/>
    <w:rsid w:val="00AB7FCD"/>
    <w:rsid w:val="00AC0441"/>
    <w:rsid w:val="00AC4120"/>
    <w:rsid w:val="00AC69FE"/>
    <w:rsid w:val="00AC71DF"/>
    <w:rsid w:val="00AD2D61"/>
    <w:rsid w:val="00AD38A3"/>
    <w:rsid w:val="00AD5C0B"/>
    <w:rsid w:val="00AE082F"/>
    <w:rsid w:val="00AE2459"/>
    <w:rsid w:val="00AE38C4"/>
    <w:rsid w:val="00AE4304"/>
    <w:rsid w:val="00AE7B51"/>
    <w:rsid w:val="00AF3789"/>
    <w:rsid w:val="00AF3AB4"/>
    <w:rsid w:val="00AF7196"/>
    <w:rsid w:val="00B035DC"/>
    <w:rsid w:val="00B04F8B"/>
    <w:rsid w:val="00B05A46"/>
    <w:rsid w:val="00B07589"/>
    <w:rsid w:val="00B13FCA"/>
    <w:rsid w:val="00B1493D"/>
    <w:rsid w:val="00B14BD1"/>
    <w:rsid w:val="00B15DBD"/>
    <w:rsid w:val="00B2181A"/>
    <w:rsid w:val="00B2767A"/>
    <w:rsid w:val="00B277AF"/>
    <w:rsid w:val="00B3051F"/>
    <w:rsid w:val="00B30815"/>
    <w:rsid w:val="00B30B85"/>
    <w:rsid w:val="00B31F66"/>
    <w:rsid w:val="00B3563A"/>
    <w:rsid w:val="00B37FC8"/>
    <w:rsid w:val="00B4210F"/>
    <w:rsid w:val="00B44A40"/>
    <w:rsid w:val="00B45711"/>
    <w:rsid w:val="00B4703C"/>
    <w:rsid w:val="00B5336F"/>
    <w:rsid w:val="00B57F6C"/>
    <w:rsid w:val="00B60B1F"/>
    <w:rsid w:val="00B630D4"/>
    <w:rsid w:val="00B6390A"/>
    <w:rsid w:val="00B657FE"/>
    <w:rsid w:val="00B704F1"/>
    <w:rsid w:val="00B72665"/>
    <w:rsid w:val="00B77991"/>
    <w:rsid w:val="00B82A4D"/>
    <w:rsid w:val="00B83D64"/>
    <w:rsid w:val="00B8438C"/>
    <w:rsid w:val="00B926E3"/>
    <w:rsid w:val="00B92CFD"/>
    <w:rsid w:val="00B936D9"/>
    <w:rsid w:val="00B94C5E"/>
    <w:rsid w:val="00B96F64"/>
    <w:rsid w:val="00BA37A3"/>
    <w:rsid w:val="00BB0E9D"/>
    <w:rsid w:val="00BB3DBD"/>
    <w:rsid w:val="00BB3E10"/>
    <w:rsid w:val="00BB72EF"/>
    <w:rsid w:val="00BC0621"/>
    <w:rsid w:val="00BD06EC"/>
    <w:rsid w:val="00BD0F80"/>
    <w:rsid w:val="00BD10D0"/>
    <w:rsid w:val="00BD2C50"/>
    <w:rsid w:val="00BD3B37"/>
    <w:rsid w:val="00BD506F"/>
    <w:rsid w:val="00BD7044"/>
    <w:rsid w:val="00BE2E11"/>
    <w:rsid w:val="00BE63BD"/>
    <w:rsid w:val="00BE67C5"/>
    <w:rsid w:val="00BE7750"/>
    <w:rsid w:val="00BF1452"/>
    <w:rsid w:val="00BF7482"/>
    <w:rsid w:val="00C0166E"/>
    <w:rsid w:val="00C01D12"/>
    <w:rsid w:val="00C067B4"/>
    <w:rsid w:val="00C17864"/>
    <w:rsid w:val="00C2079B"/>
    <w:rsid w:val="00C23156"/>
    <w:rsid w:val="00C240E1"/>
    <w:rsid w:val="00C268AD"/>
    <w:rsid w:val="00C31FF6"/>
    <w:rsid w:val="00C37101"/>
    <w:rsid w:val="00C45A1C"/>
    <w:rsid w:val="00C479C6"/>
    <w:rsid w:val="00C506F1"/>
    <w:rsid w:val="00C53A92"/>
    <w:rsid w:val="00C54517"/>
    <w:rsid w:val="00C64739"/>
    <w:rsid w:val="00C71318"/>
    <w:rsid w:val="00C71F0F"/>
    <w:rsid w:val="00C73335"/>
    <w:rsid w:val="00C7366A"/>
    <w:rsid w:val="00C7427C"/>
    <w:rsid w:val="00C77BB5"/>
    <w:rsid w:val="00C77C41"/>
    <w:rsid w:val="00C77DDF"/>
    <w:rsid w:val="00C812D2"/>
    <w:rsid w:val="00C82166"/>
    <w:rsid w:val="00C8261D"/>
    <w:rsid w:val="00C8316E"/>
    <w:rsid w:val="00C86B39"/>
    <w:rsid w:val="00C86FD0"/>
    <w:rsid w:val="00C92608"/>
    <w:rsid w:val="00CA4959"/>
    <w:rsid w:val="00CA50F1"/>
    <w:rsid w:val="00CA5215"/>
    <w:rsid w:val="00CA65E9"/>
    <w:rsid w:val="00CB2CE1"/>
    <w:rsid w:val="00CB5BFB"/>
    <w:rsid w:val="00CB6F8C"/>
    <w:rsid w:val="00CB7388"/>
    <w:rsid w:val="00CB7393"/>
    <w:rsid w:val="00CC4EFB"/>
    <w:rsid w:val="00CC6F3D"/>
    <w:rsid w:val="00CD060F"/>
    <w:rsid w:val="00CD170A"/>
    <w:rsid w:val="00CD335B"/>
    <w:rsid w:val="00CE40CC"/>
    <w:rsid w:val="00CF2A79"/>
    <w:rsid w:val="00CF4F0E"/>
    <w:rsid w:val="00D014A8"/>
    <w:rsid w:val="00D04213"/>
    <w:rsid w:val="00D04BAC"/>
    <w:rsid w:val="00D112BB"/>
    <w:rsid w:val="00D1543F"/>
    <w:rsid w:val="00D1715A"/>
    <w:rsid w:val="00D22226"/>
    <w:rsid w:val="00D23DDC"/>
    <w:rsid w:val="00D24D22"/>
    <w:rsid w:val="00D2600D"/>
    <w:rsid w:val="00D27294"/>
    <w:rsid w:val="00D30D0F"/>
    <w:rsid w:val="00D326A8"/>
    <w:rsid w:val="00D32EAB"/>
    <w:rsid w:val="00D3355F"/>
    <w:rsid w:val="00D35A42"/>
    <w:rsid w:val="00D36268"/>
    <w:rsid w:val="00D41561"/>
    <w:rsid w:val="00D473E3"/>
    <w:rsid w:val="00D5027D"/>
    <w:rsid w:val="00D51294"/>
    <w:rsid w:val="00D51851"/>
    <w:rsid w:val="00D549EF"/>
    <w:rsid w:val="00D64461"/>
    <w:rsid w:val="00D65AE6"/>
    <w:rsid w:val="00D6740F"/>
    <w:rsid w:val="00D67996"/>
    <w:rsid w:val="00D703F2"/>
    <w:rsid w:val="00D71C9B"/>
    <w:rsid w:val="00D76667"/>
    <w:rsid w:val="00D769CE"/>
    <w:rsid w:val="00D80217"/>
    <w:rsid w:val="00D80FEB"/>
    <w:rsid w:val="00D83656"/>
    <w:rsid w:val="00D854BE"/>
    <w:rsid w:val="00D85ED2"/>
    <w:rsid w:val="00D87094"/>
    <w:rsid w:val="00D87596"/>
    <w:rsid w:val="00D87972"/>
    <w:rsid w:val="00D90914"/>
    <w:rsid w:val="00D90AEE"/>
    <w:rsid w:val="00D90E2F"/>
    <w:rsid w:val="00D90F2B"/>
    <w:rsid w:val="00D91533"/>
    <w:rsid w:val="00D91C5E"/>
    <w:rsid w:val="00D92581"/>
    <w:rsid w:val="00D92EF3"/>
    <w:rsid w:val="00D95D76"/>
    <w:rsid w:val="00D97A0E"/>
    <w:rsid w:val="00DA1689"/>
    <w:rsid w:val="00DA3401"/>
    <w:rsid w:val="00DA4939"/>
    <w:rsid w:val="00DA78CC"/>
    <w:rsid w:val="00DB17DF"/>
    <w:rsid w:val="00DB3EC6"/>
    <w:rsid w:val="00DB4C25"/>
    <w:rsid w:val="00DB6BB1"/>
    <w:rsid w:val="00DB6D5B"/>
    <w:rsid w:val="00DB7D86"/>
    <w:rsid w:val="00DC099B"/>
    <w:rsid w:val="00DC0BBC"/>
    <w:rsid w:val="00DC12A4"/>
    <w:rsid w:val="00DC2B91"/>
    <w:rsid w:val="00DC38B2"/>
    <w:rsid w:val="00DC5B8A"/>
    <w:rsid w:val="00DC5FD2"/>
    <w:rsid w:val="00DC72AB"/>
    <w:rsid w:val="00DD203C"/>
    <w:rsid w:val="00DD35A6"/>
    <w:rsid w:val="00DE2C3B"/>
    <w:rsid w:val="00DE4FD8"/>
    <w:rsid w:val="00DE6CE1"/>
    <w:rsid w:val="00DF1FF5"/>
    <w:rsid w:val="00E0052A"/>
    <w:rsid w:val="00E02131"/>
    <w:rsid w:val="00E02F78"/>
    <w:rsid w:val="00E05226"/>
    <w:rsid w:val="00E123BD"/>
    <w:rsid w:val="00E12597"/>
    <w:rsid w:val="00E12782"/>
    <w:rsid w:val="00E1464E"/>
    <w:rsid w:val="00E1627C"/>
    <w:rsid w:val="00E17091"/>
    <w:rsid w:val="00E17B16"/>
    <w:rsid w:val="00E2091F"/>
    <w:rsid w:val="00E22CD4"/>
    <w:rsid w:val="00E263F1"/>
    <w:rsid w:val="00E269FE"/>
    <w:rsid w:val="00E27889"/>
    <w:rsid w:val="00E3081B"/>
    <w:rsid w:val="00E31941"/>
    <w:rsid w:val="00E33A40"/>
    <w:rsid w:val="00E371B9"/>
    <w:rsid w:val="00E44668"/>
    <w:rsid w:val="00E5012D"/>
    <w:rsid w:val="00E5066B"/>
    <w:rsid w:val="00E5485D"/>
    <w:rsid w:val="00E55189"/>
    <w:rsid w:val="00E61C95"/>
    <w:rsid w:val="00E678A6"/>
    <w:rsid w:val="00E67FA3"/>
    <w:rsid w:val="00E73458"/>
    <w:rsid w:val="00E762C5"/>
    <w:rsid w:val="00E8027B"/>
    <w:rsid w:val="00E818CB"/>
    <w:rsid w:val="00E82037"/>
    <w:rsid w:val="00E82FD3"/>
    <w:rsid w:val="00E83700"/>
    <w:rsid w:val="00E84BD2"/>
    <w:rsid w:val="00E920D6"/>
    <w:rsid w:val="00E93567"/>
    <w:rsid w:val="00E95D66"/>
    <w:rsid w:val="00EA0178"/>
    <w:rsid w:val="00EA4192"/>
    <w:rsid w:val="00EA4B32"/>
    <w:rsid w:val="00EB0211"/>
    <w:rsid w:val="00EB2067"/>
    <w:rsid w:val="00EB31C7"/>
    <w:rsid w:val="00EB6587"/>
    <w:rsid w:val="00EC0CD3"/>
    <w:rsid w:val="00EC214A"/>
    <w:rsid w:val="00EC5324"/>
    <w:rsid w:val="00ED43BD"/>
    <w:rsid w:val="00ED46DA"/>
    <w:rsid w:val="00ED79C0"/>
    <w:rsid w:val="00EE010B"/>
    <w:rsid w:val="00EE20BD"/>
    <w:rsid w:val="00EE3D4C"/>
    <w:rsid w:val="00EE524A"/>
    <w:rsid w:val="00EE5331"/>
    <w:rsid w:val="00EE5A0B"/>
    <w:rsid w:val="00EF14E4"/>
    <w:rsid w:val="00EF343D"/>
    <w:rsid w:val="00F0003E"/>
    <w:rsid w:val="00F00084"/>
    <w:rsid w:val="00F12319"/>
    <w:rsid w:val="00F12E0F"/>
    <w:rsid w:val="00F12EE9"/>
    <w:rsid w:val="00F14612"/>
    <w:rsid w:val="00F16ADB"/>
    <w:rsid w:val="00F16F24"/>
    <w:rsid w:val="00F17F4A"/>
    <w:rsid w:val="00F21CDC"/>
    <w:rsid w:val="00F23003"/>
    <w:rsid w:val="00F24A63"/>
    <w:rsid w:val="00F317FD"/>
    <w:rsid w:val="00F3249A"/>
    <w:rsid w:val="00F41B38"/>
    <w:rsid w:val="00F42420"/>
    <w:rsid w:val="00F4362F"/>
    <w:rsid w:val="00F440E8"/>
    <w:rsid w:val="00F44949"/>
    <w:rsid w:val="00F4556A"/>
    <w:rsid w:val="00F45C39"/>
    <w:rsid w:val="00F46D05"/>
    <w:rsid w:val="00F50F89"/>
    <w:rsid w:val="00F51D98"/>
    <w:rsid w:val="00F527ED"/>
    <w:rsid w:val="00F57D61"/>
    <w:rsid w:val="00F62358"/>
    <w:rsid w:val="00F62DCB"/>
    <w:rsid w:val="00F65682"/>
    <w:rsid w:val="00F773E6"/>
    <w:rsid w:val="00F82833"/>
    <w:rsid w:val="00F8656C"/>
    <w:rsid w:val="00F87A8B"/>
    <w:rsid w:val="00F92D55"/>
    <w:rsid w:val="00F934B0"/>
    <w:rsid w:val="00F94603"/>
    <w:rsid w:val="00F958BA"/>
    <w:rsid w:val="00F9647F"/>
    <w:rsid w:val="00FA05AF"/>
    <w:rsid w:val="00FA4084"/>
    <w:rsid w:val="00FA4444"/>
    <w:rsid w:val="00FA7DF8"/>
    <w:rsid w:val="00FB0653"/>
    <w:rsid w:val="00FB10D4"/>
    <w:rsid w:val="00FB1657"/>
    <w:rsid w:val="00FB19E2"/>
    <w:rsid w:val="00FB6AD6"/>
    <w:rsid w:val="00FC02BC"/>
    <w:rsid w:val="00FC1669"/>
    <w:rsid w:val="00FC1BEE"/>
    <w:rsid w:val="00FC1C8B"/>
    <w:rsid w:val="00FD145C"/>
    <w:rsid w:val="00FD39CC"/>
    <w:rsid w:val="00FD44CF"/>
    <w:rsid w:val="00FE23D3"/>
    <w:rsid w:val="00FE4ABF"/>
    <w:rsid w:val="00FE4C76"/>
    <w:rsid w:val="00FF388A"/>
    <w:rsid w:val="00FF487C"/>
    <w:rsid w:val="00FF7911"/>
    <w:rsid w:val="00FF7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5D867D"/>
  <w15:docId w15:val="{16DA819B-5358-45C7-A366-CF903E087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nhideWhenUsed/>
    <w:qFormat/>
    <w:rsid w:val="006A5120"/>
    <w:pPr>
      <w:spacing w:after="120"/>
      <w:jc w:val="both"/>
    </w:pPr>
    <w:rPr>
      <w:sz w:val="24"/>
      <w:szCs w:val="24"/>
    </w:rPr>
  </w:style>
  <w:style w:type="paragraph" w:styleId="Heading1">
    <w:name w:val="heading 1"/>
    <w:basedOn w:val="Normal"/>
    <w:next w:val="Normal"/>
    <w:link w:val="Heading1Char"/>
    <w:uiPriority w:val="9"/>
    <w:unhideWhenUsed/>
    <w:qFormat/>
    <w:rsid w:val="006A5120"/>
    <w:pPr>
      <w:keepNext/>
      <w:keepLines/>
      <w:suppressAutoHyphens/>
      <w:spacing w:before="120"/>
      <w:ind w:left="288" w:right="288"/>
      <w:jc w:val="center"/>
      <w:outlineLvl w:val="0"/>
    </w:pPr>
    <w:rPr>
      <w:rFonts w:ascii="Times New Roman Bold" w:hAnsi="Times New Roman Bold"/>
      <w:b/>
      <w:caps/>
      <w:sz w:val="32"/>
      <w:szCs w:val="20"/>
    </w:rPr>
  </w:style>
  <w:style w:type="paragraph" w:styleId="Heading2">
    <w:name w:val="heading 2"/>
    <w:basedOn w:val="Normal"/>
    <w:next w:val="Normal"/>
    <w:link w:val="Heading2Char"/>
    <w:unhideWhenUsed/>
    <w:qFormat/>
    <w:rsid w:val="006A5120"/>
    <w:pPr>
      <w:keepNext/>
      <w:suppressAutoHyphens/>
      <w:spacing w:before="120"/>
      <w:jc w:val="left"/>
      <w:outlineLvl w:val="1"/>
    </w:pPr>
    <w:rPr>
      <w:rFonts w:ascii="Times New Roman Bold" w:hAnsi="Times New Roman Bold"/>
      <w:b/>
      <w:smallCaps/>
      <w:sz w:val="30"/>
      <w:szCs w:val="20"/>
    </w:rPr>
  </w:style>
  <w:style w:type="paragraph" w:styleId="Heading3">
    <w:name w:val="heading 3"/>
    <w:basedOn w:val="Normal"/>
    <w:next w:val="Normal"/>
    <w:link w:val="Heading3Char"/>
    <w:uiPriority w:val="9"/>
    <w:unhideWhenUsed/>
    <w:qFormat/>
    <w:rsid w:val="006A5120"/>
    <w:pPr>
      <w:keepNext/>
      <w:suppressAutoHyphens/>
      <w:jc w:val="left"/>
      <w:outlineLvl w:val="2"/>
    </w:pPr>
    <w:rPr>
      <w:b/>
      <w:sz w:val="26"/>
      <w:szCs w:val="20"/>
    </w:rPr>
  </w:style>
  <w:style w:type="paragraph" w:styleId="Heading4">
    <w:name w:val="heading 4"/>
    <w:basedOn w:val="Normal"/>
    <w:next w:val="Normal"/>
    <w:link w:val="Heading4Char"/>
    <w:uiPriority w:val="9"/>
    <w:unhideWhenUsed/>
    <w:qFormat/>
    <w:rsid w:val="006A5120"/>
    <w:pPr>
      <w:keepNext/>
      <w:jc w:val="center"/>
      <w:outlineLvl w:val="3"/>
    </w:pPr>
    <w:rPr>
      <w:rFonts w:ascii="Times New Roman Bold" w:hAnsi="Times New Roman Bold"/>
      <w:b/>
      <w:bCs/>
      <w:i/>
      <w:szCs w:val="28"/>
    </w:rPr>
  </w:style>
  <w:style w:type="paragraph" w:styleId="Heading5">
    <w:name w:val="heading 5"/>
    <w:basedOn w:val="Normal"/>
    <w:next w:val="Normal"/>
    <w:link w:val="Heading5Char"/>
    <w:autoRedefine/>
    <w:uiPriority w:val="9"/>
    <w:unhideWhenUsed/>
    <w:qFormat/>
    <w:rsid w:val="006A5120"/>
    <w:pPr>
      <w:keepNext/>
      <w:spacing w:before="60"/>
      <w:outlineLvl w:val="4"/>
    </w:pPr>
    <w:rPr>
      <w:rFonts w:ascii="Times New Roman Bold" w:hAnsi="Times New Roman Bold"/>
      <w:b/>
      <w:bCs/>
      <w:iCs/>
      <w:szCs w:val="26"/>
    </w:rPr>
  </w:style>
  <w:style w:type="paragraph" w:styleId="Heading6">
    <w:name w:val="heading 6"/>
    <w:basedOn w:val="Normal"/>
    <w:next w:val="Normal"/>
    <w:link w:val="Heading6Char"/>
    <w:uiPriority w:val="9"/>
    <w:unhideWhenUsed/>
    <w:qFormat/>
    <w:rsid w:val="006A5120"/>
    <w:pPr>
      <w:spacing w:before="240" w:after="60"/>
      <w:outlineLvl w:val="5"/>
    </w:pPr>
    <w:rPr>
      <w:b/>
      <w:bCs/>
      <w:sz w:val="22"/>
      <w:szCs w:val="22"/>
    </w:rPr>
  </w:style>
  <w:style w:type="paragraph" w:styleId="Heading7">
    <w:name w:val="heading 7"/>
    <w:basedOn w:val="Normal"/>
    <w:next w:val="Normal"/>
    <w:link w:val="Heading7Char"/>
    <w:unhideWhenUsed/>
    <w:qFormat/>
    <w:rsid w:val="006A5120"/>
    <w:pPr>
      <w:spacing w:before="240" w:after="60"/>
      <w:outlineLvl w:val="6"/>
    </w:pPr>
  </w:style>
  <w:style w:type="paragraph" w:styleId="Heading8">
    <w:name w:val="heading 8"/>
    <w:basedOn w:val="Normal"/>
    <w:next w:val="Normal"/>
    <w:link w:val="Heading8Char"/>
    <w:unhideWhenUsed/>
    <w:qFormat/>
    <w:rsid w:val="006A5120"/>
    <w:pPr>
      <w:spacing w:before="240" w:after="60"/>
      <w:outlineLvl w:val="7"/>
    </w:pPr>
    <w:rPr>
      <w:i/>
      <w:iCs/>
    </w:rPr>
  </w:style>
  <w:style w:type="paragraph" w:styleId="Heading9">
    <w:name w:val="heading 9"/>
    <w:basedOn w:val="Normal"/>
    <w:next w:val="Normal"/>
    <w:link w:val="Heading9Char"/>
    <w:unhideWhenUsed/>
    <w:qFormat/>
    <w:rsid w:val="006A5120"/>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ymbolsandAbbrevTitle">
    <w:name w:val="Symbols and Abbrev. Title"/>
    <w:basedOn w:val="Normal"/>
    <w:next w:val="Normal"/>
    <w:rsid w:val="006A5120"/>
    <w:pPr>
      <w:jc w:val="center"/>
    </w:pPr>
    <w:rPr>
      <w:rFonts w:ascii="Times New Roman Bold" w:hAnsi="Times New Roman Bold"/>
      <w:b/>
      <w:sz w:val="22"/>
    </w:rPr>
  </w:style>
  <w:style w:type="character" w:styleId="FollowedHyperlink">
    <w:name w:val="FollowedHyperlink"/>
    <w:basedOn w:val="DefaultParagraphFont"/>
    <w:unhideWhenUsed/>
    <w:rsid w:val="006A5120"/>
    <w:rPr>
      <w:color w:val="800080"/>
      <w:u w:val="single"/>
    </w:rPr>
  </w:style>
  <w:style w:type="paragraph" w:customStyle="1" w:styleId="Cover-PublSeries">
    <w:name w:val="Cover-Publ Series"/>
    <w:basedOn w:val="Normal"/>
    <w:next w:val="Cover-ReptTitle"/>
    <w:rsid w:val="006A5120"/>
    <w:pPr>
      <w:pBdr>
        <w:bottom w:val="double" w:sz="12" w:space="1" w:color="auto"/>
      </w:pBdr>
      <w:suppressAutoHyphens/>
      <w:spacing w:after="0" w:line="360" w:lineRule="auto"/>
    </w:pPr>
    <w:rPr>
      <w:b/>
      <w:sz w:val="32"/>
      <w:szCs w:val="20"/>
    </w:rPr>
  </w:style>
  <w:style w:type="paragraph" w:customStyle="1" w:styleId="Cover-ReptTitle">
    <w:name w:val="Cover-Rept Title"/>
    <w:basedOn w:val="Normal"/>
    <w:next w:val="Cover-ByAuthors"/>
    <w:rsid w:val="006A5120"/>
    <w:pPr>
      <w:suppressAutoHyphens/>
      <w:spacing w:before="600" w:after="1080"/>
      <w:jc w:val="left"/>
    </w:pPr>
    <w:rPr>
      <w:b/>
      <w:sz w:val="40"/>
      <w:szCs w:val="20"/>
    </w:rPr>
  </w:style>
  <w:style w:type="paragraph" w:customStyle="1" w:styleId="Cover-ByAuthors">
    <w:name w:val="Cover-By/Author(s)"/>
    <w:basedOn w:val="Normal"/>
    <w:rsid w:val="006A5120"/>
    <w:pPr>
      <w:suppressAutoHyphens/>
      <w:spacing w:after="0" w:line="360" w:lineRule="auto"/>
      <w:jc w:val="left"/>
    </w:pPr>
    <w:rPr>
      <w:b/>
      <w:sz w:val="28"/>
      <w:szCs w:val="20"/>
    </w:rPr>
  </w:style>
  <w:style w:type="paragraph" w:customStyle="1" w:styleId="Cover-PublDate">
    <w:name w:val="Cover-Publ Date"/>
    <w:basedOn w:val="Normal"/>
    <w:next w:val="Normal"/>
    <w:rsid w:val="006A5120"/>
    <w:pPr>
      <w:framePr w:w="9360" w:hSpace="187" w:wrap="around" w:vAnchor="page" w:hAnchor="margin" w:xAlign="center" w:y="11665" w:anchorLock="1"/>
      <w:pBdr>
        <w:bottom w:val="double" w:sz="12" w:space="1" w:color="auto"/>
      </w:pBdr>
      <w:suppressAutoHyphens/>
      <w:spacing w:after="0"/>
      <w:jc w:val="center"/>
    </w:pPr>
    <w:rPr>
      <w:b/>
      <w:sz w:val="20"/>
      <w:szCs w:val="20"/>
    </w:rPr>
  </w:style>
  <w:style w:type="paragraph" w:customStyle="1" w:styleId="Cover-DeptDiv">
    <w:name w:val="Cover-Dept/Div"/>
    <w:basedOn w:val="Normal"/>
    <w:next w:val="Normal"/>
    <w:rsid w:val="006A5120"/>
    <w:pPr>
      <w:framePr w:hSpace="187" w:wrap="around" w:vAnchor="page" w:hAnchor="margin" w:xAlign="center" w:y="12025" w:anchorLock="1"/>
      <w:tabs>
        <w:tab w:val="right" w:pos="9360"/>
      </w:tabs>
      <w:suppressAutoHyphens/>
      <w:spacing w:after="0"/>
    </w:pPr>
    <w:rPr>
      <w:b/>
      <w:sz w:val="20"/>
      <w:szCs w:val="20"/>
    </w:rPr>
  </w:style>
  <w:style w:type="paragraph" w:customStyle="1" w:styleId="Cover-Logo">
    <w:name w:val="Cover-Logo"/>
    <w:basedOn w:val="Normal"/>
    <w:next w:val="Normal"/>
    <w:rsid w:val="006A5120"/>
    <w:pPr>
      <w:framePr w:wrap="around" w:vAnchor="page" w:hAnchor="page" w:xAlign="center" w:y="12385" w:anchorLock="1"/>
      <w:suppressAutoHyphens/>
      <w:spacing w:after="0"/>
    </w:pPr>
    <w:rPr>
      <w:szCs w:val="20"/>
    </w:rPr>
  </w:style>
  <w:style w:type="paragraph" w:styleId="Title">
    <w:name w:val="Title"/>
    <w:basedOn w:val="Normal"/>
    <w:link w:val="TitleChar"/>
    <w:unhideWhenUsed/>
    <w:qFormat/>
    <w:rsid w:val="00C73335"/>
    <w:pPr>
      <w:suppressAutoHyphens/>
      <w:jc w:val="left"/>
    </w:pPr>
    <w:rPr>
      <w:b/>
      <w:sz w:val="40"/>
      <w:szCs w:val="20"/>
    </w:rPr>
  </w:style>
  <w:style w:type="paragraph" w:customStyle="1" w:styleId="TableRow">
    <w:name w:val="Table Row"/>
    <w:basedOn w:val="Normal-0After"/>
    <w:rsid w:val="006A5120"/>
    <w:pPr>
      <w:keepNext/>
      <w:keepLines/>
      <w:spacing w:before="20" w:after="20"/>
    </w:pPr>
    <w:rPr>
      <w:sz w:val="20"/>
    </w:rPr>
  </w:style>
  <w:style w:type="paragraph" w:customStyle="1" w:styleId="Normal-0After">
    <w:name w:val="Normal-0 After"/>
    <w:basedOn w:val="Normal"/>
    <w:rsid w:val="006A5120"/>
    <w:pPr>
      <w:suppressAutoHyphens/>
      <w:spacing w:after="0"/>
    </w:pPr>
    <w:rPr>
      <w:szCs w:val="20"/>
    </w:rPr>
  </w:style>
  <w:style w:type="paragraph" w:customStyle="1" w:styleId="TitlePg-ReptSeries">
    <w:name w:val="Title Pg-Rept Series"/>
    <w:basedOn w:val="Normal"/>
    <w:next w:val="TitlePg-Title"/>
    <w:rsid w:val="006A5120"/>
    <w:pPr>
      <w:suppressAutoHyphens/>
      <w:spacing w:before="1320" w:after="960"/>
      <w:jc w:val="center"/>
    </w:pPr>
    <w:rPr>
      <w:b/>
      <w:i/>
      <w:caps/>
      <w:sz w:val="32"/>
      <w:szCs w:val="20"/>
    </w:rPr>
  </w:style>
  <w:style w:type="paragraph" w:customStyle="1" w:styleId="TitlePg-Title">
    <w:name w:val="Title Pg-Title"/>
    <w:basedOn w:val="Normal"/>
    <w:next w:val="TitlePg-Authors"/>
    <w:rsid w:val="006A5120"/>
    <w:pPr>
      <w:suppressAutoHyphens/>
      <w:spacing w:after="480"/>
      <w:jc w:val="center"/>
    </w:pPr>
    <w:rPr>
      <w:b/>
      <w:caps/>
      <w:sz w:val="28"/>
      <w:szCs w:val="20"/>
    </w:rPr>
  </w:style>
  <w:style w:type="paragraph" w:customStyle="1" w:styleId="TitlePg-Authors">
    <w:name w:val="Title Pg-Author(s)"/>
    <w:basedOn w:val="Normal"/>
    <w:rsid w:val="006A5120"/>
    <w:pPr>
      <w:suppressAutoHyphens/>
      <w:spacing w:after="0" w:line="200" w:lineRule="atLeast"/>
      <w:jc w:val="center"/>
    </w:pPr>
    <w:rPr>
      <w:sz w:val="20"/>
      <w:szCs w:val="20"/>
    </w:rPr>
  </w:style>
  <w:style w:type="paragraph" w:customStyle="1" w:styleId="TitlePg-LocDate">
    <w:name w:val="Title Pg-Loc &amp; Date"/>
    <w:basedOn w:val="Normal"/>
    <w:next w:val="Normal"/>
    <w:rsid w:val="006A5120"/>
    <w:pPr>
      <w:framePr w:w="9360" w:hSpace="187" w:wrap="around" w:hAnchor="margin" w:xAlign="center" w:y="10441" w:anchorLock="1"/>
      <w:suppressAutoHyphens/>
      <w:spacing w:after="0" w:line="200" w:lineRule="atLeast"/>
      <w:jc w:val="center"/>
    </w:pPr>
    <w:rPr>
      <w:sz w:val="20"/>
      <w:szCs w:val="20"/>
    </w:rPr>
  </w:style>
  <w:style w:type="paragraph" w:customStyle="1" w:styleId="TitlePg-Credits">
    <w:name w:val="Title Pg-Credits"/>
    <w:basedOn w:val="Normal"/>
    <w:next w:val="Normal"/>
    <w:rsid w:val="006A5120"/>
    <w:pPr>
      <w:framePr w:hSpace="187" w:wrap="around" w:hAnchor="margin" w:yAlign="bottom" w:anchorLock="1"/>
      <w:pBdr>
        <w:top w:val="single" w:sz="6" w:space="1" w:color="auto"/>
        <w:left w:val="single" w:sz="6" w:space="1" w:color="auto"/>
        <w:bottom w:val="single" w:sz="6" w:space="1" w:color="auto"/>
        <w:right w:val="single" w:sz="6" w:space="1" w:color="auto"/>
      </w:pBdr>
      <w:suppressAutoHyphens/>
      <w:spacing w:after="0"/>
    </w:pPr>
    <w:rPr>
      <w:szCs w:val="20"/>
    </w:rPr>
  </w:style>
  <w:style w:type="character" w:styleId="Hyperlink">
    <w:name w:val="Hyperlink"/>
    <w:basedOn w:val="DefaultParagraphFont"/>
    <w:uiPriority w:val="99"/>
    <w:unhideWhenUsed/>
    <w:rsid w:val="006A5120"/>
    <w:rPr>
      <w:color w:val="0000FF"/>
      <w:u w:val="single"/>
    </w:rPr>
  </w:style>
  <w:style w:type="paragraph" w:customStyle="1" w:styleId="OEOPg-ReptSeries">
    <w:name w:val="OEO Pg-Rept Series"/>
    <w:basedOn w:val="Normal"/>
    <w:rsid w:val="006A5120"/>
    <w:pPr>
      <w:suppressAutoHyphens/>
    </w:pPr>
    <w:rPr>
      <w:sz w:val="20"/>
      <w:szCs w:val="20"/>
    </w:rPr>
  </w:style>
  <w:style w:type="paragraph" w:customStyle="1" w:styleId="OEOPg-Citation">
    <w:name w:val="OEO Pg-Citation"/>
    <w:basedOn w:val="Normal"/>
    <w:rsid w:val="006A5120"/>
    <w:pPr>
      <w:framePr w:hSpace="187" w:wrap="around" w:hAnchor="margin" w:yAlign="center" w:anchorLock="1"/>
      <w:pBdr>
        <w:top w:val="single" w:sz="6" w:space="1" w:color="auto"/>
        <w:left w:val="single" w:sz="6" w:space="1" w:color="auto"/>
        <w:bottom w:val="single" w:sz="6" w:space="1" w:color="auto"/>
        <w:right w:val="single" w:sz="6" w:space="1" w:color="auto"/>
      </w:pBdr>
      <w:suppressAutoHyphens/>
      <w:spacing w:after="0"/>
      <w:ind w:left="720" w:hanging="720"/>
    </w:pPr>
    <w:rPr>
      <w:i/>
      <w:sz w:val="20"/>
      <w:szCs w:val="20"/>
    </w:rPr>
  </w:style>
  <w:style w:type="paragraph" w:customStyle="1" w:styleId="OEOPg-OEO">
    <w:name w:val="OEO Pg-OEO"/>
    <w:basedOn w:val="Normal"/>
    <w:link w:val="OEOPg-OEOChar"/>
    <w:autoRedefine/>
    <w:rsid w:val="006A5120"/>
    <w:pPr>
      <w:framePr w:hSpace="187" w:wrap="around" w:hAnchor="margin" w:yAlign="bottom" w:anchorLock="1"/>
      <w:suppressAutoHyphens/>
      <w:spacing w:after="0"/>
    </w:pPr>
    <w:rPr>
      <w:sz w:val="20"/>
      <w:szCs w:val="20"/>
    </w:rPr>
  </w:style>
  <w:style w:type="paragraph" w:styleId="TOC1">
    <w:name w:val="toc 1"/>
    <w:basedOn w:val="Heading1"/>
    <w:next w:val="TOC2"/>
    <w:uiPriority w:val="39"/>
    <w:unhideWhenUsed/>
    <w:rsid w:val="006A5120"/>
    <w:pPr>
      <w:keepNext w:val="0"/>
      <w:keepLines w:val="0"/>
      <w:tabs>
        <w:tab w:val="right" w:leader="dot" w:pos="9360"/>
      </w:tabs>
      <w:ind w:left="0"/>
      <w:jc w:val="both"/>
      <w:outlineLvl w:val="9"/>
    </w:pPr>
    <w:rPr>
      <w:rFonts w:ascii="Times New Roman" w:hAnsi="Times New Roman"/>
      <w:b w:val="0"/>
      <w:sz w:val="20"/>
    </w:rPr>
  </w:style>
  <w:style w:type="paragraph" w:styleId="TOC2">
    <w:name w:val="toc 2"/>
    <w:basedOn w:val="Heading2"/>
    <w:next w:val="Normal"/>
    <w:uiPriority w:val="39"/>
    <w:unhideWhenUsed/>
    <w:rsid w:val="006A5120"/>
    <w:pPr>
      <w:keepNext w:val="0"/>
      <w:tabs>
        <w:tab w:val="right" w:leader="dot" w:pos="9360"/>
      </w:tabs>
      <w:spacing w:before="60" w:after="60"/>
      <w:outlineLvl w:val="9"/>
    </w:pPr>
    <w:rPr>
      <w:rFonts w:ascii="Times New Roman" w:hAnsi="Times New Roman"/>
      <w:b w:val="0"/>
      <w:smallCaps w:val="0"/>
      <w:sz w:val="20"/>
    </w:rPr>
  </w:style>
  <w:style w:type="paragraph" w:styleId="TOC3">
    <w:name w:val="toc 3"/>
    <w:basedOn w:val="Heading3"/>
    <w:next w:val="Normal"/>
    <w:uiPriority w:val="39"/>
    <w:unhideWhenUsed/>
    <w:rsid w:val="006A5120"/>
    <w:pPr>
      <w:keepNext w:val="0"/>
      <w:tabs>
        <w:tab w:val="right" w:leader="dot" w:pos="9360"/>
      </w:tabs>
      <w:spacing w:after="0"/>
      <w:ind w:left="245"/>
      <w:outlineLvl w:val="9"/>
    </w:pPr>
    <w:rPr>
      <w:b w:val="0"/>
      <w:sz w:val="20"/>
    </w:rPr>
  </w:style>
  <w:style w:type="paragraph" w:customStyle="1" w:styleId="List-Page">
    <w:name w:val="List-Page"/>
    <w:basedOn w:val="Normal"/>
    <w:next w:val="Normal"/>
    <w:rsid w:val="006A5120"/>
    <w:pPr>
      <w:tabs>
        <w:tab w:val="right" w:pos="9360"/>
      </w:tabs>
      <w:suppressAutoHyphens/>
      <w:spacing w:after="0"/>
      <w:jc w:val="left"/>
    </w:pPr>
    <w:rPr>
      <w:b/>
      <w:szCs w:val="20"/>
    </w:rPr>
  </w:style>
  <w:style w:type="paragraph" w:styleId="TableofFigures">
    <w:name w:val="table of figures"/>
    <w:basedOn w:val="Normal"/>
    <w:next w:val="Normal"/>
    <w:uiPriority w:val="99"/>
    <w:unhideWhenUsed/>
    <w:rsid w:val="006A5120"/>
    <w:pPr>
      <w:tabs>
        <w:tab w:val="right" w:pos="432"/>
        <w:tab w:val="left" w:pos="720"/>
        <w:tab w:val="right" w:leader="dot" w:pos="9360"/>
      </w:tabs>
      <w:suppressAutoHyphens/>
      <w:spacing w:after="0"/>
      <w:ind w:left="720" w:right="360" w:hanging="720"/>
      <w:jc w:val="left"/>
    </w:pPr>
    <w:rPr>
      <w:sz w:val="20"/>
      <w:szCs w:val="20"/>
    </w:rPr>
  </w:style>
  <w:style w:type="paragraph" w:customStyle="1" w:styleId="Abstract">
    <w:name w:val="Abstract"/>
    <w:basedOn w:val="Normal"/>
    <w:next w:val="Keywords"/>
    <w:qFormat/>
    <w:rsid w:val="006A5120"/>
    <w:pPr>
      <w:suppressAutoHyphens/>
    </w:pPr>
    <w:rPr>
      <w:sz w:val="20"/>
      <w:szCs w:val="20"/>
    </w:rPr>
  </w:style>
  <w:style w:type="paragraph" w:customStyle="1" w:styleId="Keywords">
    <w:name w:val="Key words"/>
    <w:basedOn w:val="Normal"/>
    <w:next w:val="Normal"/>
    <w:rsid w:val="006A5120"/>
    <w:pPr>
      <w:tabs>
        <w:tab w:val="left" w:pos="1152"/>
      </w:tabs>
      <w:suppressAutoHyphens/>
      <w:ind w:left="1152" w:hanging="1152"/>
    </w:pPr>
    <w:rPr>
      <w:sz w:val="20"/>
      <w:szCs w:val="20"/>
    </w:rPr>
  </w:style>
  <w:style w:type="character" w:styleId="FootnoteReference">
    <w:name w:val="footnote reference"/>
    <w:basedOn w:val="DefaultParagraphFont"/>
    <w:unhideWhenUsed/>
    <w:rsid w:val="006A5120"/>
    <w:rPr>
      <w:position w:val="0"/>
      <w:vertAlign w:val="superscript"/>
    </w:rPr>
  </w:style>
  <w:style w:type="paragraph" w:customStyle="1" w:styleId="Number2">
    <w:name w:val="Number 2"/>
    <w:basedOn w:val="Number1"/>
    <w:rsid w:val="006A5120"/>
    <w:pPr>
      <w:ind w:left="720"/>
    </w:pPr>
  </w:style>
  <w:style w:type="paragraph" w:customStyle="1" w:styleId="Number1">
    <w:name w:val="Number 1"/>
    <w:basedOn w:val="Normal"/>
    <w:rsid w:val="006A5120"/>
    <w:pPr>
      <w:suppressAutoHyphens/>
      <w:ind w:left="360" w:hanging="360"/>
    </w:pPr>
    <w:rPr>
      <w:szCs w:val="20"/>
    </w:rPr>
  </w:style>
  <w:style w:type="paragraph" w:styleId="Footer">
    <w:name w:val="footer"/>
    <w:basedOn w:val="Normal"/>
    <w:link w:val="FooterChar"/>
    <w:uiPriority w:val="99"/>
    <w:rsid w:val="006A5120"/>
    <w:pPr>
      <w:tabs>
        <w:tab w:val="center" w:pos="4320"/>
        <w:tab w:val="right" w:pos="8640"/>
      </w:tabs>
      <w:suppressAutoHyphens/>
    </w:pPr>
    <w:rPr>
      <w:szCs w:val="20"/>
    </w:rPr>
  </w:style>
  <w:style w:type="paragraph" w:styleId="Caption">
    <w:name w:val="caption"/>
    <w:basedOn w:val="Normal"/>
    <w:next w:val="Normal"/>
    <w:link w:val="CaptionChar"/>
    <w:uiPriority w:val="35"/>
    <w:unhideWhenUsed/>
    <w:qFormat/>
    <w:rsid w:val="006A5120"/>
    <w:pPr>
      <w:keepLines/>
      <w:tabs>
        <w:tab w:val="right" w:pos="9360"/>
      </w:tabs>
      <w:suppressAutoHyphens/>
      <w:ind w:firstLine="288"/>
    </w:pPr>
    <w:rPr>
      <w:sz w:val="22"/>
      <w:szCs w:val="20"/>
    </w:rPr>
  </w:style>
  <w:style w:type="paragraph" w:customStyle="1" w:styleId="Caption-continued">
    <w:name w:val="Caption-continued"/>
    <w:basedOn w:val="Caption"/>
    <w:rsid w:val="006A5120"/>
  </w:style>
  <w:style w:type="paragraph" w:styleId="NormalIndent">
    <w:name w:val="Normal Indent"/>
    <w:basedOn w:val="Normal"/>
    <w:unhideWhenUsed/>
    <w:rsid w:val="006A5120"/>
    <w:pPr>
      <w:suppressAutoHyphens/>
      <w:ind w:left="720"/>
    </w:pPr>
    <w:rPr>
      <w:szCs w:val="20"/>
    </w:rPr>
  </w:style>
  <w:style w:type="paragraph" w:customStyle="1" w:styleId="Lit-Cited">
    <w:name w:val="Lit-Cited"/>
    <w:basedOn w:val="Normal"/>
    <w:link w:val="Lit-CitedChar"/>
    <w:rsid w:val="006A5120"/>
    <w:pPr>
      <w:keepLines/>
      <w:suppressAutoHyphens/>
      <w:ind w:left="288" w:hanging="288"/>
    </w:pPr>
    <w:rPr>
      <w:sz w:val="20"/>
      <w:szCs w:val="20"/>
    </w:rPr>
  </w:style>
  <w:style w:type="paragraph" w:customStyle="1" w:styleId="Append-Cover">
    <w:name w:val="Append-Cover"/>
    <w:next w:val="Heading1"/>
    <w:rsid w:val="006A5120"/>
    <w:pPr>
      <w:widowControl w:val="0"/>
      <w:spacing w:before="4000"/>
      <w:jc w:val="center"/>
    </w:pPr>
    <w:rPr>
      <w:rFonts w:ascii="Times New Roman Bold" w:hAnsi="Times New Roman Bold"/>
      <w:b/>
      <w:caps/>
      <w:sz w:val="32"/>
    </w:rPr>
  </w:style>
  <w:style w:type="paragraph" w:customStyle="1" w:styleId="Sty">
    <w:name w:val="Sty"/>
    <w:basedOn w:val="Normal"/>
    <w:rsid w:val="006A5120"/>
    <w:pPr>
      <w:keepLines/>
      <w:overflowPunct w:val="0"/>
      <w:autoSpaceDE w:val="0"/>
      <w:autoSpaceDN w:val="0"/>
      <w:adjustRightInd w:val="0"/>
      <w:jc w:val="left"/>
      <w:textAlignment w:val="baseline"/>
    </w:pPr>
    <w:rPr>
      <w:sz w:val="18"/>
      <w:szCs w:val="20"/>
    </w:rPr>
  </w:style>
  <w:style w:type="paragraph" w:styleId="BodyText2">
    <w:name w:val="Body Text 2"/>
    <w:basedOn w:val="Normal"/>
    <w:link w:val="BodyText2Char"/>
    <w:unhideWhenUsed/>
    <w:rsid w:val="006A5120"/>
    <w:pPr>
      <w:suppressAutoHyphens/>
    </w:pPr>
    <w:rPr>
      <w:b/>
      <w:bCs/>
      <w:szCs w:val="20"/>
    </w:rPr>
  </w:style>
  <w:style w:type="paragraph" w:customStyle="1" w:styleId="Table-Continued">
    <w:name w:val="Table-Continued"/>
    <w:basedOn w:val="Normal"/>
    <w:next w:val="Normal"/>
    <w:rsid w:val="006A5120"/>
    <w:pPr>
      <w:keepNext/>
      <w:keepLines/>
      <w:suppressAutoHyphens/>
      <w:spacing w:before="60"/>
      <w:jc w:val="center"/>
    </w:pPr>
    <w:rPr>
      <w:sz w:val="20"/>
      <w:szCs w:val="20"/>
    </w:rPr>
  </w:style>
  <w:style w:type="paragraph" w:customStyle="1" w:styleId="Table-Footnote">
    <w:name w:val="Table-Footnote"/>
    <w:basedOn w:val="Normal"/>
    <w:next w:val="Normal"/>
    <w:rsid w:val="006A5120"/>
    <w:pPr>
      <w:tabs>
        <w:tab w:val="left" w:pos="216"/>
      </w:tabs>
      <w:suppressAutoHyphens/>
      <w:spacing w:before="40" w:after="20"/>
      <w:ind w:left="216" w:hanging="216"/>
    </w:pPr>
    <w:rPr>
      <w:sz w:val="20"/>
      <w:szCs w:val="20"/>
    </w:rPr>
  </w:style>
  <w:style w:type="paragraph" w:styleId="Header">
    <w:name w:val="header"/>
    <w:basedOn w:val="Normal"/>
    <w:link w:val="HeaderChar"/>
    <w:uiPriority w:val="99"/>
    <w:unhideWhenUsed/>
    <w:rsid w:val="006A5120"/>
    <w:pPr>
      <w:tabs>
        <w:tab w:val="center" w:pos="4320"/>
        <w:tab w:val="right" w:pos="8640"/>
      </w:tabs>
      <w:suppressAutoHyphens/>
    </w:pPr>
    <w:rPr>
      <w:szCs w:val="20"/>
    </w:rPr>
  </w:style>
  <w:style w:type="paragraph" w:customStyle="1" w:styleId="TOCPage">
    <w:name w:val="TOC Page"/>
    <w:basedOn w:val="TOCHeader"/>
    <w:next w:val="Normal"/>
    <w:rsid w:val="006A5120"/>
    <w:pPr>
      <w:jc w:val="right"/>
    </w:pPr>
    <w:rPr>
      <w:sz w:val="24"/>
    </w:rPr>
  </w:style>
  <w:style w:type="paragraph" w:customStyle="1" w:styleId="TOCHeader">
    <w:name w:val="TOC Header"/>
    <w:basedOn w:val="Normal"/>
    <w:next w:val="TOCPage"/>
    <w:rsid w:val="006A5120"/>
    <w:pPr>
      <w:suppressAutoHyphens/>
      <w:spacing w:after="0"/>
      <w:jc w:val="center"/>
    </w:pPr>
    <w:rPr>
      <w:b/>
      <w:noProof/>
      <w:sz w:val="32"/>
      <w:szCs w:val="20"/>
    </w:rPr>
  </w:style>
  <w:style w:type="character" w:styleId="PageNumber">
    <w:name w:val="page number"/>
    <w:basedOn w:val="DefaultParagraphFont"/>
    <w:unhideWhenUsed/>
    <w:rsid w:val="006A5120"/>
  </w:style>
  <w:style w:type="paragraph" w:customStyle="1" w:styleId="Bulletedtest">
    <w:name w:val="Bulleted test"/>
    <w:basedOn w:val="Normal"/>
    <w:rsid w:val="006A5120"/>
    <w:pPr>
      <w:numPr>
        <w:ilvl w:val="1"/>
        <w:numId w:val="1"/>
      </w:numPr>
      <w:ind w:right="288"/>
    </w:pPr>
  </w:style>
  <w:style w:type="paragraph" w:styleId="BodyText">
    <w:name w:val="Body Text"/>
    <w:basedOn w:val="Normal"/>
    <w:unhideWhenUsed/>
    <w:qFormat/>
    <w:rsid w:val="00401D68"/>
  </w:style>
  <w:style w:type="paragraph" w:customStyle="1" w:styleId="Captiontitle">
    <w:name w:val="Caption title"/>
    <w:basedOn w:val="Normal"/>
    <w:next w:val="Normal"/>
    <w:link w:val="CaptiontitleChar"/>
    <w:rsid w:val="006A5120"/>
    <w:pPr>
      <w:ind w:firstLine="288"/>
    </w:pPr>
    <w:rPr>
      <w:sz w:val="22"/>
    </w:rPr>
  </w:style>
  <w:style w:type="paragraph" w:customStyle="1" w:styleId="RefCitedtitlecont">
    <w:name w:val="Ref Cited title cont."/>
    <w:next w:val="Lit-Cited"/>
    <w:rsid w:val="006A5120"/>
    <w:pPr>
      <w:spacing w:after="120"/>
      <w:jc w:val="center"/>
    </w:pPr>
    <w:rPr>
      <w:rFonts w:ascii="Times New Roman Bold" w:hAnsi="Times New Roman Bold"/>
      <w:b/>
      <w:sz w:val="32"/>
    </w:rPr>
  </w:style>
  <w:style w:type="paragraph" w:customStyle="1" w:styleId="Append-Title">
    <w:name w:val="Append-Title"/>
    <w:basedOn w:val="Caption"/>
    <w:next w:val="Normal"/>
    <w:rsid w:val="006A5120"/>
    <w:pPr>
      <w:pageBreakBefore/>
      <w:overflowPunct w:val="0"/>
      <w:autoSpaceDE w:val="0"/>
      <w:autoSpaceDN w:val="0"/>
      <w:adjustRightInd w:val="0"/>
      <w:textAlignment w:val="baseline"/>
    </w:pPr>
  </w:style>
  <w:style w:type="paragraph" w:customStyle="1" w:styleId="Append-Titlecontinued">
    <w:name w:val="Append-Title(continued)"/>
    <w:basedOn w:val="Normal"/>
    <w:next w:val="Normal"/>
    <w:rsid w:val="006A5120"/>
    <w:pPr>
      <w:keepNext/>
      <w:keepLines/>
      <w:pageBreakBefore/>
      <w:tabs>
        <w:tab w:val="right" w:pos="9360"/>
      </w:tabs>
      <w:suppressAutoHyphens/>
      <w:overflowPunct w:val="0"/>
      <w:autoSpaceDE w:val="0"/>
      <w:autoSpaceDN w:val="0"/>
      <w:adjustRightInd w:val="0"/>
      <w:ind w:firstLine="288"/>
      <w:textAlignment w:val="baseline"/>
    </w:pPr>
    <w:rPr>
      <w:sz w:val="22"/>
      <w:szCs w:val="20"/>
    </w:rPr>
  </w:style>
  <w:style w:type="paragraph" w:styleId="BodyText3">
    <w:name w:val="Body Text 3"/>
    <w:basedOn w:val="Normal"/>
    <w:link w:val="BodyText3Char"/>
    <w:unhideWhenUsed/>
    <w:rsid w:val="006A5120"/>
    <w:pPr>
      <w:ind w:right="1152"/>
    </w:pPr>
    <w:rPr>
      <w:sz w:val="20"/>
    </w:rPr>
  </w:style>
  <w:style w:type="paragraph" w:styleId="TOC4">
    <w:name w:val="toc 4"/>
    <w:basedOn w:val="Heading4"/>
    <w:next w:val="Normal"/>
    <w:autoRedefine/>
    <w:uiPriority w:val="39"/>
    <w:unhideWhenUsed/>
    <w:rsid w:val="006A5120"/>
    <w:pPr>
      <w:tabs>
        <w:tab w:val="right" w:leader="dot" w:pos="9360"/>
      </w:tabs>
      <w:spacing w:after="0"/>
      <w:ind w:left="720" w:right="432"/>
      <w:jc w:val="right"/>
      <w:outlineLvl w:val="9"/>
    </w:pPr>
    <w:rPr>
      <w:rFonts w:ascii="Times New Roman" w:hAnsi="Times New Roman"/>
      <w:b w:val="0"/>
      <w:bCs w:val="0"/>
      <w:i w:val="0"/>
      <w:sz w:val="20"/>
      <w:szCs w:val="20"/>
    </w:rPr>
  </w:style>
  <w:style w:type="paragraph" w:styleId="TOC5">
    <w:name w:val="toc 5"/>
    <w:basedOn w:val="TOC1"/>
    <w:next w:val="Normal"/>
    <w:autoRedefine/>
    <w:semiHidden/>
    <w:unhideWhenUsed/>
    <w:rsid w:val="006A5120"/>
    <w:pPr>
      <w:spacing w:before="0" w:after="0"/>
      <w:ind w:left="965"/>
      <w:jc w:val="left"/>
    </w:pPr>
    <w:rPr>
      <w:caps w:val="0"/>
    </w:rPr>
  </w:style>
  <w:style w:type="paragraph" w:styleId="TOC6">
    <w:name w:val="toc 6"/>
    <w:basedOn w:val="Normal"/>
    <w:next w:val="Normal"/>
    <w:autoRedefine/>
    <w:semiHidden/>
    <w:unhideWhenUsed/>
    <w:rsid w:val="006A5120"/>
    <w:pPr>
      <w:tabs>
        <w:tab w:val="right" w:leader="dot" w:pos="9350"/>
      </w:tabs>
      <w:spacing w:before="60" w:after="60"/>
      <w:jc w:val="left"/>
    </w:pPr>
    <w:rPr>
      <w:caps/>
      <w:sz w:val="20"/>
      <w:u w:val="single"/>
    </w:rPr>
  </w:style>
  <w:style w:type="paragraph" w:styleId="TOC7">
    <w:name w:val="toc 7"/>
    <w:basedOn w:val="Normal"/>
    <w:next w:val="Normal"/>
    <w:autoRedefine/>
    <w:semiHidden/>
    <w:unhideWhenUsed/>
    <w:rsid w:val="006A5120"/>
    <w:pPr>
      <w:spacing w:after="0"/>
      <w:ind w:left="1440"/>
      <w:jc w:val="left"/>
    </w:pPr>
  </w:style>
  <w:style w:type="paragraph" w:styleId="TOC8">
    <w:name w:val="toc 8"/>
    <w:basedOn w:val="Normal"/>
    <w:next w:val="Normal"/>
    <w:autoRedefine/>
    <w:semiHidden/>
    <w:unhideWhenUsed/>
    <w:rsid w:val="006A5120"/>
    <w:pPr>
      <w:spacing w:after="0"/>
      <w:ind w:left="1680"/>
      <w:jc w:val="left"/>
    </w:pPr>
  </w:style>
  <w:style w:type="paragraph" w:styleId="TOC9">
    <w:name w:val="toc 9"/>
    <w:basedOn w:val="Normal"/>
    <w:next w:val="Normal"/>
    <w:autoRedefine/>
    <w:semiHidden/>
    <w:unhideWhenUsed/>
    <w:rsid w:val="006A5120"/>
    <w:pPr>
      <w:spacing w:before="300" w:after="300"/>
    </w:pPr>
    <w:rPr>
      <w:caps/>
      <w:sz w:val="20"/>
    </w:rPr>
  </w:style>
  <w:style w:type="paragraph" w:customStyle="1" w:styleId="Equation">
    <w:name w:val="Equation"/>
    <w:basedOn w:val="Normal"/>
    <w:rsid w:val="006A5120"/>
    <w:pPr>
      <w:keepLines/>
      <w:suppressAutoHyphens/>
      <w:overflowPunct w:val="0"/>
      <w:autoSpaceDE w:val="0"/>
      <w:autoSpaceDN w:val="0"/>
      <w:adjustRightInd w:val="0"/>
      <w:textAlignment w:val="baseline"/>
    </w:pPr>
    <w:rPr>
      <w:sz w:val="20"/>
      <w:szCs w:val="20"/>
    </w:rPr>
  </w:style>
  <w:style w:type="paragraph" w:customStyle="1" w:styleId="Append-no">
    <w:name w:val="Append-no."/>
    <w:basedOn w:val="Caption"/>
    <w:next w:val="Normal"/>
    <w:rsid w:val="006A5120"/>
    <w:pPr>
      <w:pageBreakBefore/>
      <w:overflowPunct w:val="0"/>
      <w:autoSpaceDE w:val="0"/>
      <w:autoSpaceDN w:val="0"/>
      <w:adjustRightInd w:val="0"/>
      <w:textAlignment w:val="baseline"/>
    </w:pPr>
  </w:style>
  <w:style w:type="paragraph" w:customStyle="1" w:styleId="Append-title0">
    <w:name w:val="Append-title"/>
    <w:basedOn w:val="Normal"/>
    <w:rsid w:val="006A5120"/>
    <w:pPr>
      <w:keepNext/>
      <w:keepLines/>
      <w:pageBreakBefore/>
      <w:tabs>
        <w:tab w:val="right" w:pos="9360"/>
      </w:tabs>
      <w:suppressAutoHyphens/>
      <w:overflowPunct w:val="0"/>
      <w:autoSpaceDE w:val="0"/>
      <w:autoSpaceDN w:val="0"/>
      <w:adjustRightInd w:val="0"/>
      <w:ind w:firstLine="288"/>
      <w:textAlignment w:val="baseline"/>
    </w:pPr>
    <w:rPr>
      <w:b/>
      <w:sz w:val="22"/>
      <w:szCs w:val="20"/>
    </w:rPr>
  </w:style>
  <w:style w:type="paragraph" w:customStyle="1" w:styleId="Captiontitlenotbold">
    <w:name w:val="Caption title not bold"/>
    <w:basedOn w:val="Normal"/>
    <w:next w:val="Normal"/>
    <w:rsid w:val="006A5120"/>
    <w:pPr>
      <w:ind w:firstLine="288"/>
    </w:pPr>
    <w:rPr>
      <w:sz w:val="22"/>
      <w:szCs w:val="22"/>
    </w:rPr>
  </w:style>
  <w:style w:type="character" w:customStyle="1" w:styleId="CaptiontitleChar">
    <w:name w:val="Caption title Char"/>
    <w:basedOn w:val="DefaultParagraphFont"/>
    <w:link w:val="Captiontitle"/>
    <w:rsid w:val="006A5120"/>
    <w:rPr>
      <w:sz w:val="22"/>
      <w:szCs w:val="24"/>
    </w:rPr>
  </w:style>
  <w:style w:type="paragraph" w:customStyle="1" w:styleId="AppenidixHeading2">
    <w:name w:val="Appenidix Heading 2"/>
    <w:basedOn w:val="Normal"/>
    <w:next w:val="Normal"/>
    <w:rsid w:val="006A5120"/>
    <w:rPr>
      <w:rFonts w:ascii="Times New Roman Bold" w:hAnsi="Times New Roman Bold"/>
      <w:b/>
      <w:smallCaps/>
      <w:sz w:val="28"/>
    </w:rPr>
  </w:style>
  <w:style w:type="character" w:customStyle="1" w:styleId="Heading9Char">
    <w:name w:val="Heading 9 Char"/>
    <w:basedOn w:val="DefaultParagraphFont"/>
    <w:link w:val="Heading9"/>
    <w:rsid w:val="006A5120"/>
    <w:rPr>
      <w:rFonts w:ascii="Arial" w:hAnsi="Arial" w:cs="Arial"/>
      <w:sz w:val="22"/>
      <w:szCs w:val="22"/>
    </w:rPr>
  </w:style>
  <w:style w:type="paragraph" w:customStyle="1" w:styleId="SectionHeading">
    <w:name w:val="Section Heading"/>
    <w:basedOn w:val="Heading6"/>
    <w:next w:val="Heading1"/>
    <w:link w:val="SectionHeadingChar"/>
    <w:autoRedefine/>
    <w:rsid w:val="006A5120"/>
    <w:pPr>
      <w:pBdr>
        <w:bottom w:val="single" w:sz="4" w:space="1" w:color="auto"/>
      </w:pBdr>
      <w:spacing w:before="0" w:after="1080"/>
      <w:jc w:val="center"/>
    </w:pPr>
    <w:rPr>
      <w:rFonts w:ascii="Times New Roman Bold" w:hAnsi="Times New Roman Bold" w:cs="Arial"/>
      <w:b w:val="0"/>
      <w:caps/>
      <w:sz w:val="36"/>
    </w:rPr>
  </w:style>
  <w:style w:type="character" w:customStyle="1" w:styleId="SectionHeadingChar">
    <w:name w:val="Section Heading Char"/>
    <w:basedOn w:val="Heading9Char"/>
    <w:link w:val="SectionHeading"/>
    <w:rsid w:val="006A5120"/>
    <w:rPr>
      <w:rFonts w:ascii="Times New Roman Bold" w:hAnsi="Times New Roman Bold" w:cs="Arial"/>
      <w:bCs/>
      <w:caps/>
      <w:sz w:val="36"/>
      <w:szCs w:val="22"/>
    </w:rPr>
  </w:style>
  <w:style w:type="character" w:customStyle="1" w:styleId="Heading1Char">
    <w:name w:val="Heading 1 Char"/>
    <w:basedOn w:val="DefaultParagraphFont"/>
    <w:link w:val="Heading1"/>
    <w:uiPriority w:val="9"/>
    <w:rsid w:val="006A5120"/>
    <w:rPr>
      <w:rFonts w:ascii="Times New Roman Bold" w:hAnsi="Times New Roman Bold"/>
      <w:b/>
      <w:caps/>
      <w:sz w:val="32"/>
    </w:rPr>
  </w:style>
  <w:style w:type="paragraph" w:customStyle="1" w:styleId="OPPLANHEADING">
    <w:name w:val="OP PLAN HEADING"/>
    <w:basedOn w:val="Heading1"/>
    <w:next w:val="Normal"/>
    <w:rsid w:val="006A5120"/>
  </w:style>
  <w:style w:type="character" w:styleId="CommentReference">
    <w:name w:val="annotation reference"/>
    <w:basedOn w:val="DefaultParagraphFont"/>
    <w:semiHidden/>
    <w:unhideWhenUsed/>
    <w:rsid w:val="006A5120"/>
    <w:rPr>
      <w:sz w:val="16"/>
      <w:szCs w:val="16"/>
    </w:rPr>
  </w:style>
  <w:style w:type="paragraph" w:customStyle="1" w:styleId="tablerow0">
    <w:name w:val="table row"/>
    <w:basedOn w:val="Normal"/>
    <w:rsid w:val="006A5120"/>
    <w:pPr>
      <w:spacing w:before="20" w:after="0"/>
    </w:pPr>
    <w:rPr>
      <w:sz w:val="20"/>
    </w:rPr>
  </w:style>
  <w:style w:type="paragraph" w:styleId="PlainText">
    <w:name w:val="Plain Text"/>
    <w:basedOn w:val="Normal"/>
    <w:unhideWhenUsed/>
    <w:rsid w:val="006A5120"/>
    <w:rPr>
      <w:rFonts w:ascii="Courier New" w:hAnsi="Courier New" w:cs="Courier New"/>
      <w:sz w:val="20"/>
      <w:szCs w:val="20"/>
    </w:rPr>
  </w:style>
  <w:style w:type="paragraph" w:customStyle="1" w:styleId="ref-Cited">
    <w:name w:val="ref-Cited"/>
    <w:basedOn w:val="Normal"/>
    <w:rsid w:val="006A5120"/>
    <w:pPr>
      <w:keepLines/>
      <w:suppressAutoHyphens/>
      <w:ind w:left="288" w:hanging="288"/>
    </w:pPr>
    <w:rPr>
      <w:sz w:val="20"/>
      <w:szCs w:val="20"/>
    </w:rPr>
  </w:style>
  <w:style w:type="paragraph" w:customStyle="1" w:styleId="RefCited">
    <w:name w:val="Ref Cited"/>
    <w:rsid w:val="006A5120"/>
    <w:pPr>
      <w:keepLines/>
      <w:widowControl w:val="0"/>
      <w:spacing w:line="240" w:lineRule="exact"/>
      <w:ind w:left="720" w:hanging="720"/>
      <w:jc w:val="both"/>
    </w:pPr>
  </w:style>
  <w:style w:type="paragraph" w:styleId="CommentText">
    <w:name w:val="annotation text"/>
    <w:basedOn w:val="Normal"/>
    <w:link w:val="CommentTextChar"/>
    <w:unhideWhenUsed/>
    <w:rsid w:val="006A5120"/>
    <w:rPr>
      <w:sz w:val="20"/>
      <w:szCs w:val="20"/>
    </w:rPr>
  </w:style>
  <w:style w:type="paragraph" w:styleId="FootnoteText">
    <w:name w:val="footnote text"/>
    <w:basedOn w:val="Normal"/>
    <w:link w:val="FootnoteTextChar"/>
    <w:uiPriority w:val="9"/>
    <w:unhideWhenUsed/>
    <w:qFormat/>
    <w:rsid w:val="006A5120"/>
    <w:pPr>
      <w:tabs>
        <w:tab w:val="left" w:pos="216"/>
      </w:tabs>
      <w:spacing w:before="20" w:after="20"/>
      <w:ind w:left="216" w:hanging="216"/>
    </w:pPr>
    <w:rPr>
      <w:sz w:val="16"/>
      <w:szCs w:val="16"/>
    </w:rPr>
  </w:style>
  <w:style w:type="paragraph" w:customStyle="1" w:styleId="Bullet1">
    <w:name w:val="Bullet 1"/>
    <w:basedOn w:val="Normal"/>
    <w:rsid w:val="006A5120"/>
    <w:pPr>
      <w:ind w:left="288" w:hanging="288"/>
    </w:pPr>
  </w:style>
  <w:style w:type="paragraph" w:customStyle="1" w:styleId="Bullet2">
    <w:name w:val="Bullet 2"/>
    <w:basedOn w:val="Normal"/>
    <w:rsid w:val="006A5120"/>
    <w:pPr>
      <w:ind w:left="648" w:hanging="288"/>
    </w:pPr>
  </w:style>
  <w:style w:type="character" w:styleId="EndnoteReference">
    <w:name w:val="endnote reference"/>
    <w:basedOn w:val="DefaultParagraphFont"/>
    <w:semiHidden/>
    <w:unhideWhenUsed/>
    <w:rsid w:val="006A5120"/>
    <w:rPr>
      <w:vertAlign w:val="superscript"/>
    </w:rPr>
  </w:style>
  <w:style w:type="paragraph" w:styleId="Index1">
    <w:name w:val="index 1"/>
    <w:basedOn w:val="Normal"/>
    <w:next w:val="Normal"/>
    <w:autoRedefine/>
    <w:semiHidden/>
    <w:unhideWhenUsed/>
    <w:rsid w:val="006A5120"/>
    <w:pPr>
      <w:tabs>
        <w:tab w:val="right" w:pos="4320"/>
      </w:tabs>
      <w:spacing w:after="0"/>
      <w:ind w:left="240" w:hanging="240"/>
      <w:jc w:val="left"/>
    </w:pPr>
    <w:rPr>
      <w:sz w:val="18"/>
      <w:szCs w:val="18"/>
    </w:rPr>
  </w:style>
  <w:style w:type="paragraph" w:styleId="Index2">
    <w:name w:val="index 2"/>
    <w:basedOn w:val="Normal"/>
    <w:next w:val="Normal"/>
    <w:autoRedefine/>
    <w:semiHidden/>
    <w:unhideWhenUsed/>
    <w:rsid w:val="006A5120"/>
    <w:pPr>
      <w:tabs>
        <w:tab w:val="right" w:pos="4320"/>
      </w:tabs>
      <w:spacing w:after="0"/>
      <w:ind w:left="480" w:hanging="240"/>
      <w:jc w:val="left"/>
    </w:pPr>
    <w:rPr>
      <w:sz w:val="18"/>
      <w:szCs w:val="18"/>
    </w:rPr>
  </w:style>
  <w:style w:type="paragraph" w:styleId="Index3">
    <w:name w:val="index 3"/>
    <w:basedOn w:val="Normal"/>
    <w:next w:val="Normal"/>
    <w:autoRedefine/>
    <w:semiHidden/>
    <w:unhideWhenUsed/>
    <w:rsid w:val="006A5120"/>
    <w:pPr>
      <w:tabs>
        <w:tab w:val="right" w:pos="4320"/>
      </w:tabs>
      <w:spacing w:after="0"/>
      <w:ind w:left="720" w:hanging="240"/>
      <w:jc w:val="left"/>
    </w:pPr>
    <w:rPr>
      <w:sz w:val="18"/>
      <w:szCs w:val="18"/>
    </w:rPr>
  </w:style>
  <w:style w:type="paragraph" w:styleId="Index4">
    <w:name w:val="index 4"/>
    <w:basedOn w:val="Normal"/>
    <w:next w:val="Normal"/>
    <w:autoRedefine/>
    <w:semiHidden/>
    <w:unhideWhenUsed/>
    <w:rsid w:val="006A5120"/>
    <w:pPr>
      <w:tabs>
        <w:tab w:val="right" w:pos="4320"/>
      </w:tabs>
      <w:spacing w:after="0"/>
      <w:ind w:left="960" w:hanging="240"/>
      <w:jc w:val="left"/>
    </w:pPr>
    <w:rPr>
      <w:sz w:val="18"/>
      <w:szCs w:val="18"/>
    </w:rPr>
  </w:style>
  <w:style w:type="paragraph" w:styleId="IndexHeading">
    <w:name w:val="index heading"/>
    <w:basedOn w:val="Normal"/>
    <w:next w:val="Index1"/>
    <w:semiHidden/>
    <w:unhideWhenUsed/>
    <w:rsid w:val="006A5120"/>
    <w:pPr>
      <w:spacing w:before="240"/>
      <w:jc w:val="center"/>
    </w:pPr>
    <w:rPr>
      <w:b/>
      <w:bCs/>
      <w:sz w:val="26"/>
      <w:szCs w:val="26"/>
    </w:rPr>
  </w:style>
  <w:style w:type="paragraph" w:customStyle="1" w:styleId="List-Header">
    <w:name w:val="List-Header"/>
    <w:basedOn w:val="Normal"/>
    <w:next w:val="List-Page"/>
    <w:rsid w:val="006A5120"/>
    <w:pPr>
      <w:spacing w:after="0"/>
      <w:jc w:val="center"/>
    </w:pPr>
    <w:rPr>
      <w:b/>
      <w:bCs/>
      <w:sz w:val="32"/>
      <w:szCs w:val="32"/>
    </w:rPr>
  </w:style>
  <w:style w:type="paragraph" w:customStyle="1" w:styleId="Normal-KeepLine">
    <w:name w:val="Normal-Keep Line"/>
    <w:basedOn w:val="Normal"/>
    <w:rsid w:val="006A5120"/>
    <w:pPr>
      <w:keepLines/>
    </w:pPr>
  </w:style>
  <w:style w:type="paragraph" w:customStyle="1" w:styleId="Normal-KeepNext">
    <w:name w:val="Normal-Keep Next"/>
    <w:basedOn w:val="Normal"/>
    <w:rsid w:val="006A5120"/>
    <w:pPr>
      <w:keepNext/>
      <w:keepLines/>
    </w:pPr>
  </w:style>
  <w:style w:type="paragraph" w:styleId="TableofAuthorities">
    <w:name w:val="table of authorities"/>
    <w:basedOn w:val="Normal"/>
    <w:semiHidden/>
    <w:unhideWhenUsed/>
    <w:rsid w:val="006A5120"/>
    <w:pPr>
      <w:keepLines/>
      <w:ind w:left="288" w:hanging="288"/>
    </w:pPr>
    <w:rPr>
      <w:sz w:val="20"/>
      <w:szCs w:val="20"/>
    </w:rPr>
  </w:style>
  <w:style w:type="paragraph" w:styleId="TOAHeading">
    <w:name w:val="toa heading"/>
    <w:basedOn w:val="Heading1"/>
    <w:next w:val="Normal"/>
    <w:semiHidden/>
    <w:unhideWhenUsed/>
    <w:rsid w:val="006A5120"/>
    <w:pPr>
      <w:tabs>
        <w:tab w:val="right" w:leader="dot" w:pos="4464"/>
      </w:tabs>
      <w:outlineLvl w:val="9"/>
    </w:pPr>
  </w:style>
  <w:style w:type="paragraph" w:customStyle="1" w:styleId="StyleTableofFiguresLeft046Firstline0">
    <w:name w:val="Style Table of Figures + Left:  0.46&quot; First line:  0&quot;"/>
    <w:basedOn w:val="TableofFigures"/>
    <w:rsid w:val="006A5120"/>
    <w:pPr>
      <w:ind w:left="666" w:firstLine="0"/>
    </w:pPr>
  </w:style>
  <w:style w:type="paragraph" w:styleId="BlockText">
    <w:name w:val="Block Text"/>
    <w:basedOn w:val="Normal"/>
    <w:uiPriority w:val="9"/>
    <w:unhideWhenUsed/>
    <w:qFormat/>
    <w:rsid w:val="006A5120"/>
    <w:pPr>
      <w:ind w:left="432" w:right="432"/>
    </w:pPr>
  </w:style>
  <w:style w:type="paragraph" w:styleId="CommentSubject">
    <w:name w:val="annotation subject"/>
    <w:basedOn w:val="CommentText"/>
    <w:next w:val="CommentText"/>
    <w:link w:val="CommentSubjectChar"/>
    <w:semiHidden/>
    <w:unhideWhenUsed/>
    <w:rsid w:val="006A5120"/>
    <w:rPr>
      <w:b/>
      <w:bCs/>
    </w:rPr>
  </w:style>
  <w:style w:type="paragraph" w:customStyle="1" w:styleId="Normal-15">
    <w:name w:val="Normal-1.5"/>
    <w:basedOn w:val="Normal"/>
    <w:next w:val="Normal"/>
    <w:rsid w:val="006A5120"/>
    <w:pPr>
      <w:suppressAutoHyphens/>
      <w:spacing w:line="360" w:lineRule="auto"/>
    </w:pPr>
    <w:rPr>
      <w:szCs w:val="20"/>
    </w:rPr>
  </w:style>
  <w:style w:type="paragraph" w:customStyle="1" w:styleId="Default">
    <w:name w:val="Default"/>
    <w:rsid w:val="006A5120"/>
    <w:pPr>
      <w:autoSpaceDE w:val="0"/>
      <w:autoSpaceDN w:val="0"/>
      <w:adjustRightInd w:val="0"/>
    </w:pPr>
    <w:rPr>
      <w:rFonts w:ascii="FFBFON+TimesNewRoman,Italic" w:hAnsi="FFBFON+TimesNewRoman,Italic"/>
      <w:color w:val="000000"/>
      <w:sz w:val="24"/>
      <w:szCs w:val="24"/>
    </w:rPr>
  </w:style>
  <w:style w:type="table" w:styleId="TableGrid">
    <w:name w:val="Table Grid"/>
    <w:basedOn w:val="TableNormal"/>
    <w:rsid w:val="006A5120"/>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pPlanCovertitle">
    <w:name w:val="Op Plan Cover title"/>
    <w:basedOn w:val="Cover-PublSeries"/>
    <w:rsid w:val="006A5120"/>
    <w:pPr>
      <w:pBdr>
        <w:bottom w:val="none" w:sz="0" w:space="0" w:color="auto"/>
      </w:pBdr>
      <w:jc w:val="center"/>
    </w:pPr>
  </w:style>
  <w:style w:type="paragraph" w:customStyle="1" w:styleId="OpPlanprojecttitle">
    <w:name w:val="Op Plan project title"/>
    <w:basedOn w:val="TitlePg-Title"/>
    <w:next w:val="Normal"/>
    <w:rsid w:val="006A5120"/>
    <w:pPr>
      <w:spacing w:before="240"/>
    </w:pPr>
  </w:style>
  <w:style w:type="paragraph" w:customStyle="1" w:styleId="Opplanpersonnel">
    <w:name w:val="Op plan personnel"/>
    <w:basedOn w:val="Normal"/>
    <w:rsid w:val="006A5120"/>
    <w:pPr>
      <w:ind w:left="720"/>
    </w:pPr>
    <w:rPr>
      <w:rFonts w:ascii="Times New Roman Bold" w:hAnsi="Times New Roman Bold"/>
      <w:b/>
    </w:rPr>
  </w:style>
  <w:style w:type="paragraph" w:customStyle="1" w:styleId="FootnoteReference1">
    <w:name w:val="Footnote Reference1"/>
    <w:basedOn w:val="Table-Footnote"/>
    <w:rsid w:val="006A5120"/>
    <w:rPr>
      <w:vertAlign w:val="superscript"/>
    </w:rPr>
  </w:style>
  <w:style w:type="character" w:customStyle="1" w:styleId="OEOPg-OEOChar">
    <w:name w:val="OEO Pg-OEO Char"/>
    <w:basedOn w:val="DefaultParagraphFont"/>
    <w:link w:val="OEOPg-OEO"/>
    <w:rsid w:val="006A5120"/>
  </w:style>
  <w:style w:type="character" w:customStyle="1" w:styleId="CaptionChar">
    <w:name w:val="Caption Char"/>
    <w:basedOn w:val="DefaultParagraphFont"/>
    <w:link w:val="Caption"/>
    <w:rsid w:val="006A5120"/>
    <w:rPr>
      <w:sz w:val="22"/>
    </w:rPr>
  </w:style>
  <w:style w:type="character" w:customStyle="1" w:styleId="CaptiontitleChar1">
    <w:name w:val="Caption title Char1"/>
    <w:basedOn w:val="CaptionChar"/>
    <w:rsid w:val="006A5120"/>
    <w:rPr>
      <w:rFonts w:ascii="Times New Roman Bold" w:hAnsi="Times New Roman Bold"/>
      <w:b/>
      <w:bCs/>
      <w:sz w:val="22"/>
    </w:rPr>
  </w:style>
  <w:style w:type="paragraph" w:customStyle="1" w:styleId="Caption-Title">
    <w:name w:val="Caption-Title"/>
    <w:next w:val="Normal"/>
    <w:link w:val="Caption-TitleChar"/>
    <w:rsid w:val="006A5120"/>
    <w:pPr>
      <w:keepNext/>
      <w:keepLines/>
      <w:spacing w:after="180"/>
    </w:pPr>
  </w:style>
  <w:style w:type="character" w:customStyle="1" w:styleId="Caption-TitleChar">
    <w:name w:val="Caption-Title Char"/>
    <w:basedOn w:val="DefaultParagraphFont"/>
    <w:link w:val="Caption-Title"/>
    <w:rsid w:val="006A5120"/>
  </w:style>
  <w:style w:type="paragraph" w:customStyle="1" w:styleId="Heading1chapter1">
    <w:name w:val="Heading 1 chapter 1"/>
    <w:basedOn w:val="Heading1"/>
    <w:next w:val="Normal"/>
    <w:rsid w:val="00F4362F"/>
  </w:style>
  <w:style w:type="paragraph" w:customStyle="1" w:styleId="Heading1chapter2">
    <w:name w:val="Heading 1 chapter 2"/>
    <w:basedOn w:val="Heading1"/>
    <w:rsid w:val="00F4362F"/>
  </w:style>
  <w:style w:type="paragraph" w:customStyle="1" w:styleId="heading1chapter3">
    <w:name w:val="heading 1 chapter 3"/>
    <w:basedOn w:val="Heading1"/>
    <w:rsid w:val="00F4362F"/>
  </w:style>
  <w:style w:type="paragraph" w:customStyle="1" w:styleId="heading2chapter1">
    <w:name w:val="heading 2 chapter 1"/>
    <w:basedOn w:val="Heading2"/>
    <w:rsid w:val="00F4362F"/>
  </w:style>
  <w:style w:type="paragraph" w:customStyle="1" w:styleId="Heading2Chapter2">
    <w:name w:val="Heading 2 Chapter 2"/>
    <w:basedOn w:val="Heading2"/>
    <w:rsid w:val="00F4362F"/>
  </w:style>
  <w:style w:type="paragraph" w:customStyle="1" w:styleId="Heading2Chapter3">
    <w:name w:val="Heading 2 Chapter 3"/>
    <w:basedOn w:val="Heading2"/>
    <w:rsid w:val="00F4362F"/>
  </w:style>
  <w:style w:type="paragraph" w:customStyle="1" w:styleId="Heading3Chapter1">
    <w:name w:val="Heading 3 Chapter 1"/>
    <w:basedOn w:val="Heading3"/>
    <w:rsid w:val="00F4362F"/>
  </w:style>
  <w:style w:type="paragraph" w:customStyle="1" w:styleId="Heading3Chapter2">
    <w:name w:val="Heading 3 Chapter 2"/>
    <w:basedOn w:val="Heading3"/>
    <w:rsid w:val="00F4362F"/>
  </w:style>
  <w:style w:type="paragraph" w:customStyle="1" w:styleId="Heading3Chapter3">
    <w:name w:val="Heading 3 Chapter 3"/>
    <w:basedOn w:val="Heading3"/>
    <w:rsid w:val="00F4362F"/>
  </w:style>
  <w:style w:type="paragraph" w:customStyle="1" w:styleId="AppendCoverChapter1">
    <w:name w:val="Append Cover Chapter 1"/>
    <w:basedOn w:val="Append-Cover"/>
    <w:rsid w:val="00F4362F"/>
  </w:style>
  <w:style w:type="paragraph" w:customStyle="1" w:styleId="AppendCoverChapter2">
    <w:name w:val="Append Cover Chapter 2"/>
    <w:basedOn w:val="Append-Cover"/>
    <w:rsid w:val="00F4362F"/>
  </w:style>
  <w:style w:type="paragraph" w:customStyle="1" w:styleId="AppendCoverChapter3">
    <w:name w:val="Append Cover Chapter 3"/>
    <w:basedOn w:val="Append-Cover"/>
    <w:rsid w:val="00F4362F"/>
  </w:style>
  <w:style w:type="paragraph" w:customStyle="1" w:styleId="Heading4Chapter1">
    <w:name w:val="Heading 4 Chapter 1"/>
    <w:basedOn w:val="Heading4"/>
    <w:rsid w:val="00F4362F"/>
  </w:style>
  <w:style w:type="paragraph" w:customStyle="1" w:styleId="Heading4chapter3">
    <w:name w:val="Heading 4 chapter 3"/>
    <w:basedOn w:val="Heading4"/>
    <w:rsid w:val="00F4362F"/>
  </w:style>
  <w:style w:type="paragraph" w:customStyle="1" w:styleId="Heading4Chapter2">
    <w:name w:val="Heading 4 Chapter 2"/>
    <w:basedOn w:val="Heading4"/>
    <w:rsid w:val="00F4362F"/>
  </w:style>
  <w:style w:type="character" w:customStyle="1" w:styleId="FooterChar">
    <w:name w:val="Footer Char"/>
    <w:basedOn w:val="DefaultParagraphFont"/>
    <w:link w:val="Footer"/>
    <w:uiPriority w:val="99"/>
    <w:rsid w:val="003C0487"/>
    <w:rPr>
      <w:sz w:val="24"/>
    </w:rPr>
  </w:style>
  <w:style w:type="character" w:customStyle="1" w:styleId="HeaderChar">
    <w:name w:val="Header Char"/>
    <w:basedOn w:val="DefaultParagraphFont"/>
    <w:link w:val="Header"/>
    <w:uiPriority w:val="99"/>
    <w:rsid w:val="003C0487"/>
    <w:rPr>
      <w:sz w:val="24"/>
    </w:rPr>
  </w:style>
  <w:style w:type="character" w:customStyle="1" w:styleId="TitleChar">
    <w:name w:val="Title Char"/>
    <w:basedOn w:val="DefaultParagraphFont"/>
    <w:link w:val="Title"/>
    <w:rsid w:val="00C73335"/>
    <w:rPr>
      <w:b/>
      <w:sz w:val="40"/>
    </w:rPr>
  </w:style>
  <w:style w:type="paragraph" w:styleId="BodyTextIndent">
    <w:name w:val="Body Text Indent"/>
    <w:basedOn w:val="Normal"/>
    <w:link w:val="BodyTextIndentChar"/>
    <w:unhideWhenUsed/>
    <w:rsid w:val="006A5120"/>
    <w:pPr>
      <w:ind w:left="360"/>
    </w:pPr>
  </w:style>
  <w:style w:type="character" w:customStyle="1" w:styleId="BodyTextIndentChar">
    <w:name w:val="Body Text Indent Char"/>
    <w:basedOn w:val="DefaultParagraphFont"/>
    <w:link w:val="BodyTextIndent"/>
    <w:rsid w:val="006A5120"/>
    <w:rPr>
      <w:sz w:val="24"/>
      <w:szCs w:val="24"/>
    </w:rPr>
  </w:style>
  <w:style w:type="paragraph" w:styleId="Subtitle">
    <w:name w:val="Subtitle"/>
    <w:basedOn w:val="Normal"/>
    <w:link w:val="SubtitleChar"/>
    <w:unhideWhenUsed/>
    <w:qFormat/>
    <w:rsid w:val="006A5120"/>
    <w:pPr>
      <w:tabs>
        <w:tab w:val="center" w:pos="4896"/>
      </w:tabs>
      <w:suppressAutoHyphens/>
      <w:spacing w:after="0"/>
      <w:jc w:val="left"/>
    </w:pPr>
    <w:rPr>
      <w:b/>
      <w:bCs/>
      <w:i/>
      <w:iCs/>
      <w:spacing w:val="-3"/>
      <w:szCs w:val="20"/>
    </w:rPr>
  </w:style>
  <w:style w:type="character" w:customStyle="1" w:styleId="SubtitleChar">
    <w:name w:val="Subtitle Char"/>
    <w:basedOn w:val="DefaultParagraphFont"/>
    <w:link w:val="Subtitle"/>
    <w:rsid w:val="006A5120"/>
    <w:rPr>
      <w:b/>
      <w:bCs/>
      <w:i/>
      <w:iCs/>
      <w:spacing w:val="-3"/>
      <w:sz w:val="24"/>
    </w:rPr>
  </w:style>
  <w:style w:type="paragraph" w:styleId="BodyTextIndent2">
    <w:name w:val="Body Text Indent 2"/>
    <w:basedOn w:val="Normal"/>
    <w:link w:val="BodyTextIndent2Char"/>
    <w:unhideWhenUsed/>
    <w:rsid w:val="006A5120"/>
    <w:pPr>
      <w:spacing w:line="480" w:lineRule="auto"/>
      <w:ind w:left="360"/>
    </w:pPr>
  </w:style>
  <w:style w:type="character" w:customStyle="1" w:styleId="BodyTextIndent2Char">
    <w:name w:val="Body Text Indent 2 Char"/>
    <w:basedOn w:val="DefaultParagraphFont"/>
    <w:link w:val="BodyTextIndent2"/>
    <w:rsid w:val="006A5120"/>
    <w:rPr>
      <w:sz w:val="24"/>
      <w:szCs w:val="24"/>
    </w:rPr>
  </w:style>
  <w:style w:type="paragraph" w:styleId="BodyTextIndent3">
    <w:name w:val="Body Text Indent 3"/>
    <w:basedOn w:val="Normal"/>
    <w:link w:val="BodyTextIndent3Char"/>
    <w:unhideWhenUsed/>
    <w:rsid w:val="006A5120"/>
    <w:pPr>
      <w:ind w:left="360"/>
    </w:pPr>
    <w:rPr>
      <w:sz w:val="16"/>
      <w:szCs w:val="16"/>
    </w:rPr>
  </w:style>
  <w:style w:type="character" w:customStyle="1" w:styleId="BodyTextIndent3Char">
    <w:name w:val="Body Text Indent 3 Char"/>
    <w:basedOn w:val="DefaultParagraphFont"/>
    <w:link w:val="BodyTextIndent3"/>
    <w:rsid w:val="006A5120"/>
    <w:rPr>
      <w:sz w:val="16"/>
      <w:szCs w:val="16"/>
    </w:rPr>
  </w:style>
  <w:style w:type="character" w:styleId="Strong">
    <w:name w:val="Strong"/>
    <w:basedOn w:val="DefaultParagraphFont"/>
    <w:uiPriority w:val="22"/>
    <w:unhideWhenUsed/>
    <w:qFormat/>
    <w:rsid w:val="006A5120"/>
    <w:rPr>
      <w:b/>
      <w:bCs/>
    </w:rPr>
  </w:style>
  <w:style w:type="paragraph" w:styleId="NormalWeb">
    <w:name w:val="Normal (Web)"/>
    <w:basedOn w:val="Normal"/>
    <w:uiPriority w:val="99"/>
    <w:unhideWhenUsed/>
    <w:rsid w:val="006A5120"/>
    <w:pPr>
      <w:spacing w:before="100" w:beforeAutospacing="1" w:after="100" w:afterAutospacing="1"/>
      <w:jc w:val="left"/>
    </w:pPr>
    <w:rPr>
      <w:rFonts w:ascii="Arial Unicode MS" w:eastAsia="Arial Unicode MS" w:hAnsi="Arial Unicode MS" w:cs="Arial Unicode MS"/>
    </w:rPr>
  </w:style>
  <w:style w:type="paragraph" w:styleId="BalloonText">
    <w:name w:val="Balloon Text"/>
    <w:basedOn w:val="Normal"/>
    <w:link w:val="BalloonTextChar"/>
    <w:unhideWhenUsed/>
    <w:rsid w:val="006A5120"/>
    <w:rPr>
      <w:rFonts w:ascii="Tahoma" w:hAnsi="Tahoma" w:cs="Tahoma"/>
      <w:sz w:val="16"/>
      <w:szCs w:val="16"/>
    </w:rPr>
  </w:style>
  <w:style w:type="character" w:customStyle="1" w:styleId="BalloonTextChar">
    <w:name w:val="Balloon Text Char"/>
    <w:basedOn w:val="DefaultParagraphFont"/>
    <w:link w:val="BalloonText"/>
    <w:rsid w:val="006A5120"/>
    <w:rPr>
      <w:rFonts w:ascii="Tahoma" w:hAnsi="Tahoma" w:cs="Tahoma"/>
      <w:sz w:val="16"/>
      <w:szCs w:val="16"/>
    </w:rPr>
  </w:style>
  <w:style w:type="paragraph" w:customStyle="1" w:styleId="TOCtitle">
    <w:name w:val="TOC title"/>
    <w:basedOn w:val="Normal"/>
    <w:next w:val="Normal"/>
    <w:rsid w:val="006A5120"/>
    <w:pPr>
      <w:spacing w:after="360"/>
      <w:jc w:val="center"/>
    </w:pPr>
    <w:rPr>
      <w:b/>
      <w:caps/>
      <w:szCs w:val="20"/>
      <w:lang w:val="en-GB"/>
    </w:rPr>
  </w:style>
  <w:style w:type="paragraph" w:customStyle="1" w:styleId="Byline">
    <w:name w:val="Byline"/>
    <w:basedOn w:val="BodyText"/>
    <w:rsid w:val="006A5120"/>
    <w:pPr>
      <w:widowControl w:val="0"/>
      <w:tabs>
        <w:tab w:val="left" w:pos="-720"/>
        <w:tab w:val="left" w:pos="2160"/>
        <w:tab w:val="right" w:pos="6750"/>
      </w:tabs>
      <w:suppressAutoHyphens/>
      <w:spacing w:after="0"/>
    </w:pPr>
    <w:rPr>
      <w:spacing w:val="-3"/>
      <w:szCs w:val="20"/>
    </w:rPr>
  </w:style>
  <w:style w:type="paragraph" w:customStyle="1" w:styleId="Indent2">
    <w:name w:val="Indent 2"/>
    <w:basedOn w:val="Normal"/>
    <w:rsid w:val="006A5120"/>
    <w:pPr>
      <w:spacing w:after="0"/>
      <w:ind w:left="720"/>
    </w:pPr>
    <w:rPr>
      <w:szCs w:val="20"/>
      <w:lang w:val="en-GB"/>
    </w:rPr>
  </w:style>
  <w:style w:type="paragraph" w:customStyle="1" w:styleId="Indent3">
    <w:name w:val="Indent 3"/>
    <w:basedOn w:val="Indent2"/>
    <w:rsid w:val="006A5120"/>
    <w:pPr>
      <w:ind w:left="1440"/>
    </w:pPr>
  </w:style>
  <w:style w:type="character" w:customStyle="1" w:styleId="Lanastyle">
    <w:name w:val="Lana style"/>
    <w:basedOn w:val="DefaultParagraphFont"/>
    <w:rsid w:val="006A5120"/>
    <w:rPr>
      <w:rFonts w:ascii="Tahoma" w:hAnsi="Tahoma"/>
      <w:color w:val="auto"/>
      <w:sz w:val="24"/>
    </w:rPr>
  </w:style>
  <w:style w:type="paragraph" w:customStyle="1" w:styleId="Level1">
    <w:name w:val="Level 1"/>
    <w:basedOn w:val="Normal"/>
    <w:rsid w:val="006A5120"/>
    <w:pPr>
      <w:widowControl w:val="0"/>
      <w:spacing w:after="0"/>
      <w:jc w:val="left"/>
    </w:pPr>
    <w:rPr>
      <w:szCs w:val="20"/>
    </w:rPr>
  </w:style>
  <w:style w:type="paragraph" w:customStyle="1" w:styleId="xl30">
    <w:name w:val="xl30"/>
    <w:basedOn w:val="Normal"/>
    <w:rsid w:val="006A5120"/>
    <w:pPr>
      <w:spacing w:before="100" w:beforeAutospacing="1" w:after="100" w:afterAutospacing="1"/>
      <w:jc w:val="left"/>
    </w:pPr>
    <w:rPr>
      <w:rFonts w:ascii="Arial Unicode MS" w:eastAsia="Arial Unicode MS" w:hAnsi="Arial Unicode MS" w:cs="Arial Unicode MS"/>
    </w:rPr>
  </w:style>
  <w:style w:type="paragraph" w:customStyle="1" w:styleId="xl24">
    <w:name w:val="xl24"/>
    <w:basedOn w:val="Normal"/>
    <w:semiHidden/>
    <w:unhideWhenUsed/>
    <w:rsid w:val="006A5120"/>
    <w:pPr>
      <w:spacing w:before="100" w:beforeAutospacing="1" w:after="100" w:afterAutospacing="1"/>
      <w:jc w:val="left"/>
    </w:pPr>
    <w:rPr>
      <w:rFonts w:eastAsia="Arial Unicode MS"/>
      <w:sz w:val="22"/>
      <w:szCs w:val="22"/>
    </w:rPr>
  </w:style>
  <w:style w:type="paragraph" w:customStyle="1" w:styleId="xl25">
    <w:name w:val="xl25"/>
    <w:basedOn w:val="Normal"/>
    <w:rsid w:val="006A5120"/>
    <w:pPr>
      <w:spacing w:before="100" w:beforeAutospacing="1" w:after="100" w:afterAutospacing="1"/>
      <w:jc w:val="center"/>
    </w:pPr>
    <w:rPr>
      <w:rFonts w:eastAsia="Arial Unicode MS"/>
      <w:sz w:val="22"/>
      <w:szCs w:val="22"/>
    </w:rPr>
  </w:style>
  <w:style w:type="paragraph" w:customStyle="1" w:styleId="xl26">
    <w:name w:val="xl26"/>
    <w:basedOn w:val="Normal"/>
    <w:rsid w:val="006A5120"/>
    <w:pPr>
      <w:pBdr>
        <w:bottom w:val="single" w:sz="4" w:space="0" w:color="auto"/>
      </w:pBdr>
      <w:spacing w:before="100" w:beforeAutospacing="1" w:after="100" w:afterAutospacing="1"/>
      <w:jc w:val="center"/>
    </w:pPr>
    <w:rPr>
      <w:rFonts w:eastAsia="Arial Unicode MS"/>
      <w:sz w:val="22"/>
      <w:szCs w:val="22"/>
    </w:rPr>
  </w:style>
  <w:style w:type="paragraph" w:customStyle="1" w:styleId="xl27">
    <w:name w:val="xl27"/>
    <w:basedOn w:val="Normal"/>
    <w:rsid w:val="006A5120"/>
    <w:pPr>
      <w:spacing w:before="100" w:beforeAutospacing="1" w:after="100" w:afterAutospacing="1"/>
      <w:jc w:val="center"/>
    </w:pPr>
    <w:rPr>
      <w:rFonts w:eastAsia="Arial Unicode MS"/>
      <w:sz w:val="22"/>
      <w:szCs w:val="22"/>
    </w:rPr>
  </w:style>
  <w:style w:type="paragraph" w:customStyle="1" w:styleId="xl28">
    <w:name w:val="xl28"/>
    <w:basedOn w:val="Normal"/>
    <w:rsid w:val="006A5120"/>
    <w:pPr>
      <w:pBdr>
        <w:bottom w:val="single" w:sz="4" w:space="0" w:color="auto"/>
      </w:pBdr>
      <w:spacing w:before="100" w:beforeAutospacing="1" w:after="100" w:afterAutospacing="1"/>
      <w:jc w:val="center"/>
    </w:pPr>
    <w:rPr>
      <w:rFonts w:eastAsia="Arial Unicode MS"/>
      <w:sz w:val="22"/>
      <w:szCs w:val="22"/>
    </w:rPr>
  </w:style>
  <w:style w:type="paragraph" w:customStyle="1" w:styleId="xl29">
    <w:name w:val="xl29"/>
    <w:basedOn w:val="Normal"/>
    <w:rsid w:val="006A5120"/>
    <w:pPr>
      <w:spacing w:before="100" w:beforeAutospacing="1" w:after="100" w:afterAutospacing="1"/>
      <w:jc w:val="left"/>
    </w:pPr>
    <w:rPr>
      <w:rFonts w:eastAsia="Arial Unicode MS"/>
      <w:sz w:val="22"/>
      <w:szCs w:val="22"/>
    </w:rPr>
  </w:style>
  <w:style w:type="paragraph" w:customStyle="1" w:styleId="xl31">
    <w:name w:val="xl31"/>
    <w:basedOn w:val="Normal"/>
    <w:rsid w:val="006A5120"/>
    <w:pPr>
      <w:spacing w:before="100" w:beforeAutospacing="1" w:after="100" w:afterAutospacing="1"/>
      <w:jc w:val="left"/>
    </w:pPr>
    <w:rPr>
      <w:rFonts w:ascii="Arial Unicode MS" w:eastAsia="Arial Unicode MS" w:hAnsi="Arial Unicode MS" w:cs="Arial Unicode MS"/>
    </w:rPr>
  </w:style>
  <w:style w:type="paragraph" w:customStyle="1" w:styleId="SECTIONHD">
    <w:name w:val="SECTION HD"/>
    <w:rsid w:val="006A5120"/>
    <w:pPr>
      <w:spacing w:after="360" w:line="480" w:lineRule="exact"/>
      <w:jc w:val="center"/>
    </w:pPr>
    <w:rPr>
      <w:rFonts w:ascii="Bookman" w:hAnsi="Bookman"/>
      <w:b/>
      <w:sz w:val="28"/>
    </w:rPr>
  </w:style>
  <w:style w:type="paragraph" w:customStyle="1" w:styleId="level10">
    <w:name w:val="_level1"/>
    <w:basedOn w:val="Normal"/>
    <w:semiHidden/>
    <w:unhideWhenUsed/>
    <w:rsid w:val="006A512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spacing w:after="0"/>
      <w:ind w:left="282" w:hanging="282"/>
      <w:jc w:val="left"/>
    </w:pPr>
    <w:rPr>
      <w:sz w:val="20"/>
    </w:rPr>
  </w:style>
  <w:style w:type="paragraph" w:customStyle="1" w:styleId="Technical4">
    <w:name w:val="Technical 4"/>
    <w:rsid w:val="006A5120"/>
    <w:pPr>
      <w:tabs>
        <w:tab w:val="left" w:pos="-720"/>
      </w:tabs>
      <w:suppressAutoHyphens/>
    </w:pPr>
    <w:rPr>
      <w:rFonts w:ascii="CG Times" w:hAnsi="CG Times"/>
      <w:b/>
      <w:sz w:val="24"/>
    </w:rPr>
  </w:style>
  <w:style w:type="character" w:customStyle="1" w:styleId="BodyTextChar">
    <w:name w:val="Body Text Char"/>
    <w:basedOn w:val="DefaultParagraphFont"/>
    <w:rsid w:val="006A5120"/>
    <w:rPr>
      <w:spacing w:val="-3"/>
      <w:sz w:val="24"/>
      <w:lang w:val="en-US" w:eastAsia="en-US" w:bidi="ar-SA"/>
    </w:rPr>
  </w:style>
  <w:style w:type="paragraph" w:customStyle="1" w:styleId="MELEGRAM">
    <w:name w:val="MELEGRAM"/>
    <w:basedOn w:val="Normal"/>
    <w:rsid w:val="006A5120"/>
    <w:pPr>
      <w:tabs>
        <w:tab w:val="left" w:pos="480"/>
        <w:tab w:val="left" w:pos="960"/>
        <w:tab w:val="left" w:pos="1440"/>
        <w:tab w:val="left" w:pos="1920"/>
        <w:tab w:val="left" w:pos="2400"/>
        <w:tab w:val="left" w:pos="2880"/>
        <w:tab w:val="left" w:pos="3360"/>
        <w:tab w:val="left" w:pos="3840"/>
        <w:tab w:val="left" w:pos="4320"/>
        <w:tab w:val="left" w:pos="5040"/>
      </w:tabs>
      <w:spacing w:after="0" w:line="240" w:lineRule="exact"/>
      <w:jc w:val="left"/>
    </w:pPr>
    <w:rPr>
      <w:rFonts w:ascii="Courier New" w:hAnsi="Courier New"/>
      <w:szCs w:val="20"/>
    </w:rPr>
  </w:style>
  <w:style w:type="character" w:customStyle="1" w:styleId="Table-FootnoteChar">
    <w:name w:val="Table-Footnote Char"/>
    <w:basedOn w:val="DefaultParagraphFont"/>
    <w:rsid w:val="006A5120"/>
    <w:rPr>
      <w:sz w:val="24"/>
      <w:lang w:val="en-US" w:eastAsia="en-US" w:bidi="ar-SA"/>
    </w:rPr>
  </w:style>
  <w:style w:type="paragraph" w:customStyle="1" w:styleId="appendixa">
    <w:name w:val="appendix_a"/>
    <w:basedOn w:val="Normal"/>
    <w:rsid w:val="006A5120"/>
    <w:pPr>
      <w:widowControl w:val="0"/>
      <w:tabs>
        <w:tab w:val="left" w:pos="-720"/>
      </w:tabs>
      <w:suppressAutoHyphens/>
      <w:spacing w:after="0"/>
      <w:jc w:val="center"/>
    </w:pPr>
    <w:rPr>
      <w:rFonts w:ascii="Times Roman" w:hAnsi="Times Roman"/>
      <w:sz w:val="22"/>
      <w:szCs w:val="20"/>
    </w:rPr>
  </w:style>
  <w:style w:type="character" w:customStyle="1" w:styleId="BodyTextChar1">
    <w:name w:val="Body Text Char1"/>
    <w:basedOn w:val="DefaultParagraphFont"/>
    <w:rsid w:val="006A5120"/>
    <w:rPr>
      <w:spacing w:val="-3"/>
      <w:sz w:val="24"/>
      <w:lang w:val="en-US" w:eastAsia="en-US" w:bidi="ar-SA"/>
    </w:rPr>
  </w:style>
  <w:style w:type="paragraph" w:customStyle="1" w:styleId="lit-cited0">
    <w:name w:val="lit-cited"/>
    <w:basedOn w:val="Normal"/>
    <w:rsid w:val="006A5120"/>
    <w:pPr>
      <w:ind w:left="288" w:hanging="288"/>
    </w:pPr>
    <w:rPr>
      <w:sz w:val="20"/>
      <w:szCs w:val="20"/>
    </w:rPr>
  </w:style>
  <w:style w:type="paragraph" w:styleId="ListParagraph">
    <w:name w:val="List Paragraph"/>
    <w:basedOn w:val="Normal"/>
    <w:uiPriority w:val="34"/>
    <w:qFormat/>
    <w:rsid w:val="007E7FC9"/>
    <w:pPr>
      <w:ind w:left="720"/>
      <w:contextualSpacing/>
    </w:pPr>
  </w:style>
  <w:style w:type="character" w:customStyle="1" w:styleId="Heading2Char">
    <w:name w:val="Heading 2 Char"/>
    <w:basedOn w:val="DefaultParagraphFont"/>
    <w:link w:val="Heading2"/>
    <w:uiPriority w:val="9"/>
    <w:rsid w:val="00C64739"/>
    <w:rPr>
      <w:rFonts w:ascii="Times New Roman Bold" w:hAnsi="Times New Roman Bold"/>
      <w:b/>
      <w:smallCaps/>
      <w:sz w:val="30"/>
    </w:rPr>
  </w:style>
  <w:style w:type="paragraph" w:customStyle="1" w:styleId="FirstParagraph">
    <w:name w:val="First Paragraph"/>
    <w:basedOn w:val="BodyText"/>
    <w:next w:val="BodyText"/>
    <w:qFormat/>
    <w:rsid w:val="00401D68"/>
    <w:pPr>
      <w:spacing w:before="180" w:after="180"/>
    </w:pPr>
    <w:rPr>
      <w:rFonts w:eastAsiaTheme="minorHAnsi"/>
    </w:rPr>
  </w:style>
  <w:style w:type="paragraph" w:customStyle="1" w:styleId="Compact">
    <w:name w:val="Compact"/>
    <w:basedOn w:val="BodyText"/>
    <w:qFormat/>
    <w:rsid w:val="00C64739"/>
    <w:pPr>
      <w:numPr>
        <w:numId w:val="5"/>
      </w:numPr>
      <w:spacing w:before="36" w:after="36"/>
      <w:jc w:val="left"/>
    </w:pPr>
    <w:rPr>
      <w:rFonts w:eastAsiaTheme="minorHAnsi"/>
    </w:rPr>
  </w:style>
  <w:style w:type="character" w:customStyle="1" w:styleId="st">
    <w:name w:val="st"/>
    <w:basedOn w:val="DefaultParagraphFont"/>
    <w:rsid w:val="00C64739"/>
  </w:style>
  <w:style w:type="character" w:styleId="Emphasis">
    <w:name w:val="Emphasis"/>
    <w:basedOn w:val="DefaultParagraphFont"/>
    <w:uiPriority w:val="20"/>
    <w:qFormat/>
    <w:rsid w:val="00C64739"/>
    <w:rPr>
      <w:i/>
      <w:iCs/>
    </w:rPr>
  </w:style>
  <w:style w:type="paragraph" w:customStyle="1" w:styleId="References">
    <w:name w:val="References"/>
    <w:basedOn w:val="Lit-Cited"/>
    <w:link w:val="ReferencesChar"/>
    <w:qFormat/>
    <w:rsid w:val="00C64739"/>
  </w:style>
  <w:style w:type="character" w:customStyle="1" w:styleId="ReferencesChar">
    <w:name w:val="References Char"/>
    <w:basedOn w:val="DefaultParagraphFont"/>
    <w:link w:val="References"/>
    <w:rsid w:val="00C64739"/>
  </w:style>
  <w:style w:type="character" w:customStyle="1" w:styleId="e24kjd">
    <w:name w:val="e24kjd"/>
    <w:basedOn w:val="DefaultParagraphFont"/>
    <w:rsid w:val="00C64739"/>
  </w:style>
  <w:style w:type="character" w:customStyle="1" w:styleId="CommentTextChar">
    <w:name w:val="Comment Text Char"/>
    <w:basedOn w:val="DefaultParagraphFont"/>
    <w:link w:val="CommentText"/>
    <w:rsid w:val="00C64739"/>
  </w:style>
  <w:style w:type="character" w:styleId="UnresolvedMention">
    <w:name w:val="Unresolved Mention"/>
    <w:basedOn w:val="DefaultParagraphFont"/>
    <w:uiPriority w:val="99"/>
    <w:semiHidden/>
    <w:unhideWhenUsed/>
    <w:rsid w:val="00C64739"/>
    <w:rPr>
      <w:color w:val="605E5C"/>
      <w:shd w:val="clear" w:color="auto" w:fill="E1DFDD"/>
    </w:rPr>
  </w:style>
  <w:style w:type="character" w:customStyle="1" w:styleId="CommentSubjectChar">
    <w:name w:val="Comment Subject Char"/>
    <w:basedOn w:val="CommentTextChar"/>
    <w:link w:val="CommentSubject"/>
    <w:semiHidden/>
    <w:rsid w:val="00C64739"/>
    <w:rPr>
      <w:b/>
      <w:bCs/>
    </w:rPr>
  </w:style>
  <w:style w:type="paragraph" w:styleId="Revision">
    <w:name w:val="Revision"/>
    <w:hidden/>
    <w:uiPriority w:val="99"/>
    <w:semiHidden/>
    <w:rsid w:val="00C64739"/>
    <w:rPr>
      <w:sz w:val="24"/>
      <w:szCs w:val="24"/>
    </w:rPr>
  </w:style>
  <w:style w:type="character" w:styleId="PlaceholderText">
    <w:name w:val="Placeholder Text"/>
    <w:basedOn w:val="DefaultParagraphFont"/>
    <w:uiPriority w:val="99"/>
    <w:semiHidden/>
    <w:rsid w:val="00C64739"/>
    <w:rPr>
      <w:color w:val="808080"/>
    </w:rPr>
  </w:style>
  <w:style w:type="paragraph" w:customStyle="1" w:styleId="Author">
    <w:name w:val="Author"/>
    <w:next w:val="BodyText"/>
    <w:qFormat/>
    <w:rsid w:val="00FF7914"/>
    <w:pPr>
      <w:keepNext/>
      <w:keepLines/>
      <w:spacing w:after="200"/>
    </w:pPr>
    <w:rPr>
      <w:rFonts w:eastAsiaTheme="minorHAnsi" w:cstheme="minorBidi"/>
      <w:b/>
      <w:sz w:val="28"/>
      <w:szCs w:val="24"/>
    </w:rPr>
  </w:style>
  <w:style w:type="paragraph" w:styleId="Date">
    <w:name w:val="Date"/>
    <w:next w:val="BodyText"/>
    <w:link w:val="DateChar"/>
    <w:qFormat/>
    <w:rsid w:val="00C64739"/>
    <w:pPr>
      <w:keepNext/>
      <w:keepLines/>
      <w:spacing w:after="200"/>
      <w:jc w:val="center"/>
    </w:pPr>
    <w:rPr>
      <w:rFonts w:asciiTheme="minorHAnsi" w:eastAsiaTheme="minorHAnsi" w:hAnsiTheme="minorHAnsi" w:cstheme="minorBidi"/>
      <w:sz w:val="24"/>
      <w:szCs w:val="24"/>
    </w:rPr>
  </w:style>
  <w:style w:type="character" w:customStyle="1" w:styleId="DateChar">
    <w:name w:val="Date Char"/>
    <w:basedOn w:val="DefaultParagraphFont"/>
    <w:link w:val="Date"/>
    <w:rsid w:val="00C64739"/>
    <w:rPr>
      <w:rFonts w:asciiTheme="minorHAnsi" w:eastAsiaTheme="minorHAnsi" w:hAnsiTheme="minorHAnsi" w:cstheme="minorBidi"/>
      <w:sz w:val="24"/>
      <w:szCs w:val="24"/>
    </w:rPr>
  </w:style>
  <w:style w:type="paragraph" w:styleId="Bibliography">
    <w:name w:val="Bibliography"/>
    <w:basedOn w:val="Normal"/>
    <w:qFormat/>
    <w:rsid w:val="00C64739"/>
    <w:pPr>
      <w:spacing w:after="200"/>
      <w:jc w:val="left"/>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
    <w:rsid w:val="00C64739"/>
    <w:rPr>
      <w:sz w:val="16"/>
      <w:szCs w:val="16"/>
    </w:rPr>
  </w:style>
  <w:style w:type="paragraph" w:customStyle="1" w:styleId="DefinitionTerm">
    <w:name w:val="Definition Term"/>
    <w:basedOn w:val="Normal"/>
    <w:next w:val="Definition"/>
    <w:rsid w:val="00C64739"/>
    <w:pPr>
      <w:keepNext/>
      <w:keepLines/>
      <w:spacing w:after="0"/>
      <w:jc w:val="left"/>
    </w:pPr>
    <w:rPr>
      <w:rFonts w:asciiTheme="minorHAnsi" w:eastAsiaTheme="minorHAnsi" w:hAnsiTheme="minorHAnsi" w:cstheme="minorBidi"/>
      <w:b/>
    </w:rPr>
  </w:style>
  <w:style w:type="paragraph" w:customStyle="1" w:styleId="Definition">
    <w:name w:val="Definition"/>
    <w:basedOn w:val="Normal"/>
    <w:rsid w:val="00C64739"/>
    <w:pPr>
      <w:spacing w:after="200"/>
      <w:jc w:val="left"/>
    </w:pPr>
    <w:rPr>
      <w:rFonts w:asciiTheme="minorHAnsi" w:eastAsiaTheme="minorHAnsi" w:hAnsiTheme="minorHAnsi" w:cstheme="minorBidi"/>
    </w:rPr>
  </w:style>
  <w:style w:type="paragraph" w:customStyle="1" w:styleId="TableCaption">
    <w:name w:val="Table Caption"/>
    <w:basedOn w:val="Caption"/>
    <w:rsid w:val="00C64739"/>
    <w:pPr>
      <w:keepNext/>
      <w:keepLines w:val="0"/>
      <w:tabs>
        <w:tab w:val="clear" w:pos="9360"/>
      </w:tabs>
      <w:suppressAutoHyphens w:val="0"/>
      <w:ind w:firstLine="0"/>
      <w:jc w:val="left"/>
    </w:pPr>
    <w:rPr>
      <w:rFonts w:asciiTheme="minorHAnsi" w:eastAsiaTheme="minorHAnsi" w:hAnsiTheme="minorHAnsi" w:cstheme="minorBidi"/>
      <w:b/>
      <w:i/>
      <w:sz w:val="24"/>
      <w:szCs w:val="24"/>
    </w:rPr>
  </w:style>
  <w:style w:type="paragraph" w:customStyle="1" w:styleId="ImageCaption">
    <w:name w:val="Image Caption"/>
    <w:basedOn w:val="Caption"/>
    <w:rsid w:val="00C64739"/>
    <w:pPr>
      <w:keepLines w:val="0"/>
      <w:tabs>
        <w:tab w:val="clear" w:pos="9360"/>
      </w:tabs>
      <w:suppressAutoHyphens w:val="0"/>
      <w:ind w:firstLine="0"/>
      <w:jc w:val="left"/>
    </w:pPr>
    <w:rPr>
      <w:rFonts w:asciiTheme="minorHAnsi" w:eastAsiaTheme="minorHAnsi" w:hAnsiTheme="minorHAnsi" w:cstheme="minorBidi"/>
      <w:b/>
      <w:i/>
      <w:sz w:val="24"/>
      <w:szCs w:val="24"/>
    </w:rPr>
  </w:style>
  <w:style w:type="paragraph" w:customStyle="1" w:styleId="Figure">
    <w:name w:val="Figure"/>
    <w:basedOn w:val="Normal"/>
    <w:rsid w:val="00C64739"/>
    <w:pPr>
      <w:spacing w:after="200"/>
      <w:jc w:val="left"/>
    </w:pPr>
    <w:rPr>
      <w:rFonts w:asciiTheme="minorHAnsi" w:eastAsiaTheme="minorHAnsi" w:hAnsiTheme="minorHAnsi" w:cstheme="minorBidi"/>
    </w:rPr>
  </w:style>
  <w:style w:type="paragraph" w:customStyle="1" w:styleId="FigurewithCaption">
    <w:name w:val="Figure with Caption"/>
    <w:basedOn w:val="Figure"/>
    <w:rsid w:val="00C64739"/>
    <w:pPr>
      <w:keepNext/>
    </w:pPr>
  </w:style>
  <w:style w:type="character" w:customStyle="1" w:styleId="VerbatimChar">
    <w:name w:val="Verbatim Char"/>
    <w:basedOn w:val="CaptionChar"/>
    <w:link w:val="SourceCode"/>
    <w:rsid w:val="00C64739"/>
    <w:rPr>
      <w:rFonts w:ascii="Consolas" w:eastAsia="Cambria" w:hAnsi="Consolas"/>
      <w:b/>
      <w:sz w:val="22"/>
      <w:szCs w:val="22"/>
      <w:shd w:val="clear" w:color="auto" w:fill="F8F8F8"/>
    </w:rPr>
  </w:style>
  <w:style w:type="paragraph" w:styleId="TOCHeading">
    <w:name w:val="TOC Heading"/>
    <w:basedOn w:val="Heading1"/>
    <w:next w:val="BodyText"/>
    <w:autoRedefine/>
    <w:uiPriority w:val="39"/>
    <w:unhideWhenUsed/>
    <w:qFormat/>
    <w:rsid w:val="001C2980"/>
    <w:pPr>
      <w:suppressAutoHyphens w:val="0"/>
      <w:spacing w:before="240" w:after="0" w:line="259" w:lineRule="auto"/>
      <w:ind w:left="0" w:right="0"/>
      <w:jc w:val="left"/>
      <w:outlineLvl w:val="9"/>
    </w:pPr>
    <w:rPr>
      <w:rFonts w:ascii="Times New Roman" w:eastAsiaTheme="majorEastAsia" w:hAnsi="Times New Roman" w:cstheme="majorBidi"/>
      <w:b w:val="0"/>
      <w:caps w:val="0"/>
      <w:color w:val="000000" w:themeColor="text1"/>
      <w:szCs w:val="32"/>
    </w:rPr>
  </w:style>
  <w:style w:type="paragraph" w:customStyle="1" w:styleId="SourceCode">
    <w:name w:val="Source Code"/>
    <w:basedOn w:val="Normal"/>
    <w:link w:val="VerbatimChar"/>
    <w:rsid w:val="00C64739"/>
    <w:pPr>
      <w:shd w:val="clear" w:color="auto" w:fill="F8F8F8"/>
      <w:wordWrap w:val="0"/>
      <w:spacing w:after="200"/>
      <w:jc w:val="left"/>
    </w:pPr>
    <w:rPr>
      <w:rFonts w:ascii="Consolas" w:eastAsia="Cambria" w:hAnsi="Consolas"/>
      <w:b/>
      <w:sz w:val="22"/>
      <w:szCs w:val="22"/>
    </w:rPr>
  </w:style>
  <w:style w:type="character" w:customStyle="1" w:styleId="KeywordTok">
    <w:name w:val="KeywordTok"/>
    <w:basedOn w:val="VerbatimChar"/>
    <w:rsid w:val="00C64739"/>
    <w:rPr>
      <w:rFonts w:ascii="Consolas" w:eastAsia="Cambria" w:hAnsi="Consolas"/>
      <w:b w:val="0"/>
      <w:color w:val="204A87"/>
      <w:sz w:val="22"/>
      <w:szCs w:val="22"/>
      <w:shd w:val="clear" w:color="auto" w:fill="F8F8F8"/>
    </w:rPr>
  </w:style>
  <w:style w:type="character" w:customStyle="1" w:styleId="DataTypeTok">
    <w:name w:val="DataTypeTok"/>
    <w:basedOn w:val="VerbatimChar"/>
    <w:rsid w:val="00C64739"/>
    <w:rPr>
      <w:rFonts w:ascii="Consolas" w:eastAsia="Cambria" w:hAnsi="Consolas"/>
      <w:b/>
      <w:color w:val="204A87"/>
      <w:sz w:val="22"/>
      <w:szCs w:val="22"/>
      <w:shd w:val="clear" w:color="auto" w:fill="F8F8F8"/>
    </w:rPr>
  </w:style>
  <w:style w:type="character" w:customStyle="1" w:styleId="DecValTok">
    <w:name w:val="DecValTok"/>
    <w:basedOn w:val="VerbatimChar"/>
    <w:rsid w:val="00C64739"/>
    <w:rPr>
      <w:rFonts w:ascii="Consolas" w:eastAsia="Cambria" w:hAnsi="Consolas"/>
      <w:b/>
      <w:color w:val="0000CF"/>
      <w:sz w:val="22"/>
      <w:szCs w:val="22"/>
      <w:shd w:val="clear" w:color="auto" w:fill="F8F8F8"/>
    </w:rPr>
  </w:style>
  <w:style w:type="character" w:customStyle="1" w:styleId="BaseNTok">
    <w:name w:val="BaseNTok"/>
    <w:basedOn w:val="VerbatimChar"/>
    <w:rsid w:val="00C64739"/>
    <w:rPr>
      <w:rFonts w:ascii="Consolas" w:eastAsia="Cambria" w:hAnsi="Consolas"/>
      <w:b/>
      <w:color w:val="0000CF"/>
      <w:sz w:val="22"/>
      <w:szCs w:val="22"/>
      <w:shd w:val="clear" w:color="auto" w:fill="F8F8F8"/>
    </w:rPr>
  </w:style>
  <w:style w:type="character" w:customStyle="1" w:styleId="FloatTok">
    <w:name w:val="FloatTok"/>
    <w:basedOn w:val="VerbatimChar"/>
    <w:rsid w:val="00C64739"/>
    <w:rPr>
      <w:rFonts w:ascii="Consolas" w:eastAsia="Cambria" w:hAnsi="Consolas"/>
      <w:b/>
      <w:color w:val="0000CF"/>
      <w:sz w:val="22"/>
      <w:szCs w:val="22"/>
      <w:shd w:val="clear" w:color="auto" w:fill="F8F8F8"/>
    </w:rPr>
  </w:style>
  <w:style w:type="character" w:customStyle="1" w:styleId="ConstantTok">
    <w:name w:val="ConstantTok"/>
    <w:basedOn w:val="VerbatimChar"/>
    <w:rsid w:val="00C64739"/>
    <w:rPr>
      <w:rFonts w:ascii="Consolas" w:eastAsia="Cambria" w:hAnsi="Consolas"/>
      <w:b/>
      <w:color w:val="000000"/>
      <w:sz w:val="22"/>
      <w:szCs w:val="22"/>
      <w:shd w:val="clear" w:color="auto" w:fill="F8F8F8"/>
    </w:rPr>
  </w:style>
  <w:style w:type="character" w:customStyle="1" w:styleId="CharTok">
    <w:name w:val="CharTok"/>
    <w:basedOn w:val="VerbatimChar"/>
    <w:rsid w:val="00C64739"/>
    <w:rPr>
      <w:rFonts w:ascii="Consolas" w:eastAsia="Cambria" w:hAnsi="Consolas"/>
      <w:b/>
      <w:color w:val="4E9A06"/>
      <w:sz w:val="22"/>
      <w:szCs w:val="22"/>
      <w:shd w:val="clear" w:color="auto" w:fill="F8F8F8"/>
    </w:rPr>
  </w:style>
  <w:style w:type="character" w:customStyle="1" w:styleId="SpecialCharTok">
    <w:name w:val="SpecialCharTok"/>
    <w:basedOn w:val="VerbatimChar"/>
    <w:rsid w:val="00C64739"/>
    <w:rPr>
      <w:rFonts w:ascii="Consolas" w:eastAsia="Cambria" w:hAnsi="Consolas"/>
      <w:b/>
      <w:color w:val="000000"/>
      <w:sz w:val="22"/>
      <w:szCs w:val="22"/>
      <w:shd w:val="clear" w:color="auto" w:fill="F8F8F8"/>
    </w:rPr>
  </w:style>
  <w:style w:type="character" w:customStyle="1" w:styleId="StringTok">
    <w:name w:val="StringTok"/>
    <w:basedOn w:val="VerbatimChar"/>
    <w:rsid w:val="00C64739"/>
    <w:rPr>
      <w:rFonts w:ascii="Consolas" w:eastAsia="Cambria" w:hAnsi="Consolas"/>
      <w:b/>
      <w:color w:val="4E9A06"/>
      <w:sz w:val="22"/>
      <w:szCs w:val="22"/>
      <w:shd w:val="clear" w:color="auto" w:fill="F8F8F8"/>
    </w:rPr>
  </w:style>
  <w:style w:type="character" w:customStyle="1" w:styleId="VerbatimStringTok">
    <w:name w:val="VerbatimStringTok"/>
    <w:basedOn w:val="VerbatimChar"/>
    <w:rsid w:val="00C64739"/>
    <w:rPr>
      <w:rFonts w:ascii="Consolas" w:eastAsia="Cambria" w:hAnsi="Consolas"/>
      <w:b/>
      <w:color w:val="4E9A06"/>
      <w:sz w:val="22"/>
      <w:szCs w:val="22"/>
      <w:shd w:val="clear" w:color="auto" w:fill="F8F8F8"/>
    </w:rPr>
  </w:style>
  <w:style w:type="character" w:customStyle="1" w:styleId="SpecialStringTok">
    <w:name w:val="SpecialStringTok"/>
    <w:basedOn w:val="VerbatimChar"/>
    <w:rsid w:val="00C64739"/>
    <w:rPr>
      <w:rFonts w:ascii="Consolas" w:eastAsia="Cambria" w:hAnsi="Consolas"/>
      <w:b/>
      <w:color w:val="4E9A06"/>
      <w:sz w:val="22"/>
      <w:szCs w:val="22"/>
      <w:shd w:val="clear" w:color="auto" w:fill="F8F8F8"/>
    </w:rPr>
  </w:style>
  <w:style w:type="character" w:customStyle="1" w:styleId="ImportTok">
    <w:name w:val="ImportTok"/>
    <w:basedOn w:val="VerbatimChar"/>
    <w:rsid w:val="00C64739"/>
    <w:rPr>
      <w:rFonts w:ascii="Consolas" w:eastAsia="Cambria" w:hAnsi="Consolas"/>
      <w:b/>
      <w:sz w:val="22"/>
      <w:szCs w:val="22"/>
      <w:shd w:val="clear" w:color="auto" w:fill="F8F8F8"/>
    </w:rPr>
  </w:style>
  <w:style w:type="character" w:customStyle="1" w:styleId="CommentTok">
    <w:name w:val="CommentTok"/>
    <w:basedOn w:val="VerbatimChar"/>
    <w:rsid w:val="00C64739"/>
    <w:rPr>
      <w:rFonts w:ascii="Consolas" w:eastAsia="Cambria" w:hAnsi="Consolas"/>
      <w:b/>
      <w:i/>
      <w:color w:val="8F5902"/>
      <w:sz w:val="22"/>
      <w:szCs w:val="22"/>
      <w:shd w:val="clear" w:color="auto" w:fill="F8F8F8"/>
    </w:rPr>
  </w:style>
  <w:style w:type="character" w:customStyle="1" w:styleId="DocumentationTok">
    <w:name w:val="DocumentationTok"/>
    <w:basedOn w:val="VerbatimChar"/>
    <w:rsid w:val="00C64739"/>
    <w:rPr>
      <w:rFonts w:ascii="Consolas" w:eastAsia="Cambria" w:hAnsi="Consolas"/>
      <w:b w:val="0"/>
      <w:i/>
      <w:color w:val="8F5902"/>
      <w:sz w:val="22"/>
      <w:szCs w:val="22"/>
      <w:shd w:val="clear" w:color="auto" w:fill="F8F8F8"/>
    </w:rPr>
  </w:style>
  <w:style w:type="character" w:customStyle="1" w:styleId="AnnotationTok">
    <w:name w:val="AnnotationTok"/>
    <w:basedOn w:val="VerbatimChar"/>
    <w:rsid w:val="00C64739"/>
    <w:rPr>
      <w:rFonts w:ascii="Consolas" w:eastAsia="Cambria" w:hAnsi="Consolas"/>
      <w:b w:val="0"/>
      <w:i/>
      <w:color w:val="8F5902"/>
      <w:sz w:val="22"/>
      <w:szCs w:val="22"/>
      <w:shd w:val="clear" w:color="auto" w:fill="F8F8F8"/>
    </w:rPr>
  </w:style>
  <w:style w:type="character" w:customStyle="1" w:styleId="CommentVarTok">
    <w:name w:val="CommentVarTok"/>
    <w:basedOn w:val="VerbatimChar"/>
    <w:rsid w:val="00C64739"/>
    <w:rPr>
      <w:rFonts w:ascii="Consolas" w:eastAsia="Cambria" w:hAnsi="Consolas"/>
      <w:b w:val="0"/>
      <w:i/>
      <w:color w:val="8F5902"/>
      <w:sz w:val="22"/>
      <w:szCs w:val="22"/>
      <w:shd w:val="clear" w:color="auto" w:fill="F8F8F8"/>
    </w:rPr>
  </w:style>
  <w:style w:type="character" w:customStyle="1" w:styleId="OtherTok">
    <w:name w:val="OtherTok"/>
    <w:basedOn w:val="VerbatimChar"/>
    <w:rsid w:val="00C64739"/>
    <w:rPr>
      <w:rFonts w:ascii="Consolas" w:eastAsia="Cambria" w:hAnsi="Consolas"/>
      <w:b/>
      <w:color w:val="8F5902"/>
      <w:sz w:val="22"/>
      <w:szCs w:val="22"/>
      <w:shd w:val="clear" w:color="auto" w:fill="F8F8F8"/>
    </w:rPr>
  </w:style>
  <w:style w:type="character" w:customStyle="1" w:styleId="FunctionTok">
    <w:name w:val="FunctionTok"/>
    <w:basedOn w:val="VerbatimChar"/>
    <w:rsid w:val="00C64739"/>
    <w:rPr>
      <w:rFonts w:ascii="Consolas" w:eastAsia="Cambria" w:hAnsi="Consolas"/>
      <w:b/>
      <w:color w:val="000000"/>
      <w:sz w:val="22"/>
      <w:szCs w:val="22"/>
      <w:shd w:val="clear" w:color="auto" w:fill="F8F8F8"/>
    </w:rPr>
  </w:style>
  <w:style w:type="character" w:customStyle="1" w:styleId="VariableTok">
    <w:name w:val="VariableTok"/>
    <w:basedOn w:val="VerbatimChar"/>
    <w:rsid w:val="00C64739"/>
    <w:rPr>
      <w:rFonts w:ascii="Consolas" w:eastAsia="Cambria" w:hAnsi="Consolas"/>
      <w:b/>
      <w:color w:val="000000"/>
      <w:sz w:val="22"/>
      <w:szCs w:val="22"/>
      <w:shd w:val="clear" w:color="auto" w:fill="F8F8F8"/>
    </w:rPr>
  </w:style>
  <w:style w:type="character" w:customStyle="1" w:styleId="ControlFlowTok">
    <w:name w:val="ControlFlowTok"/>
    <w:basedOn w:val="VerbatimChar"/>
    <w:rsid w:val="00C64739"/>
    <w:rPr>
      <w:rFonts w:ascii="Consolas" w:eastAsia="Cambria" w:hAnsi="Consolas"/>
      <w:b w:val="0"/>
      <w:color w:val="204A87"/>
      <w:sz w:val="22"/>
      <w:szCs w:val="22"/>
      <w:shd w:val="clear" w:color="auto" w:fill="F8F8F8"/>
    </w:rPr>
  </w:style>
  <w:style w:type="character" w:customStyle="1" w:styleId="OperatorTok">
    <w:name w:val="OperatorTok"/>
    <w:basedOn w:val="VerbatimChar"/>
    <w:rsid w:val="00C64739"/>
    <w:rPr>
      <w:rFonts w:ascii="Consolas" w:eastAsia="Cambria" w:hAnsi="Consolas"/>
      <w:b w:val="0"/>
      <w:color w:val="CE5C00"/>
      <w:sz w:val="22"/>
      <w:szCs w:val="22"/>
      <w:shd w:val="clear" w:color="auto" w:fill="F8F8F8"/>
    </w:rPr>
  </w:style>
  <w:style w:type="character" w:customStyle="1" w:styleId="BuiltInTok">
    <w:name w:val="BuiltInTok"/>
    <w:basedOn w:val="VerbatimChar"/>
    <w:rsid w:val="00C64739"/>
    <w:rPr>
      <w:rFonts w:ascii="Consolas" w:eastAsia="Cambria" w:hAnsi="Consolas"/>
      <w:b/>
      <w:sz w:val="22"/>
      <w:szCs w:val="22"/>
      <w:shd w:val="clear" w:color="auto" w:fill="F8F8F8"/>
    </w:rPr>
  </w:style>
  <w:style w:type="character" w:customStyle="1" w:styleId="ExtensionTok">
    <w:name w:val="ExtensionTok"/>
    <w:basedOn w:val="VerbatimChar"/>
    <w:rsid w:val="00C64739"/>
    <w:rPr>
      <w:rFonts w:ascii="Consolas" w:eastAsia="Cambria" w:hAnsi="Consolas"/>
      <w:b/>
      <w:sz w:val="22"/>
      <w:szCs w:val="22"/>
      <w:shd w:val="clear" w:color="auto" w:fill="F8F8F8"/>
    </w:rPr>
  </w:style>
  <w:style w:type="character" w:customStyle="1" w:styleId="PreprocessorTok">
    <w:name w:val="PreprocessorTok"/>
    <w:basedOn w:val="VerbatimChar"/>
    <w:rsid w:val="00C64739"/>
    <w:rPr>
      <w:rFonts w:ascii="Consolas" w:eastAsia="Cambria" w:hAnsi="Consolas"/>
      <w:b/>
      <w:i/>
      <w:color w:val="8F5902"/>
      <w:sz w:val="22"/>
      <w:szCs w:val="22"/>
      <w:shd w:val="clear" w:color="auto" w:fill="F8F8F8"/>
    </w:rPr>
  </w:style>
  <w:style w:type="character" w:customStyle="1" w:styleId="AttributeTok">
    <w:name w:val="AttributeTok"/>
    <w:basedOn w:val="VerbatimChar"/>
    <w:rsid w:val="00C64739"/>
    <w:rPr>
      <w:rFonts w:ascii="Consolas" w:eastAsia="Cambria" w:hAnsi="Consolas"/>
      <w:b/>
      <w:color w:val="C4A000"/>
      <w:sz w:val="22"/>
      <w:szCs w:val="22"/>
      <w:shd w:val="clear" w:color="auto" w:fill="F8F8F8"/>
    </w:rPr>
  </w:style>
  <w:style w:type="character" w:customStyle="1" w:styleId="RegionMarkerTok">
    <w:name w:val="RegionMarkerTok"/>
    <w:basedOn w:val="VerbatimChar"/>
    <w:rsid w:val="00C64739"/>
    <w:rPr>
      <w:rFonts w:ascii="Consolas" w:eastAsia="Cambria" w:hAnsi="Consolas"/>
      <w:b/>
      <w:sz w:val="22"/>
      <w:szCs w:val="22"/>
      <w:shd w:val="clear" w:color="auto" w:fill="F8F8F8"/>
    </w:rPr>
  </w:style>
  <w:style w:type="character" w:customStyle="1" w:styleId="InformationTok">
    <w:name w:val="InformationTok"/>
    <w:basedOn w:val="VerbatimChar"/>
    <w:rsid w:val="00C64739"/>
    <w:rPr>
      <w:rFonts w:ascii="Consolas" w:eastAsia="Cambria" w:hAnsi="Consolas"/>
      <w:b w:val="0"/>
      <w:i/>
      <w:color w:val="8F5902"/>
      <w:sz w:val="22"/>
      <w:szCs w:val="22"/>
      <w:shd w:val="clear" w:color="auto" w:fill="F8F8F8"/>
    </w:rPr>
  </w:style>
  <w:style w:type="character" w:customStyle="1" w:styleId="WarningTok">
    <w:name w:val="WarningTok"/>
    <w:basedOn w:val="VerbatimChar"/>
    <w:rsid w:val="00C64739"/>
    <w:rPr>
      <w:rFonts w:ascii="Consolas" w:eastAsia="Cambria" w:hAnsi="Consolas"/>
      <w:b w:val="0"/>
      <w:i/>
      <w:color w:val="8F5902"/>
      <w:sz w:val="22"/>
      <w:szCs w:val="22"/>
      <w:shd w:val="clear" w:color="auto" w:fill="F8F8F8"/>
    </w:rPr>
  </w:style>
  <w:style w:type="character" w:customStyle="1" w:styleId="AlertTok">
    <w:name w:val="AlertTok"/>
    <w:basedOn w:val="VerbatimChar"/>
    <w:rsid w:val="00C64739"/>
    <w:rPr>
      <w:rFonts w:ascii="Consolas" w:eastAsia="Cambria" w:hAnsi="Consolas"/>
      <w:b/>
      <w:color w:val="EF2929"/>
      <w:sz w:val="22"/>
      <w:szCs w:val="22"/>
      <w:shd w:val="clear" w:color="auto" w:fill="F8F8F8"/>
    </w:rPr>
  </w:style>
  <w:style w:type="character" w:customStyle="1" w:styleId="ErrorTok">
    <w:name w:val="ErrorTok"/>
    <w:basedOn w:val="VerbatimChar"/>
    <w:rsid w:val="00C64739"/>
    <w:rPr>
      <w:rFonts w:ascii="Consolas" w:eastAsia="Cambria" w:hAnsi="Consolas"/>
      <w:b w:val="0"/>
      <w:color w:val="A40000"/>
      <w:sz w:val="22"/>
      <w:szCs w:val="22"/>
      <w:shd w:val="clear" w:color="auto" w:fill="F8F8F8"/>
    </w:rPr>
  </w:style>
  <w:style w:type="character" w:customStyle="1" w:styleId="NormalTok">
    <w:name w:val="NormalTok"/>
    <w:basedOn w:val="VerbatimChar"/>
    <w:rsid w:val="00C64739"/>
    <w:rPr>
      <w:rFonts w:ascii="Consolas" w:eastAsia="Cambria" w:hAnsi="Consolas"/>
      <w:b/>
      <w:sz w:val="22"/>
      <w:szCs w:val="22"/>
      <w:shd w:val="clear" w:color="auto" w:fill="F8F8F8"/>
    </w:rPr>
  </w:style>
  <w:style w:type="table" w:customStyle="1" w:styleId="TableGrid1">
    <w:name w:val="Table Grid1"/>
    <w:basedOn w:val="TableNormal"/>
    <w:next w:val="TableGrid"/>
    <w:rsid w:val="00C64739"/>
    <w:rPr>
      <w:rFonts w:ascii="Cambria" w:eastAsia="Cambria" w:hAnsi="Cambr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ationline">
    <w:name w:val="citationline"/>
    <w:basedOn w:val="Normal"/>
    <w:rsid w:val="00C64739"/>
    <w:pPr>
      <w:spacing w:before="100" w:beforeAutospacing="1" w:after="100" w:afterAutospacing="1"/>
      <w:jc w:val="left"/>
    </w:pPr>
  </w:style>
  <w:style w:type="character" w:customStyle="1" w:styleId="italic">
    <w:name w:val="italic"/>
    <w:basedOn w:val="DefaultParagraphFont"/>
    <w:rsid w:val="00C64739"/>
  </w:style>
  <w:style w:type="table" w:customStyle="1" w:styleId="TableGrid11">
    <w:name w:val="Table Grid11"/>
    <w:basedOn w:val="TableNormal"/>
    <w:rsid w:val="00C647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64739"/>
    <w:rPr>
      <w:b/>
      <w:sz w:val="26"/>
    </w:rPr>
  </w:style>
  <w:style w:type="character" w:customStyle="1" w:styleId="Heading4Char">
    <w:name w:val="Heading 4 Char"/>
    <w:basedOn w:val="DefaultParagraphFont"/>
    <w:link w:val="Heading4"/>
    <w:uiPriority w:val="9"/>
    <w:rsid w:val="00C64739"/>
    <w:rPr>
      <w:rFonts w:ascii="Times New Roman Bold" w:hAnsi="Times New Roman Bold"/>
      <w:b/>
      <w:bCs/>
      <w:i/>
      <w:sz w:val="24"/>
      <w:szCs w:val="28"/>
    </w:rPr>
  </w:style>
  <w:style w:type="character" w:customStyle="1" w:styleId="Heading5Char">
    <w:name w:val="Heading 5 Char"/>
    <w:basedOn w:val="DefaultParagraphFont"/>
    <w:link w:val="Heading5"/>
    <w:uiPriority w:val="9"/>
    <w:rsid w:val="00C64739"/>
    <w:rPr>
      <w:rFonts w:ascii="Times New Roman Bold" w:hAnsi="Times New Roman Bold"/>
      <w:b/>
      <w:bCs/>
      <w:iCs/>
      <w:sz w:val="24"/>
      <w:szCs w:val="26"/>
    </w:rPr>
  </w:style>
  <w:style w:type="character" w:customStyle="1" w:styleId="Heading6Char">
    <w:name w:val="Heading 6 Char"/>
    <w:basedOn w:val="DefaultParagraphFont"/>
    <w:link w:val="Heading6"/>
    <w:uiPriority w:val="9"/>
    <w:rsid w:val="00C64739"/>
    <w:rPr>
      <w:b/>
      <w:bCs/>
      <w:sz w:val="22"/>
      <w:szCs w:val="22"/>
    </w:rPr>
  </w:style>
  <w:style w:type="character" w:customStyle="1" w:styleId="Heading7Char">
    <w:name w:val="Heading 7 Char"/>
    <w:basedOn w:val="DefaultParagraphFont"/>
    <w:link w:val="Heading7"/>
    <w:rsid w:val="00C64739"/>
    <w:rPr>
      <w:sz w:val="24"/>
      <w:szCs w:val="24"/>
    </w:rPr>
  </w:style>
  <w:style w:type="character" w:customStyle="1" w:styleId="Heading8Char">
    <w:name w:val="Heading 8 Char"/>
    <w:basedOn w:val="DefaultParagraphFont"/>
    <w:link w:val="Heading8"/>
    <w:rsid w:val="00C64739"/>
    <w:rPr>
      <w:i/>
      <w:iCs/>
      <w:sz w:val="24"/>
      <w:szCs w:val="24"/>
    </w:rPr>
  </w:style>
  <w:style w:type="character" w:customStyle="1" w:styleId="BodyText2Char">
    <w:name w:val="Body Text 2 Char"/>
    <w:basedOn w:val="DefaultParagraphFont"/>
    <w:link w:val="BodyText2"/>
    <w:rsid w:val="00C64739"/>
    <w:rPr>
      <w:b/>
      <w:bCs/>
      <w:sz w:val="24"/>
    </w:rPr>
  </w:style>
  <w:style w:type="character" w:customStyle="1" w:styleId="BodyText3Char">
    <w:name w:val="Body Text 3 Char"/>
    <w:basedOn w:val="DefaultParagraphFont"/>
    <w:link w:val="BodyText3"/>
    <w:rsid w:val="00C64739"/>
    <w:rPr>
      <w:szCs w:val="24"/>
    </w:rPr>
  </w:style>
  <w:style w:type="table" w:customStyle="1" w:styleId="TableGrid2">
    <w:name w:val="Table Grid2"/>
    <w:basedOn w:val="TableNormal"/>
    <w:next w:val="TableGrid"/>
    <w:rsid w:val="00C64739"/>
    <w:rPr>
      <w:rFonts w:ascii="Cambria" w:eastAsia="Cambria" w:hAnsi="Cambr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t-CitedChar">
    <w:name w:val="Lit-Cited Char"/>
    <w:basedOn w:val="DefaultParagraphFont"/>
    <w:link w:val="Lit-Cited"/>
    <w:rsid w:val="00C64739"/>
  </w:style>
  <w:style w:type="character" w:customStyle="1" w:styleId="highlight">
    <w:name w:val="highlight"/>
    <w:basedOn w:val="DefaultParagraphFont"/>
    <w:rsid w:val="00C64739"/>
  </w:style>
  <w:style w:type="character" w:customStyle="1" w:styleId="mi">
    <w:name w:val="mi"/>
    <w:basedOn w:val="DefaultParagraphFont"/>
    <w:rsid w:val="008A1C78"/>
  </w:style>
  <w:style w:type="character" w:customStyle="1" w:styleId="mjxassistivemathml">
    <w:name w:val="mjx_assistive_mathml"/>
    <w:basedOn w:val="DefaultParagraphFont"/>
    <w:rsid w:val="008A1C78"/>
  </w:style>
  <w:style w:type="character" w:customStyle="1" w:styleId="mn">
    <w:name w:val="mn"/>
    <w:basedOn w:val="DefaultParagraphFont"/>
    <w:rsid w:val="00AC69FE"/>
  </w:style>
  <w:style w:type="character" w:customStyle="1" w:styleId="mtext">
    <w:name w:val="mtext"/>
    <w:basedOn w:val="DefaultParagraphFont"/>
    <w:rsid w:val="00DA78CC"/>
  </w:style>
  <w:style w:type="character" w:customStyle="1" w:styleId="mo">
    <w:name w:val="mo"/>
    <w:basedOn w:val="DefaultParagraphFont"/>
    <w:rsid w:val="00DA78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78104">
      <w:bodyDiv w:val="1"/>
      <w:marLeft w:val="0"/>
      <w:marRight w:val="0"/>
      <w:marTop w:val="0"/>
      <w:marBottom w:val="0"/>
      <w:divBdr>
        <w:top w:val="none" w:sz="0" w:space="0" w:color="auto"/>
        <w:left w:val="none" w:sz="0" w:space="0" w:color="auto"/>
        <w:bottom w:val="none" w:sz="0" w:space="0" w:color="auto"/>
        <w:right w:val="none" w:sz="0" w:space="0" w:color="auto"/>
      </w:divBdr>
    </w:div>
    <w:div w:id="248781432">
      <w:bodyDiv w:val="1"/>
      <w:marLeft w:val="0"/>
      <w:marRight w:val="0"/>
      <w:marTop w:val="0"/>
      <w:marBottom w:val="0"/>
      <w:divBdr>
        <w:top w:val="none" w:sz="0" w:space="0" w:color="auto"/>
        <w:left w:val="none" w:sz="0" w:space="0" w:color="auto"/>
        <w:bottom w:val="none" w:sz="0" w:space="0" w:color="auto"/>
        <w:right w:val="none" w:sz="0" w:space="0" w:color="auto"/>
      </w:divBdr>
    </w:div>
    <w:div w:id="302732186">
      <w:bodyDiv w:val="1"/>
      <w:marLeft w:val="0"/>
      <w:marRight w:val="0"/>
      <w:marTop w:val="0"/>
      <w:marBottom w:val="0"/>
      <w:divBdr>
        <w:top w:val="none" w:sz="0" w:space="0" w:color="auto"/>
        <w:left w:val="none" w:sz="0" w:space="0" w:color="auto"/>
        <w:bottom w:val="none" w:sz="0" w:space="0" w:color="auto"/>
        <w:right w:val="none" w:sz="0" w:space="0" w:color="auto"/>
      </w:divBdr>
    </w:div>
    <w:div w:id="303586753">
      <w:bodyDiv w:val="1"/>
      <w:marLeft w:val="0"/>
      <w:marRight w:val="0"/>
      <w:marTop w:val="0"/>
      <w:marBottom w:val="0"/>
      <w:divBdr>
        <w:top w:val="none" w:sz="0" w:space="0" w:color="auto"/>
        <w:left w:val="none" w:sz="0" w:space="0" w:color="auto"/>
        <w:bottom w:val="none" w:sz="0" w:space="0" w:color="auto"/>
        <w:right w:val="none" w:sz="0" w:space="0" w:color="auto"/>
      </w:divBdr>
    </w:div>
    <w:div w:id="390271885">
      <w:bodyDiv w:val="1"/>
      <w:marLeft w:val="0"/>
      <w:marRight w:val="0"/>
      <w:marTop w:val="0"/>
      <w:marBottom w:val="0"/>
      <w:divBdr>
        <w:top w:val="none" w:sz="0" w:space="0" w:color="auto"/>
        <w:left w:val="none" w:sz="0" w:space="0" w:color="auto"/>
        <w:bottom w:val="none" w:sz="0" w:space="0" w:color="auto"/>
        <w:right w:val="none" w:sz="0" w:space="0" w:color="auto"/>
      </w:divBdr>
    </w:div>
    <w:div w:id="414210061">
      <w:bodyDiv w:val="1"/>
      <w:marLeft w:val="0"/>
      <w:marRight w:val="0"/>
      <w:marTop w:val="0"/>
      <w:marBottom w:val="0"/>
      <w:divBdr>
        <w:top w:val="none" w:sz="0" w:space="0" w:color="auto"/>
        <w:left w:val="none" w:sz="0" w:space="0" w:color="auto"/>
        <w:bottom w:val="none" w:sz="0" w:space="0" w:color="auto"/>
        <w:right w:val="none" w:sz="0" w:space="0" w:color="auto"/>
      </w:divBdr>
    </w:div>
    <w:div w:id="562524338">
      <w:bodyDiv w:val="1"/>
      <w:marLeft w:val="0"/>
      <w:marRight w:val="0"/>
      <w:marTop w:val="0"/>
      <w:marBottom w:val="0"/>
      <w:divBdr>
        <w:top w:val="none" w:sz="0" w:space="0" w:color="auto"/>
        <w:left w:val="none" w:sz="0" w:space="0" w:color="auto"/>
        <w:bottom w:val="none" w:sz="0" w:space="0" w:color="auto"/>
        <w:right w:val="none" w:sz="0" w:space="0" w:color="auto"/>
      </w:divBdr>
    </w:div>
    <w:div w:id="585500627">
      <w:bodyDiv w:val="1"/>
      <w:marLeft w:val="0"/>
      <w:marRight w:val="0"/>
      <w:marTop w:val="0"/>
      <w:marBottom w:val="0"/>
      <w:divBdr>
        <w:top w:val="none" w:sz="0" w:space="0" w:color="auto"/>
        <w:left w:val="none" w:sz="0" w:space="0" w:color="auto"/>
        <w:bottom w:val="none" w:sz="0" w:space="0" w:color="auto"/>
        <w:right w:val="none" w:sz="0" w:space="0" w:color="auto"/>
      </w:divBdr>
    </w:div>
    <w:div w:id="606231522">
      <w:bodyDiv w:val="1"/>
      <w:marLeft w:val="0"/>
      <w:marRight w:val="0"/>
      <w:marTop w:val="0"/>
      <w:marBottom w:val="0"/>
      <w:divBdr>
        <w:top w:val="none" w:sz="0" w:space="0" w:color="auto"/>
        <w:left w:val="none" w:sz="0" w:space="0" w:color="auto"/>
        <w:bottom w:val="none" w:sz="0" w:space="0" w:color="auto"/>
        <w:right w:val="none" w:sz="0" w:space="0" w:color="auto"/>
      </w:divBdr>
    </w:div>
    <w:div w:id="644627768">
      <w:bodyDiv w:val="1"/>
      <w:marLeft w:val="0"/>
      <w:marRight w:val="0"/>
      <w:marTop w:val="0"/>
      <w:marBottom w:val="0"/>
      <w:divBdr>
        <w:top w:val="none" w:sz="0" w:space="0" w:color="auto"/>
        <w:left w:val="none" w:sz="0" w:space="0" w:color="auto"/>
        <w:bottom w:val="none" w:sz="0" w:space="0" w:color="auto"/>
        <w:right w:val="none" w:sz="0" w:space="0" w:color="auto"/>
      </w:divBdr>
    </w:div>
    <w:div w:id="697925475">
      <w:bodyDiv w:val="1"/>
      <w:marLeft w:val="0"/>
      <w:marRight w:val="0"/>
      <w:marTop w:val="0"/>
      <w:marBottom w:val="0"/>
      <w:divBdr>
        <w:top w:val="none" w:sz="0" w:space="0" w:color="auto"/>
        <w:left w:val="none" w:sz="0" w:space="0" w:color="auto"/>
        <w:bottom w:val="none" w:sz="0" w:space="0" w:color="auto"/>
        <w:right w:val="none" w:sz="0" w:space="0" w:color="auto"/>
      </w:divBdr>
    </w:div>
    <w:div w:id="775175020">
      <w:bodyDiv w:val="1"/>
      <w:marLeft w:val="0"/>
      <w:marRight w:val="0"/>
      <w:marTop w:val="0"/>
      <w:marBottom w:val="0"/>
      <w:divBdr>
        <w:top w:val="none" w:sz="0" w:space="0" w:color="auto"/>
        <w:left w:val="none" w:sz="0" w:space="0" w:color="auto"/>
        <w:bottom w:val="none" w:sz="0" w:space="0" w:color="auto"/>
        <w:right w:val="none" w:sz="0" w:space="0" w:color="auto"/>
      </w:divBdr>
    </w:div>
    <w:div w:id="861169037">
      <w:bodyDiv w:val="1"/>
      <w:marLeft w:val="0"/>
      <w:marRight w:val="0"/>
      <w:marTop w:val="0"/>
      <w:marBottom w:val="0"/>
      <w:divBdr>
        <w:top w:val="none" w:sz="0" w:space="0" w:color="auto"/>
        <w:left w:val="none" w:sz="0" w:space="0" w:color="auto"/>
        <w:bottom w:val="none" w:sz="0" w:space="0" w:color="auto"/>
        <w:right w:val="none" w:sz="0" w:space="0" w:color="auto"/>
      </w:divBdr>
    </w:div>
    <w:div w:id="980156462">
      <w:bodyDiv w:val="1"/>
      <w:marLeft w:val="0"/>
      <w:marRight w:val="0"/>
      <w:marTop w:val="0"/>
      <w:marBottom w:val="0"/>
      <w:divBdr>
        <w:top w:val="none" w:sz="0" w:space="0" w:color="auto"/>
        <w:left w:val="none" w:sz="0" w:space="0" w:color="auto"/>
        <w:bottom w:val="none" w:sz="0" w:space="0" w:color="auto"/>
        <w:right w:val="none" w:sz="0" w:space="0" w:color="auto"/>
      </w:divBdr>
    </w:div>
    <w:div w:id="1079408309">
      <w:bodyDiv w:val="1"/>
      <w:marLeft w:val="0"/>
      <w:marRight w:val="0"/>
      <w:marTop w:val="0"/>
      <w:marBottom w:val="0"/>
      <w:divBdr>
        <w:top w:val="none" w:sz="0" w:space="0" w:color="auto"/>
        <w:left w:val="none" w:sz="0" w:space="0" w:color="auto"/>
        <w:bottom w:val="none" w:sz="0" w:space="0" w:color="auto"/>
        <w:right w:val="none" w:sz="0" w:space="0" w:color="auto"/>
      </w:divBdr>
      <w:divsChild>
        <w:div w:id="2140875975">
          <w:marLeft w:val="0"/>
          <w:marRight w:val="0"/>
          <w:marTop w:val="0"/>
          <w:marBottom w:val="0"/>
          <w:divBdr>
            <w:top w:val="none" w:sz="0" w:space="0" w:color="auto"/>
            <w:left w:val="none" w:sz="0" w:space="0" w:color="auto"/>
            <w:bottom w:val="none" w:sz="0" w:space="0" w:color="auto"/>
            <w:right w:val="none" w:sz="0" w:space="0" w:color="auto"/>
          </w:divBdr>
        </w:div>
        <w:div w:id="1447384358">
          <w:marLeft w:val="0"/>
          <w:marRight w:val="0"/>
          <w:marTop w:val="0"/>
          <w:marBottom w:val="0"/>
          <w:divBdr>
            <w:top w:val="none" w:sz="0" w:space="0" w:color="auto"/>
            <w:left w:val="none" w:sz="0" w:space="0" w:color="auto"/>
            <w:bottom w:val="none" w:sz="0" w:space="0" w:color="auto"/>
            <w:right w:val="none" w:sz="0" w:space="0" w:color="auto"/>
          </w:divBdr>
        </w:div>
      </w:divsChild>
    </w:div>
    <w:div w:id="1080365792">
      <w:bodyDiv w:val="1"/>
      <w:marLeft w:val="0"/>
      <w:marRight w:val="0"/>
      <w:marTop w:val="0"/>
      <w:marBottom w:val="0"/>
      <w:divBdr>
        <w:top w:val="none" w:sz="0" w:space="0" w:color="auto"/>
        <w:left w:val="none" w:sz="0" w:space="0" w:color="auto"/>
        <w:bottom w:val="none" w:sz="0" w:space="0" w:color="auto"/>
        <w:right w:val="none" w:sz="0" w:space="0" w:color="auto"/>
      </w:divBdr>
    </w:div>
    <w:div w:id="1089082086">
      <w:bodyDiv w:val="1"/>
      <w:marLeft w:val="0"/>
      <w:marRight w:val="0"/>
      <w:marTop w:val="0"/>
      <w:marBottom w:val="0"/>
      <w:divBdr>
        <w:top w:val="none" w:sz="0" w:space="0" w:color="auto"/>
        <w:left w:val="none" w:sz="0" w:space="0" w:color="auto"/>
        <w:bottom w:val="none" w:sz="0" w:space="0" w:color="auto"/>
        <w:right w:val="none" w:sz="0" w:space="0" w:color="auto"/>
      </w:divBdr>
    </w:div>
    <w:div w:id="1126971241">
      <w:bodyDiv w:val="1"/>
      <w:marLeft w:val="0"/>
      <w:marRight w:val="0"/>
      <w:marTop w:val="0"/>
      <w:marBottom w:val="0"/>
      <w:divBdr>
        <w:top w:val="none" w:sz="0" w:space="0" w:color="auto"/>
        <w:left w:val="none" w:sz="0" w:space="0" w:color="auto"/>
        <w:bottom w:val="none" w:sz="0" w:space="0" w:color="auto"/>
        <w:right w:val="none" w:sz="0" w:space="0" w:color="auto"/>
      </w:divBdr>
    </w:div>
    <w:div w:id="1229414751">
      <w:bodyDiv w:val="1"/>
      <w:marLeft w:val="0"/>
      <w:marRight w:val="0"/>
      <w:marTop w:val="0"/>
      <w:marBottom w:val="0"/>
      <w:divBdr>
        <w:top w:val="none" w:sz="0" w:space="0" w:color="auto"/>
        <w:left w:val="none" w:sz="0" w:space="0" w:color="auto"/>
        <w:bottom w:val="none" w:sz="0" w:space="0" w:color="auto"/>
        <w:right w:val="none" w:sz="0" w:space="0" w:color="auto"/>
      </w:divBdr>
    </w:div>
    <w:div w:id="1242257294">
      <w:bodyDiv w:val="1"/>
      <w:marLeft w:val="0"/>
      <w:marRight w:val="0"/>
      <w:marTop w:val="0"/>
      <w:marBottom w:val="0"/>
      <w:divBdr>
        <w:top w:val="none" w:sz="0" w:space="0" w:color="auto"/>
        <w:left w:val="none" w:sz="0" w:space="0" w:color="auto"/>
        <w:bottom w:val="none" w:sz="0" w:space="0" w:color="auto"/>
        <w:right w:val="none" w:sz="0" w:space="0" w:color="auto"/>
      </w:divBdr>
    </w:div>
    <w:div w:id="1281182834">
      <w:bodyDiv w:val="1"/>
      <w:marLeft w:val="0"/>
      <w:marRight w:val="0"/>
      <w:marTop w:val="0"/>
      <w:marBottom w:val="0"/>
      <w:divBdr>
        <w:top w:val="none" w:sz="0" w:space="0" w:color="auto"/>
        <w:left w:val="none" w:sz="0" w:space="0" w:color="auto"/>
        <w:bottom w:val="none" w:sz="0" w:space="0" w:color="auto"/>
        <w:right w:val="none" w:sz="0" w:space="0" w:color="auto"/>
      </w:divBdr>
    </w:div>
    <w:div w:id="1402554736">
      <w:bodyDiv w:val="1"/>
      <w:marLeft w:val="0"/>
      <w:marRight w:val="0"/>
      <w:marTop w:val="0"/>
      <w:marBottom w:val="0"/>
      <w:divBdr>
        <w:top w:val="none" w:sz="0" w:space="0" w:color="auto"/>
        <w:left w:val="none" w:sz="0" w:space="0" w:color="auto"/>
        <w:bottom w:val="none" w:sz="0" w:space="0" w:color="auto"/>
        <w:right w:val="none" w:sz="0" w:space="0" w:color="auto"/>
      </w:divBdr>
    </w:div>
    <w:div w:id="1431388022">
      <w:bodyDiv w:val="1"/>
      <w:marLeft w:val="0"/>
      <w:marRight w:val="0"/>
      <w:marTop w:val="0"/>
      <w:marBottom w:val="0"/>
      <w:divBdr>
        <w:top w:val="none" w:sz="0" w:space="0" w:color="auto"/>
        <w:left w:val="none" w:sz="0" w:space="0" w:color="auto"/>
        <w:bottom w:val="none" w:sz="0" w:space="0" w:color="auto"/>
        <w:right w:val="none" w:sz="0" w:space="0" w:color="auto"/>
      </w:divBdr>
    </w:div>
    <w:div w:id="1439829524">
      <w:bodyDiv w:val="1"/>
      <w:marLeft w:val="0"/>
      <w:marRight w:val="0"/>
      <w:marTop w:val="0"/>
      <w:marBottom w:val="0"/>
      <w:divBdr>
        <w:top w:val="none" w:sz="0" w:space="0" w:color="auto"/>
        <w:left w:val="none" w:sz="0" w:space="0" w:color="auto"/>
        <w:bottom w:val="none" w:sz="0" w:space="0" w:color="auto"/>
        <w:right w:val="none" w:sz="0" w:space="0" w:color="auto"/>
      </w:divBdr>
    </w:div>
    <w:div w:id="1463380528">
      <w:bodyDiv w:val="1"/>
      <w:marLeft w:val="0"/>
      <w:marRight w:val="0"/>
      <w:marTop w:val="0"/>
      <w:marBottom w:val="0"/>
      <w:divBdr>
        <w:top w:val="none" w:sz="0" w:space="0" w:color="auto"/>
        <w:left w:val="none" w:sz="0" w:space="0" w:color="auto"/>
        <w:bottom w:val="none" w:sz="0" w:space="0" w:color="auto"/>
        <w:right w:val="none" w:sz="0" w:space="0" w:color="auto"/>
      </w:divBdr>
      <w:divsChild>
        <w:div w:id="1676222249">
          <w:marLeft w:val="0"/>
          <w:marRight w:val="0"/>
          <w:marTop w:val="0"/>
          <w:marBottom w:val="0"/>
          <w:divBdr>
            <w:top w:val="none" w:sz="0" w:space="0" w:color="auto"/>
            <w:left w:val="none" w:sz="0" w:space="0" w:color="auto"/>
            <w:bottom w:val="none" w:sz="0" w:space="0" w:color="auto"/>
            <w:right w:val="none" w:sz="0" w:space="0" w:color="auto"/>
          </w:divBdr>
        </w:div>
      </w:divsChild>
    </w:div>
    <w:div w:id="1564484715">
      <w:bodyDiv w:val="1"/>
      <w:marLeft w:val="0"/>
      <w:marRight w:val="0"/>
      <w:marTop w:val="0"/>
      <w:marBottom w:val="0"/>
      <w:divBdr>
        <w:top w:val="none" w:sz="0" w:space="0" w:color="auto"/>
        <w:left w:val="none" w:sz="0" w:space="0" w:color="auto"/>
        <w:bottom w:val="none" w:sz="0" w:space="0" w:color="auto"/>
        <w:right w:val="none" w:sz="0" w:space="0" w:color="auto"/>
      </w:divBdr>
    </w:div>
    <w:div w:id="1606383908">
      <w:bodyDiv w:val="1"/>
      <w:marLeft w:val="0"/>
      <w:marRight w:val="0"/>
      <w:marTop w:val="0"/>
      <w:marBottom w:val="0"/>
      <w:divBdr>
        <w:top w:val="none" w:sz="0" w:space="0" w:color="auto"/>
        <w:left w:val="none" w:sz="0" w:space="0" w:color="auto"/>
        <w:bottom w:val="none" w:sz="0" w:space="0" w:color="auto"/>
        <w:right w:val="none" w:sz="0" w:space="0" w:color="auto"/>
      </w:divBdr>
    </w:div>
    <w:div w:id="1641572251">
      <w:bodyDiv w:val="1"/>
      <w:marLeft w:val="0"/>
      <w:marRight w:val="0"/>
      <w:marTop w:val="0"/>
      <w:marBottom w:val="0"/>
      <w:divBdr>
        <w:top w:val="none" w:sz="0" w:space="0" w:color="auto"/>
        <w:left w:val="none" w:sz="0" w:space="0" w:color="auto"/>
        <w:bottom w:val="none" w:sz="0" w:space="0" w:color="auto"/>
        <w:right w:val="none" w:sz="0" w:space="0" w:color="auto"/>
      </w:divBdr>
    </w:div>
    <w:div w:id="1649359475">
      <w:bodyDiv w:val="1"/>
      <w:marLeft w:val="0"/>
      <w:marRight w:val="0"/>
      <w:marTop w:val="0"/>
      <w:marBottom w:val="0"/>
      <w:divBdr>
        <w:top w:val="none" w:sz="0" w:space="0" w:color="auto"/>
        <w:left w:val="none" w:sz="0" w:space="0" w:color="auto"/>
        <w:bottom w:val="none" w:sz="0" w:space="0" w:color="auto"/>
        <w:right w:val="none" w:sz="0" w:space="0" w:color="auto"/>
      </w:divBdr>
    </w:div>
    <w:div w:id="1691031220">
      <w:bodyDiv w:val="1"/>
      <w:marLeft w:val="0"/>
      <w:marRight w:val="0"/>
      <w:marTop w:val="0"/>
      <w:marBottom w:val="0"/>
      <w:divBdr>
        <w:top w:val="none" w:sz="0" w:space="0" w:color="auto"/>
        <w:left w:val="none" w:sz="0" w:space="0" w:color="auto"/>
        <w:bottom w:val="none" w:sz="0" w:space="0" w:color="auto"/>
        <w:right w:val="none" w:sz="0" w:space="0" w:color="auto"/>
      </w:divBdr>
    </w:div>
    <w:div w:id="1774089384">
      <w:bodyDiv w:val="1"/>
      <w:marLeft w:val="0"/>
      <w:marRight w:val="0"/>
      <w:marTop w:val="0"/>
      <w:marBottom w:val="0"/>
      <w:divBdr>
        <w:top w:val="none" w:sz="0" w:space="0" w:color="auto"/>
        <w:left w:val="none" w:sz="0" w:space="0" w:color="auto"/>
        <w:bottom w:val="none" w:sz="0" w:space="0" w:color="auto"/>
        <w:right w:val="none" w:sz="0" w:space="0" w:color="auto"/>
      </w:divBdr>
    </w:div>
    <w:div w:id="1774395567">
      <w:bodyDiv w:val="1"/>
      <w:marLeft w:val="0"/>
      <w:marRight w:val="0"/>
      <w:marTop w:val="0"/>
      <w:marBottom w:val="0"/>
      <w:divBdr>
        <w:top w:val="none" w:sz="0" w:space="0" w:color="auto"/>
        <w:left w:val="none" w:sz="0" w:space="0" w:color="auto"/>
        <w:bottom w:val="none" w:sz="0" w:space="0" w:color="auto"/>
        <w:right w:val="none" w:sz="0" w:space="0" w:color="auto"/>
      </w:divBdr>
    </w:div>
    <w:div w:id="1889492355">
      <w:bodyDiv w:val="1"/>
      <w:marLeft w:val="0"/>
      <w:marRight w:val="0"/>
      <w:marTop w:val="0"/>
      <w:marBottom w:val="0"/>
      <w:divBdr>
        <w:top w:val="none" w:sz="0" w:space="0" w:color="auto"/>
        <w:left w:val="none" w:sz="0" w:space="0" w:color="auto"/>
        <w:bottom w:val="none" w:sz="0" w:space="0" w:color="auto"/>
        <w:right w:val="none" w:sz="0" w:space="0" w:color="auto"/>
      </w:divBdr>
    </w:div>
    <w:div w:id="1910069248">
      <w:bodyDiv w:val="1"/>
      <w:marLeft w:val="0"/>
      <w:marRight w:val="0"/>
      <w:marTop w:val="0"/>
      <w:marBottom w:val="0"/>
      <w:divBdr>
        <w:top w:val="none" w:sz="0" w:space="0" w:color="auto"/>
        <w:left w:val="none" w:sz="0" w:space="0" w:color="auto"/>
        <w:bottom w:val="none" w:sz="0" w:space="0" w:color="auto"/>
        <w:right w:val="none" w:sz="0" w:space="0" w:color="auto"/>
      </w:divBdr>
    </w:div>
    <w:div w:id="1933122495">
      <w:bodyDiv w:val="1"/>
      <w:marLeft w:val="0"/>
      <w:marRight w:val="0"/>
      <w:marTop w:val="0"/>
      <w:marBottom w:val="0"/>
      <w:divBdr>
        <w:top w:val="none" w:sz="0" w:space="0" w:color="auto"/>
        <w:left w:val="none" w:sz="0" w:space="0" w:color="auto"/>
        <w:bottom w:val="none" w:sz="0" w:space="0" w:color="auto"/>
        <w:right w:val="none" w:sz="0" w:space="0" w:color="auto"/>
      </w:divBdr>
    </w:div>
    <w:div w:id="1933588293">
      <w:bodyDiv w:val="1"/>
      <w:marLeft w:val="0"/>
      <w:marRight w:val="0"/>
      <w:marTop w:val="0"/>
      <w:marBottom w:val="0"/>
      <w:divBdr>
        <w:top w:val="none" w:sz="0" w:space="0" w:color="auto"/>
        <w:left w:val="none" w:sz="0" w:space="0" w:color="auto"/>
        <w:bottom w:val="none" w:sz="0" w:space="0" w:color="auto"/>
        <w:right w:val="none" w:sz="0" w:space="0" w:color="auto"/>
      </w:divBdr>
    </w:div>
    <w:div w:id="2096390545">
      <w:bodyDiv w:val="1"/>
      <w:marLeft w:val="0"/>
      <w:marRight w:val="0"/>
      <w:marTop w:val="0"/>
      <w:marBottom w:val="0"/>
      <w:divBdr>
        <w:top w:val="none" w:sz="0" w:space="0" w:color="auto"/>
        <w:left w:val="none" w:sz="0" w:space="0" w:color="auto"/>
        <w:bottom w:val="none" w:sz="0" w:space="0" w:color="auto"/>
        <w:right w:val="none" w:sz="0" w:space="0" w:color="auto"/>
      </w:divBdr>
    </w:div>
    <w:div w:id="2122216469">
      <w:bodyDiv w:val="1"/>
      <w:marLeft w:val="0"/>
      <w:marRight w:val="0"/>
      <w:marTop w:val="0"/>
      <w:marBottom w:val="0"/>
      <w:divBdr>
        <w:top w:val="none" w:sz="0" w:space="0" w:color="auto"/>
        <w:left w:val="none" w:sz="0" w:space="0" w:color="auto"/>
        <w:bottom w:val="none" w:sz="0" w:space="0" w:color="auto"/>
        <w:right w:val="none" w:sz="0" w:space="0" w:color="auto"/>
      </w:divBdr>
    </w:div>
    <w:div w:id="2124568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stor.org/stable/41058951" TargetMode="Externa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hyperlink" Target="https://doi.org/10.1186/0778-7367-70-7"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R-project.org/" TargetMode="External"/><Relationship Id="rId4" Type="http://schemas.openxmlformats.org/officeDocument/2006/relationships/webSettings" Target="webSettings.xml"/><Relationship Id="rId9" Type="http://schemas.openxmlformats.org/officeDocument/2006/relationships/hyperlink" Target="https://CRAN.R-project.org/package=rjags"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lgraziano\AppData\Roaming\Microsoft\Templates\CFSFonecolumn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CFSFonecolumntemplate</Template>
  <TotalTime>32</TotalTime>
  <Pages>35</Pages>
  <Words>16100</Words>
  <Characters>91770</Characters>
  <Application>Microsoft Office Word</Application>
  <DocSecurity>0</DocSecurity>
  <Lines>764</Lines>
  <Paragraphs>215</Paragraphs>
  <ScaleCrop>false</ScaleCrop>
  <HeadingPairs>
    <vt:vector size="2" baseType="variant">
      <vt:variant>
        <vt:lpstr>Title</vt:lpstr>
      </vt:variant>
      <vt:variant>
        <vt:i4>1</vt:i4>
      </vt:variant>
    </vt:vector>
  </HeadingPairs>
  <TitlesOfParts>
    <vt:vector size="1" baseType="lpstr">
      <vt:lpstr>Special Publication No</vt:lpstr>
    </vt:vector>
  </TitlesOfParts>
  <Company>ADF&amp;G</Company>
  <LinksUpToDate>false</LinksUpToDate>
  <CharactersWithSpaces>107655</CharactersWithSpaces>
  <SharedDoc>false</SharedDoc>
  <HLinks>
    <vt:vector size="126" baseType="variant">
      <vt:variant>
        <vt:i4>1703985</vt:i4>
      </vt:variant>
      <vt:variant>
        <vt:i4>128</vt:i4>
      </vt:variant>
      <vt:variant>
        <vt:i4>0</vt:i4>
      </vt:variant>
      <vt:variant>
        <vt:i4>5</vt:i4>
      </vt:variant>
      <vt:variant>
        <vt:lpwstr/>
      </vt:variant>
      <vt:variant>
        <vt:lpwstr>_Toc229887207</vt:lpwstr>
      </vt:variant>
      <vt:variant>
        <vt:i4>1703985</vt:i4>
      </vt:variant>
      <vt:variant>
        <vt:i4>119</vt:i4>
      </vt:variant>
      <vt:variant>
        <vt:i4>0</vt:i4>
      </vt:variant>
      <vt:variant>
        <vt:i4>5</vt:i4>
      </vt:variant>
      <vt:variant>
        <vt:lpwstr/>
      </vt:variant>
      <vt:variant>
        <vt:lpwstr>_Toc229887206</vt:lpwstr>
      </vt:variant>
      <vt:variant>
        <vt:i4>1703985</vt:i4>
      </vt:variant>
      <vt:variant>
        <vt:i4>110</vt:i4>
      </vt:variant>
      <vt:variant>
        <vt:i4>0</vt:i4>
      </vt:variant>
      <vt:variant>
        <vt:i4>5</vt:i4>
      </vt:variant>
      <vt:variant>
        <vt:lpwstr/>
      </vt:variant>
      <vt:variant>
        <vt:lpwstr>_Toc229887205</vt:lpwstr>
      </vt:variant>
      <vt:variant>
        <vt:i4>1966128</vt:i4>
      </vt:variant>
      <vt:variant>
        <vt:i4>101</vt:i4>
      </vt:variant>
      <vt:variant>
        <vt:i4>0</vt:i4>
      </vt:variant>
      <vt:variant>
        <vt:i4>5</vt:i4>
      </vt:variant>
      <vt:variant>
        <vt:lpwstr/>
      </vt:variant>
      <vt:variant>
        <vt:lpwstr>_Toc229887349</vt:lpwstr>
      </vt:variant>
      <vt:variant>
        <vt:i4>1966128</vt:i4>
      </vt:variant>
      <vt:variant>
        <vt:i4>95</vt:i4>
      </vt:variant>
      <vt:variant>
        <vt:i4>0</vt:i4>
      </vt:variant>
      <vt:variant>
        <vt:i4>5</vt:i4>
      </vt:variant>
      <vt:variant>
        <vt:lpwstr/>
      </vt:variant>
      <vt:variant>
        <vt:lpwstr>_Toc229887348</vt:lpwstr>
      </vt:variant>
      <vt:variant>
        <vt:i4>1966128</vt:i4>
      </vt:variant>
      <vt:variant>
        <vt:i4>89</vt:i4>
      </vt:variant>
      <vt:variant>
        <vt:i4>0</vt:i4>
      </vt:variant>
      <vt:variant>
        <vt:i4>5</vt:i4>
      </vt:variant>
      <vt:variant>
        <vt:lpwstr/>
      </vt:variant>
      <vt:variant>
        <vt:lpwstr>_Toc229887347</vt:lpwstr>
      </vt:variant>
      <vt:variant>
        <vt:i4>1966128</vt:i4>
      </vt:variant>
      <vt:variant>
        <vt:i4>83</vt:i4>
      </vt:variant>
      <vt:variant>
        <vt:i4>0</vt:i4>
      </vt:variant>
      <vt:variant>
        <vt:i4>5</vt:i4>
      </vt:variant>
      <vt:variant>
        <vt:lpwstr/>
      </vt:variant>
      <vt:variant>
        <vt:lpwstr>_Toc229887346</vt:lpwstr>
      </vt:variant>
      <vt:variant>
        <vt:i4>1966128</vt:i4>
      </vt:variant>
      <vt:variant>
        <vt:i4>77</vt:i4>
      </vt:variant>
      <vt:variant>
        <vt:i4>0</vt:i4>
      </vt:variant>
      <vt:variant>
        <vt:i4>5</vt:i4>
      </vt:variant>
      <vt:variant>
        <vt:lpwstr/>
      </vt:variant>
      <vt:variant>
        <vt:lpwstr>_Toc229887345</vt:lpwstr>
      </vt:variant>
      <vt:variant>
        <vt:i4>1966128</vt:i4>
      </vt:variant>
      <vt:variant>
        <vt:i4>71</vt:i4>
      </vt:variant>
      <vt:variant>
        <vt:i4>0</vt:i4>
      </vt:variant>
      <vt:variant>
        <vt:i4>5</vt:i4>
      </vt:variant>
      <vt:variant>
        <vt:lpwstr/>
      </vt:variant>
      <vt:variant>
        <vt:lpwstr>_Toc229887344</vt:lpwstr>
      </vt:variant>
      <vt:variant>
        <vt:i4>1966128</vt:i4>
      </vt:variant>
      <vt:variant>
        <vt:i4>65</vt:i4>
      </vt:variant>
      <vt:variant>
        <vt:i4>0</vt:i4>
      </vt:variant>
      <vt:variant>
        <vt:i4>5</vt:i4>
      </vt:variant>
      <vt:variant>
        <vt:lpwstr/>
      </vt:variant>
      <vt:variant>
        <vt:lpwstr>_Toc229887343</vt:lpwstr>
      </vt:variant>
      <vt:variant>
        <vt:i4>1966128</vt:i4>
      </vt:variant>
      <vt:variant>
        <vt:i4>59</vt:i4>
      </vt:variant>
      <vt:variant>
        <vt:i4>0</vt:i4>
      </vt:variant>
      <vt:variant>
        <vt:i4>5</vt:i4>
      </vt:variant>
      <vt:variant>
        <vt:lpwstr/>
      </vt:variant>
      <vt:variant>
        <vt:lpwstr>_Toc229887342</vt:lpwstr>
      </vt:variant>
      <vt:variant>
        <vt:i4>1966128</vt:i4>
      </vt:variant>
      <vt:variant>
        <vt:i4>53</vt:i4>
      </vt:variant>
      <vt:variant>
        <vt:i4>0</vt:i4>
      </vt:variant>
      <vt:variant>
        <vt:i4>5</vt:i4>
      </vt:variant>
      <vt:variant>
        <vt:lpwstr/>
      </vt:variant>
      <vt:variant>
        <vt:lpwstr>_Toc229887341</vt:lpwstr>
      </vt:variant>
      <vt:variant>
        <vt:i4>1966128</vt:i4>
      </vt:variant>
      <vt:variant>
        <vt:i4>47</vt:i4>
      </vt:variant>
      <vt:variant>
        <vt:i4>0</vt:i4>
      </vt:variant>
      <vt:variant>
        <vt:i4>5</vt:i4>
      </vt:variant>
      <vt:variant>
        <vt:lpwstr/>
      </vt:variant>
      <vt:variant>
        <vt:lpwstr>_Toc229887340</vt:lpwstr>
      </vt:variant>
      <vt:variant>
        <vt:i4>1638448</vt:i4>
      </vt:variant>
      <vt:variant>
        <vt:i4>41</vt:i4>
      </vt:variant>
      <vt:variant>
        <vt:i4>0</vt:i4>
      </vt:variant>
      <vt:variant>
        <vt:i4>5</vt:i4>
      </vt:variant>
      <vt:variant>
        <vt:lpwstr/>
      </vt:variant>
      <vt:variant>
        <vt:lpwstr>_Toc229887339</vt:lpwstr>
      </vt:variant>
      <vt:variant>
        <vt:i4>1638448</vt:i4>
      </vt:variant>
      <vt:variant>
        <vt:i4>35</vt:i4>
      </vt:variant>
      <vt:variant>
        <vt:i4>0</vt:i4>
      </vt:variant>
      <vt:variant>
        <vt:i4>5</vt:i4>
      </vt:variant>
      <vt:variant>
        <vt:lpwstr/>
      </vt:variant>
      <vt:variant>
        <vt:lpwstr>_Toc229887338</vt:lpwstr>
      </vt:variant>
      <vt:variant>
        <vt:i4>1638448</vt:i4>
      </vt:variant>
      <vt:variant>
        <vt:i4>29</vt:i4>
      </vt:variant>
      <vt:variant>
        <vt:i4>0</vt:i4>
      </vt:variant>
      <vt:variant>
        <vt:i4>5</vt:i4>
      </vt:variant>
      <vt:variant>
        <vt:lpwstr/>
      </vt:variant>
      <vt:variant>
        <vt:lpwstr>_Toc229887337</vt:lpwstr>
      </vt:variant>
      <vt:variant>
        <vt:i4>1638448</vt:i4>
      </vt:variant>
      <vt:variant>
        <vt:i4>23</vt:i4>
      </vt:variant>
      <vt:variant>
        <vt:i4>0</vt:i4>
      </vt:variant>
      <vt:variant>
        <vt:i4>5</vt:i4>
      </vt:variant>
      <vt:variant>
        <vt:lpwstr/>
      </vt:variant>
      <vt:variant>
        <vt:lpwstr>_Toc229887336</vt:lpwstr>
      </vt:variant>
      <vt:variant>
        <vt:i4>1638448</vt:i4>
      </vt:variant>
      <vt:variant>
        <vt:i4>17</vt:i4>
      </vt:variant>
      <vt:variant>
        <vt:i4>0</vt:i4>
      </vt:variant>
      <vt:variant>
        <vt:i4>5</vt:i4>
      </vt:variant>
      <vt:variant>
        <vt:lpwstr/>
      </vt:variant>
      <vt:variant>
        <vt:lpwstr>_Toc229887335</vt:lpwstr>
      </vt:variant>
      <vt:variant>
        <vt:i4>1638448</vt:i4>
      </vt:variant>
      <vt:variant>
        <vt:i4>11</vt:i4>
      </vt:variant>
      <vt:variant>
        <vt:i4>0</vt:i4>
      </vt:variant>
      <vt:variant>
        <vt:i4>5</vt:i4>
      </vt:variant>
      <vt:variant>
        <vt:lpwstr/>
      </vt:variant>
      <vt:variant>
        <vt:lpwstr>_Toc229887334</vt:lpwstr>
      </vt:variant>
      <vt:variant>
        <vt:i4>1638448</vt:i4>
      </vt:variant>
      <vt:variant>
        <vt:i4>5</vt:i4>
      </vt:variant>
      <vt:variant>
        <vt:i4>0</vt:i4>
      </vt:variant>
      <vt:variant>
        <vt:i4>5</vt:i4>
      </vt:variant>
      <vt:variant>
        <vt:lpwstr/>
      </vt:variant>
      <vt:variant>
        <vt:lpwstr>_Toc229887333</vt:lpwstr>
      </vt:variant>
      <vt:variant>
        <vt:i4>7012476</vt:i4>
      </vt:variant>
      <vt:variant>
        <vt:i4>0</vt:i4>
      </vt:variant>
      <vt:variant>
        <vt:i4>0</vt:i4>
      </vt:variant>
      <vt:variant>
        <vt:i4>5</vt:i4>
      </vt:variant>
      <vt:variant>
        <vt:lpwstr>http://www.sf.adfg.ak.us/statewide/divreprots/htlm/intersearch.cfm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Rockfish Removals in Alaska Sport Fisheries 1977 - 2024</dc:title>
  <dc:creator>Philip Joy, Clay McKean, Christine Hinds and Diana Tersteeg</dc:creator>
  <cp:keywords/>
  <cp:lastModifiedBy>Joy, Philip J (DFG)</cp:lastModifiedBy>
  <cp:revision>3</cp:revision>
  <dcterms:created xsi:type="dcterms:W3CDTF">2026-09-21T23:09:00Z</dcterms:created>
  <dcterms:modified xsi:type="dcterms:W3CDTF">2026-09-21T23:36:00Z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12pt</vt:lpwstr>
  </property>
  <property fmtid="{D5CDD505-2E9C-101B-9397-08002B2CF9AE}" pid="3" name="output">
    <vt:lpwstr/>
  </property>
</Properties>
</file>