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E1A46" w14:textId="27A10FD6" w:rsidR="007E79DA" w:rsidRDefault="00000000">
      <w:pPr>
        <w:pStyle w:val="Title"/>
      </w:pPr>
      <w:r>
        <w:t>Rockfish Removals in Alaska Sport Fisheries 1977 - 202</w:t>
      </w:r>
      <w:r w:rsidR="00A81E19">
        <w:t>5</w:t>
      </w:r>
    </w:p>
    <w:p w14:paraId="0602BF88" w14:textId="77777777" w:rsidR="007E79DA" w:rsidRDefault="00000000">
      <w:pPr>
        <w:pStyle w:val="Author"/>
      </w:pPr>
      <w:r>
        <w:t>Philip Joy, Clay McKean, Christine Hinds and Diana Tersteeg</w:t>
      </w:r>
    </w:p>
    <w:sdt>
      <w:sdtPr>
        <w:rPr>
          <w:rFonts w:eastAsia="Times New Roman" w:cs="Times New Roman"/>
          <w:color w:val="auto"/>
          <w:sz w:val="24"/>
          <w:szCs w:val="24"/>
        </w:rPr>
        <w:id w:val="-380403962"/>
        <w:docPartObj>
          <w:docPartGallery w:val="Table of Contents"/>
          <w:docPartUnique/>
        </w:docPartObj>
      </w:sdtPr>
      <w:sdtContent>
        <w:p w14:paraId="327A7E8D" w14:textId="77777777" w:rsidR="007E79DA" w:rsidRDefault="00000000">
          <w:pPr>
            <w:pStyle w:val="TOCHeading"/>
          </w:pPr>
          <w:r>
            <w:t>Table of Contents</w:t>
          </w:r>
        </w:p>
        <w:p w14:paraId="536D2E6E" w14:textId="1BDE972F" w:rsidR="00A81E19"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42864658" w:history="1">
            <w:r w:rsidR="00A81E19" w:rsidRPr="00F730BC">
              <w:rPr>
                <w:rStyle w:val="Hyperlink"/>
                <w:noProof/>
              </w:rPr>
              <w:t>Abstract</w:t>
            </w:r>
            <w:r w:rsidR="00A81E19">
              <w:rPr>
                <w:noProof/>
                <w:webHidden/>
              </w:rPr>
              <w:tab/>
            </w:r>
            <w:r w:rsidR="00A81E19">
              <w:rPr>
                <w:noProof/>
                <w:webHidden/>
              </w:rPr>
              <w:fldChar w:fldCharType="begin"/>
            </w:r>
            <w:r w:rsidR="00A81E19">
              <w:rPr>
                <w:noProof/>
                <w:webHidden/>
              </w:rPr>
              <w:instrText xml:space="preserve"> PAGEREF _Toc242864658 \h </w:instrText>
            </w:r>
            <w:r w:rsidR="00A81E19">
              <w:rPr>
                <w:noProof/>
                <w:webHidden/>
              </w:rPr>
            </w:r>
            <w:r w:rsidR="00A81E19">
              <w:rPr>
                <w:noProof/>
                <w:webHidden/>
              </w:rPr>
              <w:fldChar w:fldCharType="separate"/>
            </w:r>
            <w:r w:rsidR="00A81E19">
              <w:rPr>
                <w:noProof/>
                <w:webHidden/>
              </w:rPr>
              <w:t>2</w:t>
            </w:r>
            <w:r w:rsidR="00A81E19">
              <w:rPr>
                <w:noProof/>
                <w:webHidden/>
              </w:rPr>
              <w:fldChar w:fldCharType="end"/>
            </w:r>
          </w:hyperlink>
        </w:p>
        <w:p w14:paraId="1E9B2042" w14:textId="4478D194"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59" w:history="1">
            <w:r w:rsidRPr="00F730BC">
              <w:rPr>
                <w:rStyle w:val="Hyperlink"/>
                <w:noProof/>
              </w:rPr>
              <w:t>Introduction</w:t>
            </w:r>
            <w:r>
              <w:rPr>
                <w:noProof/>
                <w:webHidden/>
              </w:rPr>
              <w:tab/>
            </w:r>
            <w:r>
              <w:rPr>
                <w:noProof/>
                <w:webHidden/>
              </w:rPr>
              <w:fldChar w:fldCharType="begin"/>
            </w:r>
            <w:r>
              <w:rPr>
                <w:noProof/>
                <w:webHidden/>
              </w:rPr>
              <w:instrText xml:space="preserve"> PAGEREF _Toc242864659 \h </w:instrText>
            </w:r>
            <w:r>
              <w:rPr>
                <w:noProof/>
                <w:webHidden/>
              </w:rPr>
            </w:r>
            <w:r>
              <w:rPr>
                <w:noProof/>
                <w:webHidden/>
              </w:rPr>
              <w:fldChar w:fldCharType="separate"/>
            </w:r>
            <w:r>
              <w:rPr>
                <w:noProof/>
                <w:webHidden/>
              </w:rPr>
              <w:t>2</w:t>
            </w:r>
            <w:r>
              <w:rPr>
                <w:noProof/>
                <w:webHidden/>
              </w:rPr>
              <w:fldChar w:fldCharType="end"/>
            </w:r>
          </w:hyperlink>
        </w:p>
        <w:p w14:paraId="403145D7" w14:textId="0D52F885"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0" w:history="1">
            <w:r w:rsidRPr="00F730BC">
              <w:rPr>
                <w:rStyle w:val="Hyperlink"/>
                <w:noProof/>
              </w:rPr>
              <w:t>Objective</w:t>
            </w:r>
            <w:r>
              <w:rPr>
                <w:noProof/>
                <w:webHidden/>
              </w:rPr>
              <w:tab/>
            </w:r>
            <w:r>
              <w:rPr>
                <w:noProof/>
                <w:webHidden/>
              </w:rPr>
              <w:fldChar w:fldCharType="begin"/>
            </w:r>
            <w:r>
              <w:rPr>
                <w:noProof/>
                <w:webHidden/>
              </w:rPr>
              <w:instrText xml:space="preserve"> PAGEREF _Toc242864660 \h </w:instrText>
            </w:r>
            <w:r>
              <w:rPr>
                <w:noProof/>
                <w:webHidden/>
              </w:rPr>
            </w:r>
            <w:r>
              <w:rPr>
                <w:noProof/>
                <w:webHidden/>
              </w:rPr>
              <w:fldChar w:fldCharType="separate"/>
            </w:r>
            <w:r>
              <w:rPr>
                <w:noProof/>
                <w:webHidden/>
              </w:rPr>
              <w:t>4</w:t>
            </w:r>
            <w:r>
              <w:rPr>
                <w:noProof/>
                <w:webHidden/>
              </w:rPr>
              <w:fldChar w:fldCharType="end"/>
            </w:r>
          </w:hyperlink>
        </w:p>
        <w:p w14:paraId="3D5115FB" w14:textId="0D9B6D40"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1" w:history="1">
            <w:r w:rsidRPr="00F730BC">
              <w:rPr>
                <w:rStyle w:val="Hyperlink"/>
                <w:noProof/>
              </w:rPr>
              <w:t>Study Area</w:t>
            </w:r>
            <w:r>
              <w:rPr>
                <w:noProof/>
                <w:webHidden/>
              </w:rPr>
              <w:tab/>
            </w:r>
            <w:r>
              <w:rPr>
                <w:noProof/>
                <w:webHidden/>
              </w:rPr>
              <w:fldChar w:fldCharType="begin"/>
            </w:r>
            <w:r>
              <w:rPr>
                <w:noProof/>
                <w:webHidden/>
              </w:rPr>
              <w:instrText xml:space="preserve"> PAGEREF _Toc242864661 \h </w:instrText>
            </w:r>
            <w:r>
              <w:rPr>
                <w:noProof/>
                <w:webHidden/>
              </w:rPr>
            </w:r>
            <w:r>
              <w:rPr>
                <w:noProof/>
                <w:webHidden/>
              </w:rPr>
              <w:fldChar w:fldCharType="separate"/>
            </w:r>
            <w:r>
              <w:rPr>
                <w:noProof/>
                <w:webHidden/>
              </w:rPr>
              <w:t>5</w:t>
            </w:r>
            <w:r>
              <w:rPr>
                <w:noProof/>
                <w:webHidden/>
              </w:rPr>
              <w:fldChar w:fldCharType="end"/>
            </w:r>
          </w:hyperlink>
        </w:p>
        <w:p w14:paraId="6AC525F5" w14:textId="00F8FCAE"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2" w:history="1">
            <w:r w:rsidRPr="00F730BC">
              <w:rPr>
                <w:rStyle w:val="Hyperlink"/>
                <w:noProof/>
              </w:rPr>
              <w:t>Methods</w:t>
            </w:r>
            <w:r>
              <w:rPr>
                <w:noProof/>
                <w:webHidden/>
              </w:rPr>
              <w:tab/>
            </w:r>
            <w:r>
              <w:rPr>
                <w:noProof/>
                <w:webHidden/>
              </w:rPr>
              <w:fldChar w:fldCharType="begin"/>
            </w:r>
            <w:r>
              <w:rPr>
                <w:noProof/>
                <w:webHidden/>
              </w:rPr>
              <w:instrText xml:space="preserve"> PAGEREF _Toc242864662 \h </w:instrText>
            </w:r>
            <w:r>
              <w:rPr>
                <w:noProof/>
                <w:webHidden/>
              </w:rPr>
            </w:r>
            <w:r>
              <w:rPr>
                <w:noProof/>
                <w:webHidden/>
              </w:rPr>
              <w:fldChar w:fldCharType="separate"/>
            </w:r>
            <w:r>
              <w:rPr>
                <w:noProof/>
                <w:webHidden/>
              </w:rPr>
              <w:t>5</w:t>
            </w:r>
            <w:r>
              <w:rPr>
                <w:noProof/>
                <w:webHidden/>
              </w:rPr>
              <w:fldChar w:fldCharType="end"/>
            </w:r>
          </w:hyperlink>
        </w:p>
        <w:p w14:paraId="284E17CC" w14:textId="52F17E32"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3" w:history="1">
            <w:r w:rsidRPr="00F730BC">
              <w:rPr>
                <w:rStyle w:val="Hyperlink"/>
                <w:noProof/>
              </w:rPr>
              <w:t>Data</w:t>
            </w:r>
            <w:r>
              <w:rPr>
                <w:noProof/>
                <w:webHidden/>
              </w:rPr>
              <w:tab/>
            </w:r>
            <w:r>
              <w:rPr>
                <w:noProof/>
                <w:webHidden/>
              </w:rPr>
              <w:fldChar w:fldCharType="begin"/>
            </w:r>
            <w:r>
              <w:rPr>
                <w:noProof/>
                <w:webHidden/>
              </w:rPr>
              <w:instrText xml:space="preserve"> PAGEREF _Toc242864663 \h </w:instrText>
            </w:r>
            <w:r>
              <w:rPr>
                <w:noProof/>
                <w:webHidden/>
              </w:rPr>
            </w:r>
            <w:r>
              <w:rPr>
                <w:noProof/>
                <w:webHidden/>
              </w:rPr>
              <w:fldChar w:fldCharType="separate"/>
            </w:r>
            <w:r>
              <w:rPr>
                <w:noProof/>
                <w:webHidden/>
              </w:rPr>
              <w:t>5</w:t>
            </w:r>
            <w:r>
              <w:rPr>
                <w:noProof/>
                <w:webHidden/>
              </w:rPr>
              <w:fldChar w:fldCharType="end"/>
            </w:r>
          </w:hyperlink>
        </w:p>
        <w:p w14:paraId="56F3C73F" w14:textId="64A6C110"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4" w:history="1">
            <w:r w:rsidRPr="00F730BC">
              <w:rPr>
                <w:rStyle w:val="Hyperlink"/>
                <w:noProof/>
              </w:rPr>
              <w:t>Process equations</w:t>
            </w:r>
            <w:r>
              <w:rPr>
                <w:noProof/>
                <w:webHidden/>
              </w:rPr>
              <w:tab/>
            </w:r>
            <w:r>
              <w:rPr>
                <w:noProof/>
                <w:webHidden/>
              </w:rPr>
              <w:fldChar w:fldCharType="begin"/>
            </w:r>
            <w:r>
              <w:rPr>
                <w:noProof/>
                <w:webHidden/>
              </w:rPr>
              <w:instrText xml:space="preserve"> PAGEREF _Toc242864664 \h </w:instrText>
            </w:r>
            <w:r>
              <w:rPr>
                <w:noProof/>
                <w:webHidden/>
              </w:rPr>
            </w:r>
            <w:r>
              <w:rPr>
                <w:noProof/>
                <w:webHidden/>
              </w:rPr>
              <w:fldChar w:fldCharType="separate"/>
            </w:r>
            <w:r>
              <w:rPr>
                <w:noProof/>
                <w:webHidden/>
              </w:rPr>
              <w:t>8</w:t>
            </w:r>
            <w:r>
              <w:rPr>
                <w:noProof/>
                <w:webHidden/>
              </w:rPr>
              <w:fldChar w:fldCharType="end"/>
            </w:r>
          </w:hyperlink>
        </w:p>
        <w:p w14:paraId="612FA96E" w14:textId="5AC6C70A"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5" w:history="1">
            <w:r w:rsidRPr="00F730BC">
              <w:rPr>
                <w:rStyle w:val="Hyperlink"/>
                <w:noProof/>
              </w:rPr>
              <w:t>Observation equations</w:t>
            </w:r>
            <w:r>
              <w:rPr>
                <w:noProof/>
                <w:webHidden/>
              </w:rPr>
              <w:tab/>
            </w:r>
            <w:r>
              <w:rPr>
                <w:noProof/>
                <w:webHidden/>
              </w:rPr>
              <w:fldChar w:fldCharType="begin"/>
            </w:r>
            <w:r>
              <w:rPr>
                <w:noProof/>
                <w:webHidden/>
              </w:rPr>
              <w:instrText xml:space="preserve"> PAGEREF _Toc242864665 \h </w:instrText>
            </w:r>
            <w:r>
              <w:rPr>
                <w:noProof/>
                <w:webHidden/>
              </w:rPr>
            </w:r>
            <w:r>
              <w:rPr>
                <w:noProof/>
                <w:webHidden/>
              </w:rPr>
              <w:fldChar w:fldCharType="separate"/>
            </w:r>
            <w:r>
              <w:rPr>
                <w:noProof/>
                <w:webHidden/>
              </w:rPr>
              <w:t>17</w:t>
            </w:r>
            <w:r>
              <w:rPr>
                <w:noProof/>
                <w:webHidden/>
              </w:rPr>
              <w:fldChar w:fldCharType="end"/>
            </w:r>
          </w:hyperlink>
        </w:p>
        <w:p w14:paraId="7C83D03A" w14:textId="10F002FA"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6" w:history="1">
            <w:r w:rsidRPr="00F730BC">
              <w:rPr>
                <w:rStyle w:val="Hyperlink"/>
                <w:noProof/>
              </w:rPr>
              <w:t>Model platform and diagnostics</w:t>
            </w:r>
            <w:r>
              <w:rPr>
                <w:noProof/>
                <w:webHidden/>
              </w:rPr>
              <w:tab/>
            </w:r>
            <w:r>
              <w:rPr>
                <w:noProof/>
                <w:webHidden/>
              </w:rPr>
              <w:fldChar w:fldCharType="begin"/>
            </w:r>
            <w:r>
              <w:rPr>
                <w:noProof/>
                <w:webHidden/>
              </w:rPr>
              <w:instrText xml:space="preserve"> PAGEREF _Toc242864666 \h </w:instrText>
            </w:r>
            <w:r>
              <w:rPr>
                <w:noProof/>
                <w:webHidden/>
              </w:rPr>
            </w:r>
            <w:r>
              <w:rPr>
                <w:noProof/>
                <w:webHidden/>
              </w:rPr>
              <w:fldChar w:fldCharType="separate"/>
            </w:r>
            <w:r>
              <w:rPr>
                <w:noProof/>
                <w:webHidden/>
              </w:rPr>
              <w:t>21</w:t>
            </w:r>
            <w:r>
              <w:rPr>
                <w:noProof/>
                <w:webHidden/>
              </w:rPr>
              <w:fldChar w:fldCharType="end"/>
            </w:r>
          </w:hyperlink>
        </w:p>
        <w:p w14:paraId="67D83728" w14:textId="6B2B4143"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67" w:history="1">
            <w:r w:rsidRPr="00F730BC">
              <w:rPr>
                <w:rStyle w:val="Hyperlink"/>
                <w:noProof/>
              </w:rPr>
              <w:t>Results</w:t>
            </w:r>
            <w:r>
              <w:rPr>
                <w:noProof/>
                <w:webHidden/>
              </w:rPr>
              <w:tab/>
            </w:r>
            <w:r>
              <w:rPr>
                <w:noProof/>
                <w:webHidden/>
              </w:rPr>
              <w:fldChar w:fldCharType="begin"/>
            </w:r>
            <w:r>
              <w:rPr>
                <w:noProof/>
                <w:webHidden/>
              </w:rPr>
              <w:instrText xml:space="preserve"> PAGEREF _Toc242864667 \h </w:instrText>
            </w:r>
            <w:r>
              <w:rPr>
                <w:noProof/>
                <w:webHidden/>
              </w:rPr>
            </w:r>
            <w:r>
              <w:rPr>
                <w:noProof/>
                <w:webHidden/>
              </w:rPr>
              <w:fldChar w:fldCharType="separate"/>
            </w:r>
            <w:r>
              <w:rPr>
                <w:noProof/>
                <w:webHidden/>
              </w:rPr>
              <w:t>21</w:t>
            </w:r>
            <w:r>
              <w:rPr>
                <w:noProof/>
                <w:webHidden/>
              </w:rPr>
              <w:fldChar w:fldCharType="end"/>
            </w:r>
          </w:hyperlink>
        </w:p>
        <w:p w14:paraId="6CC8DD8F" w14:textId="6D127DBB"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8" w:history="1">
            <w:r w:rsidRPr="00F730BC">
              <w:rPr>
                <w:rStyle w:val="Hyperlink"/>
                <w:noProof/>
              </w:rPr>
              <w:t>Residual Patterns</w:t>
            </w:r>
            <w:r>
              <w:rPr>
                <w:noProof/>
                <w:webHidden/>
              </w:rPr>
              <w:tab/>
            </w:r>
            <w:r>
              <w:rPr>
                <w:noProof/>
                <w:webHidden/>
              </w:rPr>
              <w:fldChar w:fldCharType="begin"/>
            </w:r>
            <w:r>
              <w:rPr>
                <w:noProof/>
                <w:webHidden/>
              </w:rPr>
              <w:instrText xml:space="preserve"> PAGEREF _Toc242864668 \h </w:instrText>
            </w:r>
            <w:r>
              <w:rPr>
                <w:noProof/>
                <w:webHidden/>
              </w:rPr>
            </w:r>
            <w:r>
              <w:rPr>
                <w:noProof/>
                <w:webHidden/>
              </w:rPr>
              <w:fldChar w:fldCharType="separate"/>
            </w:r>
            <w:r>
              <w:rPr>
                <w:noProof/>
                <w:webHidden/>
              </w:rPr>
              <w:t>22</w:t>
            </w:r>
            <w:r>
              <w:rPr>
                <w:noProof/>
                <w:webHidden/>
              </w:rPr>
              <w:fldChar w:fldCharType="end"/>
            </w:r>
          </w:hyperlink>
        </w:p>
        <w:p w14:paraId="70E8A398" w14:textId="17A29D67"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69" w:history="1">
            <w:r w:rsidRPr="00F730BC">
              <w:rPr>
                <w:rStyle w:val="Hyperlink"/>
                <w:noProof/>
              </w:rPr>
              <w:t>Bias Estimation</w:t>
            </w:r>
            <w:r>
              <w:rPr>
                <w:noProof/>
                <w:webHidden/>
              </w:rPr>
              <w:tab/>
            </w:r>
            <w:r>
              <w:rPr>
                <w:noProof/>
                <w:webHidden/>
              </w:rPr>
              <w:fldChar w:fldCharType="begin"/>
            </w:r>
            <w:r>
              <w:rPr>
                <w:noProof/>
                <w:webHidden/>
              </w:rPr>
              <w:instrText xml:space="preserve"> PAGEREF _Toc242864669 \h </w:instrText>
            </w:r>
            <w:r>
              <w:rPr>
                <w:noProof/>
                <w:webHidden/>
              </w:rPr>
            </w:r>
            <w:r>
              <w:rPr>
                <w:noProof/>
                <w:webHidden/>
              </w:rPr>
              <w:fldChar w:fldCharType="separate"/>
            </w:r>
            <w:r>
              <w:rPr>
                <w:noProof/>
                <w:webHidden/>
              </w:rPr>
              <w:t>23</w:t>
            </w:r>
            <w:r>
              <w:rPr>
                <w:noProof/>
                <w:webHidden/>
              </w:rPr>
              <w:fldChar w:fldCharType="end"/>
            </w:r>
          </w:hyperlink>
        </w:p>
        <w:p w14:paraId="27D8E6BF" w14:textId="62BEAE34"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0" w:history="1">
            <w:r w:rsidRPr="00F730BC">
              <w:rPr>
                <w:rStyle w:val="Hyperlink"/>
                <w:noProof/>
              </w:rPr>
              <w:t>Proportion Harvested</w:t>
            </w:r>
            <w:r>
              <w:rPr>
                <w:noProof/>
                <w:webHidden/>
              </w:rPr>
              <w:tab/>
            </w:r>
            <w:r>
              <w:rPr>
                <w:noProof/>
                <w:webHidden/>
              </w:rPr>
              <w:fldChar w:fldCharType="begin"/>
            </w:r>
            <w:r>
              <w:rPr>
                <w:noProof/>
                <w:webHidden/>
              </w:rPr>
              <w:instrText xml:space="preserve"> PAGEREF _Toc242864670 \h </w:instrText>
            </w:r>
            <w:r>
              <w:rPr>
                <w:noProof/>
                <w:webHidden/>
              </w:rPr>
            </w:r>
            <w:r>
              <w:rPr>
                <w:noProof/>
                <w:webHidden/>
              </w:rPr>
              <w:fldChar w:fldCharType="separate"/>
            </w:r>
            <w:r>
              <w:rPr>
                <w:noProof/>
                <w:webHidden/>
              </w:rPr>
              <w:t>23</w:t>
            </w:r>
            <w:r>
              <w:rPr>
                <w:noProof/>
                <w:webHidden/>
              </w:rPr>
              <w:fldChar w:fldCharType="end"/>
            </w:r>
          </w:hyperlink>
        </w:p>
        <w:p w14:paraId="4718EFD9" w14:textId="25F89DE5"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1" w:history="1">
            <w:r w:rsidRPr="00F730BC">
              <w:rPr>
                <w:rStyle w:val="Hyperlink"/>
                <w:noProof/>
              </w:rPr>
              <w:t>Species Composition</w:t>
            </w:r>
            <w:r>
              <w:rPr>
                <w:noProof/>
                <w:webHidden/>
              </w:rPr>
              <w:tab/>
            </w:r>
            <w:r>
              <w:rPr>
                <w:noProof/>
                <w:webHidden/>
              </w:rPr>
              <w:fldChar w:fldCharType="begin"/>
            </w:r>
            <w:r>
              <w:rPr>
                <w:noProof/>
                <w:webHidden/>
              </w:rPr>
              <w:instrText xml:space="preserve"> PAGEREF _Toc242864671 \h </w:instrText>
            </w:r>
            <w:r>
              <w:rPr>
                <w:noProof/>
                <w:webHidden/>
              </w:rPr>
            </w:r>
            <w:r>
              <w:rPr>
                <w:noProof/>
                <w:webHidden/>
              </w:rPr>
              <w:fldChar w:fldCharType="separate"/>
            </w:r>
            <w:r>
              <w:rPr>
                <w:noProof/>
                <w:webHidden/>
              </w:rPr>
              <w:t>24</w:t>
            </w:r>
            <w:r>
              <w:rPr>
                <w:noProof/>
                <w:webHidden/>
              </w:rPr>
              <w:fldChar w:fldCharType="end"/>
            </w:r>
          </w:hyperlink>
        </w:p>
        <w:p w14:paraId="22B63618" w14:textId="78D77DC9"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2" w:history="1">
            <w:r w:rsidRPr="00F730BC">
              <w:rPr>
                <w:rStyle w:val="Hyperlink"/>
                <w:noProof/>
              </w:rPr>
              <w:t>Proportion Guided</w:t>
            </w:r>
            <w:r>
              <w:rPr>
                <w:noProof/>
                <w:webHidden/>
              </w:rPr>
              <w:tab/>
            </w:r>
            <w:r>
              <w:rPr>
                <w:noProof/>
                <w:webHidden/>
              </w:rPr>
              <w:fldChar w:fldCharType="begin"/>
            </w:r>
            <w:r>
              <w:rPr>
                <w:noProof/>
                <w:webHidden/>
              </w:rPr>
              <w:instrText xml:space="preserve"> PAGEREF _Toc242864672 \h </w:instrText>
            </w:r>
            <w:r>
              <w:rPr>
                <w:noProof/>
                <w:webHidden/>
              </w:rPr>
            </w:r>
            <w:r>
              <w:rPr>
                <w:noProof/>
                <w:webHidden/>
              </w:rPr>
              <w:fldChar w:fldCharType="separate"/>
            </w:r>
            <w:r>
              <w:rPr>
                <w:noProof/>
                <w:webHidden/>
              </w:rPr>
              <w:t>25</w:t>
            </w:r>
            <w:r>
              <w:rPr>
                <w:noProof/>
                <w:webHidden/>
              </w:rPr>
              <w:fldChar w:fldCharType="end"/>
            </w:r>
          </w:hyperlink>
        </w:p>
        <w:p w14:paraId="4345FD87" w14:textId="198F1E95"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3" w:history="1">
            <w:r w:rsidRPr="00F730BC">
              <w:rPr>
                <w:rStyle w:val="Hyperlink"/>
                <w:noProof/>
              </w:rPr>
              <w:t>Weight</w:t>
            </w:r>
            <w:r>
              <w:rPr>
                <w:noProof/>
                <w:webHidden/>
              </w:rPr>
              <w:tab/>
            </w:r>
            <w:r>
              <w:rPr>
                <w:noProof/>
                <w:webHidden/>
              </w:rPr>
              <w:fldChar w:fldCharType="begin"/>
            </w:r>
            <w:r>
              <w:rPr>
                <w:noProof/>
                <w:webHidden/>
              </w:rPr>
              <w:instrText xml:space="preserve"> PAGEREF _Toc242864673 \h </w:instrText>
            </w:r>
            <w:r>
              <w:rPr>
                <w:noProof/>
                <w:webHidden/>
              </w:rPr>
            </w:r>
            <w:r>
              <w:rPr>
                <w:noProof/>
                <w:webHidden/>
              </w:rPr>
              <w:fldChar w:fldCharType="separate"/>
            </w:r>
            <w:r>
              <w:rPr>
                <w:noProof/>
                <w:webHidden/>
              </w:rPr>
              <w:t>26</w:t>
            </w:r>
            <w:r>
              <w:rPr>
                <w:noProof/>
                <w:webHidden/>
              </w:rPr>
              <w:fldChar w:fldCharType="end"/>
            </w:r>
          </w:hyperlink>
        </w:p>
        <w:p w14:paraId="6F1BF078" w14:textId="45AE6D84"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4" w:history="1">
            <w:r w:rsidRPr="00F730BC">
              <w:rPr>
                <w:rStyle w:val="Hyperlink"/>
                <w:noProof/>
              </w:rPr>
              <w:t>Harvest, Release and Total Removal Estimates</w:t>
            </w:r>
            <w:r>
              <w:rPr>
                <w:noProof/>
                <w:webHidden/>
              </w:rPr>
              <w:tab/>
            </w:r>
            <w:r>
              <w:rPr>
                <w:noProof/>
                <w:webHidden/>
              </w:rPr>
              <w:fldChar w:fldCharType="begin"/>
            </w:r>
            <w:r>
              <w:rPr>
                <w:noProof/>
                <w:webHidden/>
              </w:rPr>
              <w:instrText xml:space="preserve"> PAGEREF _Toc242864674 \h </w:instrText>
            </w:r>
            <w:r>
              <w:rPr>
                <w:noProof/>
                <w:webHidden/>
              </w:rPr>
            </w:r>
            <w:r>
              <w:rPr>
                <w:noProof/>
                <w:webHidden/>
              </w:rPr>
              <w:fldChar w:fldCharType="separate"/>
            </w:r>
            <w:r>
              <w:rPr>
                <w:noProof/>
                <w:webHidden/>
              </w:rPr>
              <w:t>26</w:t>
            </w:r>
            <w:r>
              <w:rPr>
                <w:noProof/>
                <w:webHidden/>
              </w:rPr>
              <w:fldChar w:fldCharType="end"/>
            </w:r>
          </w:hyperlink>
        </w:p>
        <w:p w14:paraId="1DE50FED" w14:textId="1DCB4A3F"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75" w:history="1">
            <w:r w:rsidRPr="00F730BC">
              <w:rPr>
                <w:rStyle w:val="Hyperlink"/>
                <w:noProof/>
              </w:rPr>
              <w:t>Discussion</w:t>
            </w:r>
            <w:r>
              <w:rPr>
                <w:noProof/>
                <w:webHidden/>
              </w:rPr>
              <w:tab/>
            </w:r>
            <w:r>
              <w:rPr>
                <w:noProof/>
                <w:webHidden/>
              </w:rPr>
              <w:fldChar w:fldCharType="begin"/>
            </w:r>
            <w:r>
              <w:rPr>
                <w:noProof/>
                <w:webHidden/>
              </w:rPr>
              <w:instrText xml:space="preserve"> PAGEREF _Toc242864675 \h </w:instrText>
            </w:r>
            <w:r>
              <w:rPr>
                <w:noProof/>
                <w:webHidden/>
              </w:rPr>
            </w:r>
            <w:r>
              <w:rPr>
                <w:noProof/>
                <w:webHidden/>
              </w:rPr>
              <w:fldChar w:fldCharType="separate"/>
            </w:r>
            <w:r>
              <w:rPr>
                <w:noProof/>
                <w:webHidden/>
              </w:rPr>
              <w:t>28</w:t>
            </w:r>
            <w:r>
              <w:rPr>
                <w:noProof/>
                <w:webHidden/>
              </w:rPr>
              <w:fldChar w:fldCharType="end"/>
            </w:r>
          </w:hyperlink>
        </w:p>
        <w:p w14:paraId="77A0B2F6" w14:textId="6FB681AC" w:rsidR="00A81E19" w:rsidRDefault="00A81E19">
          <w:pPr>
            <w:pStyle w:val="TOC2"/>
            <w:rPr>
              <w:rFonts w:asciiTheme="minorHAnsi" w:eastAsiaTheme="minorEastAsia" w:hAnsiTheme="minorHAnsi" w:cstheme="minorBidi"/>
              <w:noProof/>
              <w:kern w:val="2"/>
              <w:sz w:val="24"/>
              <w:szCs w:val="24"/>
              <w14:ligatures w14:val="standardContextual"/>
            </w:rPr>
          </w:pPr>
          <w:hyperlink w:anchor="_Toc242864676" w:history="1">
            <w:r w:rsidRPr="00F730BC">
              <w:rPr>
                <w:rStyle w:val="Hyperlink"/>
                <w:noProof/>
              </w:rPr>
              <w:t>Conclusions and Recommendations</w:t>
            </w:r>
            <w:r>
              <w:rPr>
                <w:noProof/>
                <w:webHidden/>
              </w:rPr>
              <w:tab/>
            </w:r>
            <w:r>
              <w:rPr>
                <w:noProof/>
                <w:webHidden/>
              </w:rPr>
              <w:fldChar w:fldCharType="begin"/>
            </w:r>
            <w:r>
              <w:rPr>
                <w:noProof/>
                <w:webHidden/>
              </w:rPr>
              <w:instrText xml:space="preserve"> PAGEREF _Toc242864676 \h </w:instrText>
            </w:r>
            <w:r>
              <w:rPr>
                <w:noProof/>
                <w:webHidden/>
              </w:rPr>
            </w:r>
            <w:r>
              <w:rPr>
                <w:noProof/>
                <w:webHidden/>
              </w:rPr>
              <w:fldChar w:fldCharType="separate"/>
            </w:r>
            <w:r>
              <w:rPr>
                <w:noProof/>
                <w:webHidden/>
              </w:rPr>
              <w:t>31</w:t>
            </w:r>
            <w:r>
              <w:rPr>
                <w:noProof/>
                <w:webHidden/>
              </w:rPr>
              <w:fldChar w:fldCharType="end"/>
            </w:r>
          </w:hyperlink>
        </w:p>
        <w:p w14:paraId="6AFE8C96" w14:textId="6BEFEB45"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77" w:history="1">
            <w:r w:rsidRPr="00F730BC">
              <w:rPr>
                <w:rStyle w:val="Hyperlink"/>
                <w:noProof/>
              </w:rPr>
              <w:t>Acknowledgments</w:t>
            </w:r>
            <w:r>
              <w:rPr>
                <w:noProof/>
                <w:webHidden/>
              </w:rPr>
              <w:tab/>
            </w:r>
            <w:r>
              <w:rPr>
                <w:noProof/>
                <w:webHidden/>
              </w:rPr>
              <w:fldChar w:fldCharType="begin"/>
            </w:r>
            <w:r>
              <w:rPr>
                <w:noProof/>
                <w:webHidden/>
              </w:rPr>
              <w:instrText xml:space="preserve"> PAGEREF _Toc242864677 \h </w:instrText>
            </w:r>
            <w:r>
              <w:rPr>
                <w:noProof/>
                <w:webHidden/>
              </w:rPr>
            </w:r>
            <w:r>
              <w:rPr>
                <w:noProof/>
                <w:webHidden/>
              </w:rPr>
              <w:fldChar w:fldCharType="separate"/>
            </w:r>
            <w:r>
              <w:rPr>
                <w:noProof/>
                <w:webHidden/>
              </w:rPr>
              <w:t>32</w:t>
            </w:r>
            <w:r>
              <w:rPr>
                <w:noProof/>
                <w:webHidden/>
              </w:rPr>
              <w:fldChar w:fldCharType="end"/>
            </w:r>
          </w:hyperlink>
        </w:p>
        <w:p w14:paraId="42645532" w14:textId="1A6F1407" w:rsidR="00A81E19" w:rsidRDefault="00A81E19">
          <w:pPr>
            <w:pStyle w:val="TOC1"/>
            <w:rPr>
              <w:rFonts w:asciiTheme="minorHAnsi" w:eastAsiaTheme="minorEastAsia" w:hAnsiTheme="minorHAnsi" w:cstheme="minorBidi"/>
              <w:caps w:val="0"/>
              <w:noProof/>
              <w:kern w:val="2"/>
              <w:sz w:val="24"/>
              <w:szCs w:val="24"/>
              <w14:ligatures w14:val="standardContextual"/>
            </w:rPr>
          </w:pPr>
          <w:hyperlink w:anchor="_Toc242864678" w:history="1">
            <w:r w:rsidRPr="00F730BC">
              <w:rPr>
                <w:rStyle w:val="Hyperlink"/>
                <w:noProof/>
              </w:rPr>
              <w:t>Literature Cited</w:t>
            </w:r>
            <w:r>
              <w:rPr>
                <w:noProof/>
                <w:webHidden/>
              </w:rPr>
              <w:tab/>
            </w:r>
            <w:r>
              <w:rPr>
                <w:noProof/>
                <w:webHidden/>
              </w:rPr>
              <w:fldChar w:fldCharType="begin"/>
            </w:r>
            <w:r>
              <w:rPr>
                <w:noProof/>
                <w:webHidden/>
              </w:rPr>
              <w:instrText xml:space="preserve"> PAGEREF _Toc242864678 \h </w:instrText>
            </w:r>
            <w:r>
              <w:rPr>
                <w:noProof/>
                <w:webHidden/>
              </w:rPr>
            </w:r>
            <w:r>
              <w:rPr>
                <w:noProof/>
                <w:webHidden/>
              </w:rPr>
              <w:fldChar w:fldCharType="separate"/>
            </w:r>
            <w:r>
              <w:rPr>
                <w:noProof/>
                <w:webHidden/>
              </w:rPr>
              <w:t>33</w:t>
            </w:r>
            <w:r>
              <w:rPr>
                <w:noProof/>
                <w:webHidden/>
              </w:rPr>
              <w:fldChar w:fldCharType="end"/>
            </w:r>
          </w:hyperlink>
        </w:p>
        <w:p w14:paraId="4DA72A33" w14:textId="1E253F00" w:rsidR="007E79DA" w:rsidRDefault="00000000">
          <w:r>
            <w:fldChar w:fldCharType="end"/>
          </w:r>
        </w:p>
      </w:sdtContent>
    </w:sdt>
    <w:p w14:paraId="210AC204" w14:textId="77777777" w:rsidR="007E79DA" w:rsidRDefault="00000000">
      <w:r>
        <w:br w:type="page"/>
      </w:r>
    </w:p>
    <w:p w14:paraId="34C1E4FA" w14:textId="77777777" w:rsidR="007E79DA" w:rsidRDefault="00000000">
      <w:pPr>
        <w:pStyle w:val="Heading1"/>
      </w:pPr>
      <w:bookmarkStart w:id="0" w:name="abstract"/>
      <w:bookmarkStart w:id="1" w:name="_Toc242864658"/>
      <w:r>
        <w:lastRenderedPageBreak/>
        <w:t>Abstract</w:t>
      </w:r>
      <w:bookmarkEnd w:id="1"/>
    </w:p>
    <w:p w14:paraId="0D7A1647" w14:textId="77777777" w:rsidR="007E79DA" w:rsidRDefault="00000000">
      <w:pPr>
        <w:pStyle w:val="FirstParagraph"/>
      </w:pPr>
      <w:r>
        <w:t>Fishery stock assessments require defensible estimates of total extractions (commercial, sport, subsistence, personal use, and bycatch) throughout the history of exploitation and at appropriate spatial scales for management. This study provides updated methods and estimates of total sport harvest and releases for black (</w:t>
      </w:r>
      <w:r>
        <w:rPr>
          <w:i/>
          <w:iCs/>
        </w:rPr>
        <w:t>Sebastes melanops</w:t>
      </w:r>
      <w:r>
        <w:t>) and yelloweye rockfishes (</w:t>
      </w:r>
      <w:r>
        <w:rPr>
          <w:i/>
          <w:iCs/>
        </w:rPr>
        <w:t>S. ruberrimus</w:t>
      </w:r>
      <w:r>
        <w:t>) as well as demersal shelf (DSR), slope, and non-black pelagic rockfish complexes in Southeast Alaska,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relationship between sport and commercial fishery management units and provided estimates between 1999 and today. The Bayesian methods used here allow for estimation from 1977 through today, corrects some flawed assumptions that were necessary in the original Howard methodology, incorporates portside interview data, and provides a unified, reproducible and hierarchical approach to estimating sport fishing mortalities. Guide logbooks have provided a census of guided sport harvest and releases beginning in 1998 and the Alaska Sport Fishing Survey (referred to as the statewide harvest survey or SWHS) has provided estimates of rockfish harvests since 1977. Port sampling data has provided biological data on length, weight, sex and age compositions of the harvest, estimates of species composition in the harvest, and interview data on angler retention behavior. The Bayesian model calculates harvests very similar to the methods used in Howard et al. (2020) but differs in its approach to estimating unguided harvest and release numbers. Bias in the SWHS harvest and release numbers are quantified and corrected, and the model applies a hierarchical approach to share information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The new model provides a unified approach to quantifying rockfish removals going forward and these methods are recommended for use in stock assessments.</w:t>
      </w:r>
    </w:p>
    <w:p w14:paraId="1FB551E6" w14:textId="77777777" w:rsidR="007E79DA"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0A13AF90" w14:textId="77777777" w:rsidR="007E79DA" w:rsidRDefault="00000000">
      <w:pPr>
        <w:pStyle w:val="Heading1"/>
      </w:pPr>
      <w:bookmarkStart w:id="2" w:name="introduction"/>
      <w:bookmarkStart w:id="3" w:name="_Toc242864659"/>
      <w:bookmarkEnd w:id="0"/>
      <w:r>
        <w:t>Introduction</w:t>
      </w:r>
      <w:bookmarkEnd w:id="3"/>
    </w:p>
    <w:p w14:paraId="3042D3F9" w14:textId="77777777" w:rsidR="007E79DA"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0ECAB4D4" w14:textId="77777777" w:rsidR="007E79DA" w:rsidRDefault="00000000">
      <w:pPr>
        <w:pStyle w:val="BodyText"/>
      </w:pPr>
      <w:r>
        <w:t xml:space="preserve">Sport fishery harvests are measured through a variety of programs, primarily the Alaska Sport Fishing Survey (commonly known as the statewide harvest survey or SWHS), the saltwater guide </w:t>
      </w:r>
      <w:r>
        <w:lastRenderedPageBreak/>
        <w:t>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specified in Howard et al. (2020).</w:t>
      </w:r>
    </w:p>
    <w:p w14:paraId="1187D36E" w14:textId="77777777" w:rsidR="007E79DA" w:rsidRDefault="00000000">
      <w:pPr>
        <w:pStyle w:val="BodyText"/>
      </w:pPr>
      <w:r>
        <w:t>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of pelagic and nonpelagic rockfish species assemblages and, since 2006, yelloweye rockfishes. The logbook program also provides information on the statistical area where fishing occurred.</w:t>
      </w:r>
    </w:p>
    <w:p w14:paraId="22C6CF19" w14:textId="77777777" w:rsidR="007E79DA" w:rsidRDefault="00000000">
      <w:pPr>
        <w:pStyle w:val="BodyText"/>
      </w:pPr>
      <w:r>
        <w:t>Sport harvest port sampling programs provide information on biological characteristics of the harvest, including species composition and angler retention behavior (McKean and Ford 2025; Richards et al. 2025). Port sampling programs vary regionally in their design, history, and information collected. Port sampling data is used to apportion harvests and releases by species in guided and unguided trips and provide length and weight data in addition to collecting other biological data including sex and age sampling.</w:t>
      </w:r>
    </w:p>
    <w:p w14:paraId="4003A509" w14:textId="77777777" w:rsidR="007E79DA"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66DF1186" w14:textId="77777777" w:rsidR="007E79DA" w:rsidRDefault="00000000">
      <w:pPr>
        <w:pStyle w:val="BodyText"/>
      </w:pPr>
      <w:r>
        <w:t>Yelloweye and black rockfish removal estimation methods were originally developed by Howard et al. (2020; hereafter referred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estimates. This approach was both novel and critical in providing harvest and release estimates for managers to understand the magnitude of the catch and provide for accurate stock assessments.</w:t>
      </w:r>
    </w:p>
    <w:p w14:paraId="16B037EB" w14:textId="77777777" w:rsidR="007E79DA"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even though rockfish have been harvested by sport anglers since at least the 1960s. The Howard methods also rely on a “decision tree” approach to deal with missing data and inadequate sample sizes by using long term averages or proxy values from neighboring management areas or user groups. Furthermore, while the Howard methods address bias in the SWHS data, it is not implicitly estimated or corrected. In particular, the estimation of unguided harvests and releases relies on an expansion of logbook data based on the guided:unguided ratio in the SWHS estimates for all rockfish combined, regardless of species or species complex.</w:t>
      </w:r>
    </w:p>
    <w:p w14:paraId="015DFDFA" w14:textId="77777777" w:rsidR="007E79DA" w:rsidRDefault="00000000">
      <w:pPr>
        <w:pStyle w:val="BodyText"/>
      </w:pPr>
      <w:r>
        <w:lastRenderedPageBreak/>
        <w:t>The methods presented here build on the foundational Howard methods by applying an integrated Bayesian approach to expand the harvest and release time series back to 1977 when the SWHS was first implemented. The Bayesian model also makes improvements on the Howard methods by estimating and correcting bias in the SWHS harvest and release data, incorporating portside interview data, allowing release probabilities to vary by species / species assemblage, and replaces the decision tree approach with a hierarchical model that more accurately, consistently, and efficiently shares information between areas within regions and over time (Table 1 HOWARD_VS_BAYES).</w:t>
      </w:r>
    </w:p>
    <w:p w14:paraId="0DE51DDD" w14:textId="77777777" w:rsidR="007E79DA" w:rsidRDefault="00000000">
      <w:pPr>
        <w:pStyle w:val="BodyText"/>
      </w:pPr>
      <w:r>
        <w:t>To generate estimates prior to 1999 the Bayesian model estimates trends in species proportions and harvest/release probability to project backwards in time. Furthermore, the model’s hierarchical structure allows information on these trends, as well as overall harvest trends, to be shared among management areas within the three main regions (Southeast, Southcentral and Kodiak) without reliance on proxy values while more effectively propagating error throughout the process. These methods also incorporate port sampling interview data to better estimate fish releases which were not utilized in the Howard methods. The model incorporates fish weight and release mortality probabilities (Jarvis and Lowe 2008; Hochhalter and Reed 2011; Blain and Sutton 2016; Blain-Roth and Sutton 2019) directly into the model so that previously unpublished biomass-based estimates can also be produced consistently with proper documentation.</w:t>
      </w:r>
    </w:p>
    <w:p w14:paraId="29B76A0D" w14:textId="77777777" w:rsidR="007E79DA" w:rsidRDefault="00000000">
      <w:pPr>
        <w:pStyle w:val="BodyText"/>
      </w:pPr>
      <w:r>
        <w:t>These methods provide a more streamlined and reproducible approach to deriving rockfish removal estimates than has been previously available to the department. Previously, staff with Research and Technical Services (RTS) produced estimates of harvests and releases in numbers using the Howard methods after which those numbers were passed to regional staff for calculating release mortality and biomass estimates. This process has been inefficient, inconsistent between regions, lacked proper documentation and introduced opportunities for human error. This new approach provides the opportunity to produce these calculations in a consistent, published, and reproducible format.</w:t>
      </w:r>
    </w:p>
    <w:p w14:paraId="7C6C2DA1" w14:textId="77777777" w:rsidR="007E79DA" w:rsidRDefault="00000000">
      <w:pPr>
        <w:pStyle w:val="Heading1"/>
      </w:pPr>
      <w:bookmarkStart w:id="4" w:name="objective"/>
      <w:bookmarkStart w:id="5" w:name="_Toc242864660"/>
      <w:bookmarkEnd w:id="2"/>
      <w:r>
        <w:t>Objective</w:t>
      </w:r>
      <w:bookmarkEnd w:id="5"/>
    </w:p>
    <w:p w14:paraId="5D1F64D2" w14:textId="77777777" w:rsidR="007E79DA" w:rsidRDefault="00000000">
      <w:pPr>
        <w:numPr>
          <w:ilvl w:val="0"/>
          <w:numId w:val="28"/>
        </w:numPr>
      </w:pPr>
      <w:r>
        <w:t>Estimate annual sport harvests, releases and total removals in biomass of rockfishes in Gulf of Alaska CFMUs from 1977 – 2025. Estimates are for the following species / complexes in the following regions:</w:t>
      </w:r>
    </w:p>
    <w:p w14:paraId="186BC11B" w14:textId="77777777" w:rsidR="007E79DA" w:rsidRDefault="00000000">
      <w:pPr>
        <w:pStyle w:val="Compact"/>
        <w:numPr>
          <w:ilvl w:val="1"/>
          <w:numId w:val="29"/>
        </w:numPr>
      </w:pPr>
      <w:r>
        <w:t>black rockfish (all regions)</w:t>
      </w:r>
    </w:p>
    <w:p w14:paraId="78DBE31A" w14:textId="77777777" w:rsidR="007E79DA" w:rsidRDefault="00000000">
      <w:pPr>
        <w:pStyle w:val="Compact"/>
        <w:numPr>
          <w:ilvl w:val="1"/>
          <w:numId w:val="29"/>
        </w:numPr>
      </w:pPr>
      <w:r>
        <w:t>yelloweye rockfish (all regions)</w:t>
      </w:r>
    </w:p>
    <w:p w14:paraId="26A4426D" w14:textId="77777777" w:rsidR="007E79DA"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06950B52" w14:textId="77777777" w:rsidR="007E79DA"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1EDFF35A" w14:textId="77777777" w:rsidR="007E79DA"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vermillion </w:t>
      </w:r>
      <w:r>
        <w:rPr>
          <w:i/>
          <w:iCs/>
        </w:rPr>
        <w:t>S. miniatus</w:t>
      </w:r>
      <w:r>
        <w:t xml:space="preserve">, and bocaccio </w:t>
      </w:r>
      <w:r>
        <w:rPr>
          <w:i/>
          <w:iCs/>
        </w:rPr>
        <w:t>S. pauciscpinis</w:t>
      </w:r>
      <w:r>
        <w:t xml:space="preserve"> rockfish); Southeast only.</w:t>
      </w:r>
    </w:p>
    <w:p w14:paraId="10877DC5" w14:textId="77777777" w:rsidR="007E79DA" w:rsidRDefault="00000000">
      <w:pPr>
        <w:pStyle w:val="Heading1"/>
      </w:pPr>
      <w:bookmarkStart w:id="6" w:name="study-area"/>
      <w:bookmarkStart w:id="7" w:name="_Toc242864661"/>
      <w:bookmarkEnd w:id="4"/>
      <w:r>
        <w:lastRenderedPageBreak/>
        <w:t>Study Area</w:t>
      </w:r>
      <w:bookmarkEnd w:id="7"/>
    </w:p>
    <w:p w14:paraId="38F09947" w14:textId="77777777" w:rsidR="007E79DA"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013500CE" w14:textId="77777777" w:rsidR="007E79DA"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696C814D" w14:textId="77777777" w:rsidR="007E79DA" w:rsidRDefault="00000000">
      <w:pPr>
        <w:pStyle w:val="Heading1"/>
      </w:pPr>
      <w:bookmarkStart w:id="8" w:name="methods"/>
      <w:bookmarkStart w:id="9" w:name="_Toc242864662"/>
      <w:bookmarkEnd w:id="6"/>
      <w:r>
        <w:t>Methods</w:t>
      </w:r>
      <w:bookmarkEnd w:id="9"/>
    </w:p>
    <w:p w14:paraId="02A95619" w14:textId="77777777" w:rsidR="007E79DA" w:rsidRDefault="00000000">
      <w:pPr>
        <w:pStyle w:val="Heading2"/>
      </w:pPr>
      <w:bookmarkStart w:id="10" w:name="data"/>
      <w:bookmarkStart w:id="11" w:name="_Toc242864663"/>
      <w:r>
        <w:t>Data</w:t>
      </w:r>
      <w:bookmarkEnd w:id="11"/>
    </w:p>
    <w:p w14:paraId="3558A3F9" w14:textId="77777777" w:rsidR="007E79DA" w:rsidRDefault="00000000">
      <w:pPr>
        <w:pStyle w:val="Heading4"/>
      </w:pPr>
      <w:bookmarkStart w:id="12" w:name="logbook-data"/>
      <w:r>
        <w:t>Logbook Data</w:t>
      </w:r>
    </w:p>
    <w:p w14:paraId="2497455A" w14:textId="77777777" w:rsidR="007E79DA" w:rsidRDefault="00000000">
      <w:pPr>
        <w:pStyle w:val="FirstParagraph"/>
      </w:pPr>
      <w:r>
        <w:t>The department’s charter logbook program provides data on guided sport fishing in state waters in a similar manner to how fish tickets are used in commercial fisheries. Sport fishing guides have been required to report their harvest of rockfish since 1998 and releases since 1999 as part of the charter logbook program. Reported harvest and releases are also available by assemblage (pelagic vs. non-pelagic) for the entirety of the program while harvest and release of yelloweye and “other” (non-pelagic, non-yelloweye) rockfish have been reported separately since 2006. Logbook data is treated as a census of the true catch and release of rockfish in these categories.</w:t>
      </w:r>
    </w:p>
    <w:p w14:paraId="5A4C5985" w14:textId="77777777" w:rsidR="007E79DA" w:rsidRDefault="00000000">
      <w:pPr>
        <w:pStyle w:val="Heading4"/>
      </w:pPr>
      <w:bookmarkStart w:id="13" w:name="statewide-harvest-survey-data"/>
      <w:bookmarkEnd w:id="12"/>
      <w:r>
        <w:t>Statewide Harvest Survey Data</w:t>
      </w:r>
    </w:p>
    <w:p w14:paraId="3E133CA0" w14:textId="77777777" w:rsidR="007E79DA" w:rsidRDefault="00000000">
      <w:pPr>
        <w:pStyle w:val="FirstParagraph"/>
      </w:pPr>
      <w:r>
        <w:t>Statewide harvest survey estimates of total rockfish (all species combined) catch and harvest have been available since 1996 for all users and have been broken down by guided and unguided trips since 2011 (Figure 5 DATA_SOURCES). Additionally, there are overall harvest estimates from 1977 - 1995 and release estimates from 1990 - 1995 that required partitioning into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0309A2E4" w14:textId="77777777" w:rsidR="007E79DA" w:rsidRDefault="00000000">
      <w:pPr>
        <w:pStyle w:val="BodyText"/>
      </w:pPr>
      <w:r>
        <w:t>SWHS Rockfish release estimates are inferred from the difference between catch and harvest estimates. SWHS release estimates were assumed equal to the total catch minus the harvest and the standard deviation of the releases was derived from the standard deviation of the harvest and catch estimates such that</w:t>
      </w:r>
    </w:p>
    <w:p w14:paraId="23BAB35C" w14:textId="77777777" w:rsidR="007E79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4C7FA28C" w14:textId="77777777" w:rsidR="007E79DA"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 in combination with other data sources, including portside interview data.</w:t>
      </w:r>
    </w:p>
    <w:p w14:paraId="578BA256" w14:textId="77777777" w:rsidR="007E79DA" w:rsidRDefault="00000000">
      <w:pPr>
        <w:pStyle w:val="Heading4"/>
      </w:pPr>
      <w:bookmarkStart w:id="14" w:name="port-sampling-data"/>
      <w:bookmarkEnd w:id="13"/>
      <w:r>
        <w:t>Port Sampling Data</w:t>
      </w:r>
    </w:p>
    <w:p w14:paraId="22DF900A" w14:textId="77777777" w:rsidR="007E79DA" w:rsidRDefault="00000000">
      <w:pPr>
        <w:pStyle w:val="FirstParagraph"/>
      </w:pPr>
      <w:r>
        <w:t>The department’s port sampling program provides data on the species composition of the catch, biological data on individual fish that includes length, weight, sex, and otolith samples (for aging), and interview data on the relative number of fish harvested and released, all stratified by user group (unguided/private or guided/charter). In Southcentral and Kodiak regions port sampling also collects data on the depth of capture and release and weather a deepwater release mechanism (DRM) was used. The location of capture for biological and interview data is reported by ADF&amp;G groundfish statistical areas. Port sampling data exists from Southcentral and Kodiak areas since 1996 and from Southeast Alaska areas since 2006 (McKean and Ford 2025; Richards et al. 2025; Jaenicke et al. 2019; Failor 2016). Port sampling data in Southcentral and Kodiak areas is subdivided by the number of total rockfish, pelagic and non-pelagic rockfish, black rockfish and yelloweye rockfish. In the Southeast region, species data is further subdivided into demersal shelf (DSR, of which yelloweye rockfish are one species) and slope rockfish. In Southcentral, rockfish data were collected from ports in 3 CFMU areas: Deep Creek, Anchor Point, and Homer in the Cook Inlet management area; Seward in the North Gulf Coast management area (Figure 1); and Valdez and Whittier in the Prince William Sound Inside and Outside management areas (Figure 2). Whittier was sampled starting in August 1998, but 1999 was the first full season of sampling. Rockfish sampled in the Kodiak area were collected in the port of Kodiak out of the Coast Guard base and Saint Paul and Saint Herman harbors. These areas were the only Kodiak ports sampled due to the difficulties of sampling in the more remote areas in the Kodiak management unit. Sampling in Southeast Alaska occurs from late April to early September from the ports of Ketchikan, Craig, Klawock, Petersburg, Wrangell, Sitka, Juneau, Gustavus, Elfin Cove, and Yakutat. In Southcentral and Kodiak regions sampling is conducted from mid-May through the end of August each year. Fishing for rockfish occurs year-round but is primarily conducted in the summer months, with the sampled time period capturing the majority of the harvest.</w:t>
      </w:r>
    </w:p>
    <w:p w14:paraId="75A59E74" w14:textId="77777777" w:rsidR="007E79DA" w:rsidRDefault="00000000">
      <w:pPr>
        <w:pStyle w:val="Heading4"/>
      </w:pPr>
      <w:bookmarkStart w:id="15" w:name="release-mortality-estimates"/>
      <w:bookmarkEnd w:id="14"/>
      <w:r>
        <w:t>Release Mortality Estimates</w:t>
      </w:r>
    </w:p>
    <w:p w14:paraId="6DBCCBA3" w14:textId="77777777" w:rsidR="007E79DA" w:rsidRDefault="00000000">
      <w:pPr>
        <w:pStyle w:val="FirstParagraph"/>
      </w:pPr>
      <w:r>
        <w:t xml:space="preserve">Estimating total removals from the population includes accounting for the number of fish that are expected to die after release. Release mortality increases with depth of capture for both surface and DRM release types although DRM release mortality is significantly lower. Yelloweye rockfish show considerably higher mortality when released at the surface compared to black rockfish and lower mortality when released at depth. Release mortality estimates prior to 2013, the year DRM devices were mandated in the charter fleet, assume that all fish were released on the surface and apply published mortality estimates (Hannah et al. 2008; Hochhalter et al. 2011; Hannah et a. 2012; Hochhalter et al. 2012) for pelagic and non-pelagic species (Figure 7 RELEASE MORT). DRM became mandatory gear for charter vessels in 2013 and have been required for all fishing </w:t>
      </w:r>
      <w:r>
        <w:lastRenderedPageBreak/>
        <w:t>vessels (private or chartered) since 2020. After 2013, release mortality rates assume the use of DWR devices and mortality rates commensurate with the literature.</w:t>
      </w:r>
    </w:p>
    <w:p w14:paraId="7EDD2406" w14:textId="77777777" w:rsidR="007E79DA" w:rsidRDefault="00000000">
      <w:pPr>
        <w:pStyle w:val="BodyText"/>
      </w:pPr>
      <w:r>
        <w:t>Southeast mortality rates do not account for the depth of released fish but assume a phased-in effect of the DRM devices for private users reflecting the adoption of the devices between the mandate for charter vessels in 2013 and the mandate for all vessels in 2020 (Figure 7 RELEASE MORT). Sport fish mortality rates are estimated from the literature and preliminary research conducted by commercial fisheries (unpublished data and Hannah et al. 2008; Jarvis and Lowe 2008; Hochhalter and Reed 2011; Hochhalter et al. 2011; Hannah et a. 2012; Hochhalter et al. 2012; Blain and Sutton 2016; Blain-Roth and Sutton 2019).</w:t>
      </w:r>
    </w:p>
    <w:p w14:paraId="04BBE51B" w14:textId="77777777" w:rsidR="007E79DA" w:rsidRDefault="00000000">
      <w:pPr>
        <w:pStyle w:val="BodyText"/>
      </w:pPr>
      <w:r>
        <w:t>Southcentral and Kodiak mortality rates factor in the depth-at-capture information and release practices from portside interviews and calculate mortality rates based on the depth-of-capture and whether a DRM device was used. Capture depth is collected to the nearest foot in interview data then categorized into four depth strata: 0-59, 60-119, 120-179, and 180+ feet. Capture depth is assumed to be the release depth for deep water releases. This data is not sufficient for annual estimates but is instead pooled across years to provide an average depth profile of releases for each species assemblage and area. For each Southcentral and Kodiak area, user group and species assemblage has pre- and post-DRM release mortality estimates calculated by averaging the mortality estimates from the different depth strata weighted by the estimated proportion released within each depth strata (Figure 7 RELEASE MORT, Appendix A).</w:t>
      </w:r>
    </w:p>
    <w:p w14:paraId="3750F814" w14:textId="77777777" w:rsidR="007E79DA" w:rsidRDefault="00000000">
      <w:pPr>
        <w:pStyle w:val="Heading4"/>
      </w:pPr>
      <w:bookmarkStart w:id="16" w:name="weight-data-and-estimates"/>
      <w:bookmarkEnd w:id="15"/>
      <w:r>
        <w:t>Weight Data and Estimates</w:t>
      </w:r>
    </w:p>
    <w:p w14:paraId="3849E4BE" w14:textId="77777777" w:rsidR="007E79DA" w:rsidRDefault="00000000">
      <w:pPr>
        <w:pStyle w:val="FirstParagraph"/>
      </w:pPr>
      <w:r>
        <w:t xml:space="preserve">Port sampling programs also provide the data necessary to convert fish numbers to biomass. All rockfish are sampled for length and in Southcentral Alaska a subsample are weighed. All measured fish that were not individually weighed have weights estimated using a weight ~ length regression. In southcentral and Kodiak regions the weight ~ length relationship for black and yelloweye rockfish is estimated from samples with recorded weights collected between 1996 and 2021 such that the predicted weight is related to the measured length, </w:t>
      </w:r>
      <w:r>
        <w:rPr>
          <w:i/>
          <w:iCs/>
        </w:rPr>
        <w:t>L</w:t>
      </w:r>
      <w:r>
        <w:t xml:space="preserve"> such that</w:t>
      </w:r>
    </w:p>
    <w:p w14:paraId="05D91FD3" w14:textId="77777777" w:rsidR="007E79DA"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75A68A1C" w14:textId="77777777" w:rsidR="007E79DA"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(McKean and Ford 2025; Schuster et al. 2025). Southeast rockfish weights are also estimated from weight length regressions but rely on published values (Richards et al. 2025).</w:t>
      </w:r>
    </w:p>
    <w:p w14:paraId="110D57AD" w14:textId="77777777" w:rsidR="007E79DA" w:rsidRDefault="00000000">
      <w:pPr>
        <w:pStyle w:val="BodyText"/>
      </w:pPr>
      <w:r>
        <w:t>Converting the number of fish harvested or released into biomass was done by multiplying the average weight of the species or species complex by the estimated number. For each year and CFMU the average weight of each species or species complex is calculated from fish both directly weighed fish and fish with weights predicted from lengths. For Southcentral and Kodiak regions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47E932EE" w14:textId="77777777" w:rsidR="007E79DA" w:rsidRDefault="00000000">
      <w:pPr>
        <w:pStyle w:val="BodyText"/>
      </w:pPr>
      <w:r>
        <w:t xml:space="preserve">The variance of the mean weight used in the model uses the bootstrap estimate of the standard deviation of the mean. Because the model uses the mean weight to convert from numbers to biomass it is the uncertainty in the estimate of the true mean that is relevant and not the range of the individual fish weights that constitute a yearly sample. As such, the bootstrapped estimate of </w:t>
      </w:r>
      <w:r>
        <w:lastRenderedPageBreak/>
        <w:t>the mean’s standard deviation is applied rather than the standard deviation of the individual fish weights.</w:t>
      </w:r>
    </w:p>
    <w:p w14:paraId="5853BF4F" w14:textId="77777777" w:rsidR="007E79DA" w:rsidRDefault="00000000">
      <w:pPr>
        <w:pStyle w:val="BodyText"/>
      </w:pPr>
      <w:r>
        <w:t xml:space="preserve">Sampling in Southeast Alaska is not proportional to the distribution of the catch and as such uses a 4-stage weighted average procedure to estimate mean weights (Richards et al. 2025). The 4-stage approach is detailed in Richards et al. (2025) but as of this writing historical weight estimates prior to 2025 are being reevaluated and are unavailable. As such weight estimates prior to 2025 use bootstrapped mean weights similar to Southcentral methods but are to be considered </w:t>
      </w:r>
      <w:r>
        <w:rPr>
          <w:i/>
          <w:iCs/>
        </w:rPr>
        <w:t>preliminary</w:t>
      </w:r>
      <w:r>
        <w:t xml:space="preserve"> estimates that will be revised as needed. Updated weight estimates will be important for accuracy but are expected to result in only minor differences in biomass estimates that should not significantly impact stock assessments. This report provides removal estimates in numbers as well as biomass and updated weight estimates for past years can easily be applied to the posterior estimates from the model.</w:t>
      </w:r>
    </w:p>
    <w:p w14:paraId="1FDF144A" w14:textId="77777777" w:rsidR="007E79DA" w:rsidRDefault="00000000">
      <w:pPr>
        <w:pStyle w:val="Heading4"/>
      </w:pPr>
      <w:bookmarkStart w:id="17" w:name="kodiak-stereoscopic-camera-data"/>
      <w:bookmarkEnd w:id="16"/>
      <w:r>
        <w:t>Kodiak Stereoscopic Camera Data</w:t>
      </w:r>
    </w:p>
    <w:p w14:paraId="4C1A2583" w14:textId="77777777" w:rsidR="007E79DA" w:rsidRDefault="00000000">
      <w:pPr>
        <w:pStyle w:val="FirstParagraph"/>
      </w:pPr>
      <w:r>
        <w:t>An auxiliary data set was used to further inform the species composition in Kodiak samples. Port sampling for outlying areas in Kodiak are unavailable to inform species compositions and thus are largely reliant on the hierarchical structure of the model to derive estimates from the sampled areas. However, ADF&amp;G commercial fisheries division has a robust hydroacoustic survey around the island to estimate black rockfish abundance and as part of that survey stereoscopic cameras are used to estimates species compositions of the surveyed pelagic rockfish communities (Tschersich et al. 2023). The species apportionment data from those cameras was used as supplemental data in this model to further inform the species composition in the Kodiak CFMUs.</w:t>
      </w:r>
    </w:p>
    <w:p w14:paraId="221DE922" w14:textId="77777777" w:rsidR="007E79DA" w:rsidRDefault="00000000">
      <w:pPr>
        <w:pStyle w:val="Heading3"/>
      </w:pPr>
      <w:bookmarkStart w:id="18" w:name="model-structure"/>
      <w:bookmarkEnd w:id="17"/>
      <w:r>
        <w:t>Model Structure</w:t>
      </w:r>
    </w:p>
    <w:p w14:paraId="70858F52" w14:textId="77777777" w:rsidR="007E79DA" w:rsidRDefault="00000000">
      <w:pPr>
        <w:pStyle w:val="FirstParagraph"/>
      </w:pPr>
      <w:r>
        <w:t>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Doing so required relying on long term means when the data revealed no temporal trends or, alternatively, logistic curves to account for trends in the data whenevident.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harvests, including fishery closures and more severe bag limit reductions (Arthur et al 2024; Blain-Roth et al. 2024; Polum et al. 2025). These regulatory changes altered angler behavior with regard to retention probabilities and species composition of the harvest and thus angler behavior during the modern period would not be informative to angler behavior in the past. While the process remains consistent throughout the entire time series, long term means and logistic extrapolations in the hindcasting process rely only on data through 2019.</w:t>
      </w:r>
    </w:p>
    <w:p w14:paraId="4ED8320D" w14:textId="77777777" w:rsidR="007E79DA" w:rsidRDefault="00000000">
      <w:pPr>
        <w:pStyle w:val="Heading2"/>
      </w:pPr>
      <w:bookmarkStart w:id="19" w:name="process-equations"/>
      <w:bookmarkStart w:id="20" w:name="_Toc242864664"/>
      <w:bookmarkEnd w:id="10"/>
      <w:bookmarkEnd w:id="18"/>
      <w:r>
        <w:t>Process equations</w:t>
      </w:r>
      <w:bookmarkEnd w:id="20"/>
    </w:p>
    <w:p w14:paraId="570500E7" w14:textId="77777777" w:rsidR="007E79DA"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where </w:t>
      </w:r>
      <w:r>
        <w:rPr>
          <w:i/>
          <w:iCs/>
        </w:rPr>
        <w:t>comp</w:t>
      </w:r>
      <w:r>
        <w:t xml:space="preserve"> refers to the species </w:t>
      </w:r>
      <w:r>
        <w:lastRenderedPageBreak/>
        <w:t xml:space="preserve">or species complex). Release estimates are based on the proportion of total catches that were harvested by user group, area, year and species/species complex,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76007222" w14:textId="77777777" w:rsidR="007E79DA" w:rsidRDefault="00000000">
      <w:pPr>
        <w:pStyle w:val="Heading3"/>
      </w:pPr>
      <w:bookmarkStart w:id="21" w:name="harvests"/>
      <w:r>
        <w:t>Harvests</w:t>
      </w:r>
    </w:p>
    <w:p w14:paraId="0A2788DA" w14:textId="77777777" w:rsidR="007E79DA"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9B9C879" w14:textId="77777777" w:rsidR="007E79DA"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574C830D" w14:textId="77777777" w:rsidR="007E79DA"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B)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B).</w:t>
      </w:r>
    </w:p>
    <w:p w14:paraId="2D4C734C" w14:textId="77777777" w:rsidR="007E79DA"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68F001D3" w14:textId="77777777" w:rsidR="007E79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5A82E5F9" w14:textId="77777777" w:rsidR="007E79DA"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6ABD77FE"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01B132C1" w14:textId="77777777" w:rsidR="007E79DA"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05F4C3AC" w14:textId="77777777" w:rsidR="007E79DA" w:rsidRDefault="00000000">
      <w:pPr>
        <w:pStyle w:val="BodyText"/>
      </w:pPr>
      <w:r>
        <w:t>with non-informative priors on both parameters (Table 2 PRIORS).</w:t>
      </w:r>
    </w:p>
    <w:p w14:paraId="1A0361C0" w14:textId="77777777" w:rsidR="007E79DA" w:rsidRDefault="00000000">
      <w:pPr>
        <w:pStyle w:val="Heading3"/>
      </w:pPr>
      <w:bookmarkStart w:id="22" w:name="species-apportionment"/>
      <w:bookmarkEnd w:id="21"/>
      <w:r>
        <w:t>Species Apportionment</w:t>
      </w:r>
    </w:p>
    <w:p w14:paraId="0EC9B911" w14:textId="77777777" w:rsidR="007E79DA" w:rsidRDefault="00000000">
      <w:pPr>
        <w:pStyle w:val="FirstParagraph"/>
      </w:pPr>
      <w:r>
        <w:t>The total harvest of rockfish is apportioned to species and species complexes beginning with a partition into pelagic and non-pelagic categories such that</w:t>
      </w:r>
    </w:p>
    <w:p w14:paraId="6BCD7FDA"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45AEB901" w14:textId="77777777" w:rsidR="007E79DA" w:rsidRDefault="00000000">
      <w:pPr>
        <w:pStyle w:val="BodyText"/>
      </w:pPr>
      <w:r>
        <w:t>and</w:t>
      </w:r>
    </w:p>
    <w:p w14:paraId="5AFC45AF"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B0A411D"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7370B6A5"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461BD239"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345CBF55" w14:textId="77777777" w:rsidR="007E79DA" w:rsidRDefault="00000000">
      <w:pPr>
        <w:pStyle w:val="BodyText"/>
      </w:pPr>
      <w:r>
        <w:lastRenderedPageBreak/>
        <w:t>Yelloweye rockfish comprise a component of the non-pelagic assemblage such that the harvest of yelloweye</w:t>
      </w:r>
    </w:p>
    <w:p w14:paraId="6524E58F"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53879C4E"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148431C2" w14:textId="77777777" w:rsidR="007E79DA" w:rsidRDefault="00000000">
      <w:pPr>
        <w:pStyle w:val="BodyText"/>
      </w:pPr>
      <w:r>
        <w:t>The Southeast region tracks two other non-pelagic rockfish assemblages, demersal shelf rockfish (DSR, which technically includes yelloweye) and slope rockfish that are also components of the non-pelagic species assemblage such that</w:t>
      </w:r>
    </w:p>
    <w:p w14:paraId="2E7595A7"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FFAE7A7" w14:textId="77777777" w:rsidR="007E79DA"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0795F685"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Although yelloweye rockfish are technically part of the DSR assemblage, in this analysis DSR do not include yelloweye rockfish.</w:t>
      </w:r>
    </w:p>
    <w:p w14:paraId="1F1F01BE" w14:textId="77777777" w:rsidR="007E79DA" w:rsidRDefault="00000000">
      <w:pPr>
        <w:pStyle w:val="BodyText"/>
      </w:pPr>
      <w:r>
        <w:t>During the modern period beginning in 2020 the species composition was modeled as deviations about a mean value using a logit function to facilitate fitting linear models to probabilities such that</w:t>
      </w:r>
    </w:p>
    <w:p w14:paraId="03929D0F" w14:textId="77777777" w:rsidR="007E79DA"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AA0036B"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57AFF7D6" w14:textId="77777777" w:rsidR="007E79DA" w:rsidRDefault="00000000">
      <w:pPr>
        <w:pStyle w:val="BodyText"/>
      </w:pPr>
      <w:r>
        <w:t xml:space="preserve">Note that the underlying means described by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may require a time-block approach when there are major shifts in management as was the case in Southeast Alaska in 2025. Between 2020 and 2024 Southeast Alaska was closed to the retention of yelloweye rockfish for both guided and unguided anglers but opened again in 2025. This closure has obvious and large effects on the species composition, including the ratio of pelagic:non-pelagic rockfish and, within the non-pelagic group, between slope and non-yelloweye DSR.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beginning in 2025.</w:t>
      </w:r>
    </w:p>
    <w:p w14:paraId="14C3B006" w14:textId="77777777" w:rsidR="007E79DA"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3244A382" w14:textId="77777777" w:rsidR="007E79DA"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E417717"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00825E10" w14:textId="77777777" w:rsidR="007E79DA"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where</w:t>
      </w:r>
    </w:p>
    <w:p w14:paraId="245F41D6"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56D8728" w14:textId="77777777" w:rsidR="007E79DA" w:rsidRDefault="00000000">
      <w:pPr>
        <w:pStyle w:val="BodyText"/>
      </w:pPr>
      <w:r>
        <w:t>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parameters interact such that when both have the same sign (positive or negative), the realized slope of the curve is positive and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Thus, </w:t>
      </w:r>
      <m:oMath>
        <m:r>
          <w:rPr>
            <w:rFonts w:ascii="Cambria Math" w:hAnsi="Cambria Math"/>
          </w:rPr>
          <m:t>β1</m:t>
        </m:r>
      </m:oMath>
      <w:r>
        <w:t xml:space="preserve"> priors were</w:t>
      </w:r>
    </w:p>
    <w:p w14:paraId="05E6FBC3"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pelagic</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black</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0.1</m:t>
                  </m:r>
                </m:e>
              </m:d>
              <m:r>
                <m:rPr>
                  <m:sty m:val="p"/>
                </m:rPr>
                <w:rPr>
                  <w:rFonts w:ascii="Cambria Math" w:hAnsi="Cambria Math"/>
                </w:rPr>
                <m:t>,</m:t>
              </m:r>
              <m:r>
                <w:rPr>
                  <w:rFonts w:ascii="Cambria Math" w:hAnsi="Cambria Math"/>
                </w:rPr>
                <m:t>10</m:t>
              </m:r>
            </m:e>
          </m:d>
        </m:oMath>
      </m:oMathPara>
    </w:p>
    <w:p w14:paraId="09552B34"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yelloweye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0.0001</m:t>
                  </m:r>
                </m:e>
              </m:d>
              <m:r>
                <m:rPr>
                  <m:sty m:val="p"/>
                </m:rPr>
                <w:rPr>
                  <w:rFonts w:ascii="Cambria Math" w:hAnsi="Cambria Math"/>
                </w:rPr>
                <m:t>,</m:t>
              </m:r>
              <m:r>
                <w:rPr>
                  <w:rFonts w:ascii="Cambria Math" w:hAnsi="Cambria Math"/>
                </w:rPr>
                <m:t>10</m:t>
              </m:r>
            </m:e>
          </m:d>
        </m:oMath>
      </m:oMathPara>
    </w:p>
    <w:p w14:paraId="236728AF" w14:textId="77777777" w:rsidR="007E79DA" w:rsidRDefault="00000000">
      <w:pPr>
        <w:pStyle w:val="BodyText"/>
      </w:pPr>
      <w:r>
        <w:t xml:space="preserve">and the </w:t>
      </w:r>
      <m:oMath>
        <m:r>
          <w:rPr>
            <w:rFonts w:ascii="Cambria Math" w:hAnsi="Cambria Math"/>
          </w:rPr>
          <m:t>β2</m:t>
        </m:r>
      </m:oMath>
      <w:r>
        <w:t xml:space="preserve"> priors were</w:t>
      </w:r>
    </w:p>
    <w:p w14:paraId="47907D4B"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0D23772C" w14:textId="77777777" w:rsidR="007E79DA" w:rsidRDefault="00000000">
      <w:pPr>
        <w:pStyle w:val="BodyText"/>
      </w:pPr>
      <w:r>
        <w:t>for all areas and species assemblages other than Southeast pelagics which were given a prior of</w:t>
      </w:r>
    </w:p>
    <w:p w14:paraId="249F8D0E"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pelagics</m:t>
                  </m:r>
                </m:e>
              </m:d>
              <m:sSub>
                <m:sSubPr>
                  <m:ctrlPr>
                    <w:rPr>
                      <w:rFonts w:ascii="Cambria Math" w:hAnsi="Cambria Math"/>
                    </w:rPr>
                  </m:ctrlPr>
                </m:sSubPr>
                <m:e>
                  <m:r>
                    <w:rPr>
                      <w:rFonts w:ascii="Cambria Math" w:hAnsi="Cambria Math"/>
                    </w:rPr>
                    <m:t>a</m:t>
                  </m:r>
                </m:e>
                <m:sub>
                  <m:r>
                    <w:rPr>
                      <w:rFonts w:ascii="Cambria Math" w:hAnsi="Cambria Math"/>
                    </w:rPr>
                    <m:t>SE</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17F32329" w14:textId="77777777" w:rsidR="007E79DA" w:rsidRDefault="00000000">
      <w:pPr>
        <w:pStyle w:val="BodyText"/>
      </w:pPr>
      <w:r>
        <w:t>to speed convergence. A uniform prior was applied to the inflection point parameters (</w:t>
      </w:r>
      <m:oMath>
        <m:r>
          <w:rPr>
            <w:rFonts w:ascii="Cambria Math" w:hAnsi="Cambria Math"/>
          </w:rPr>
          <m:t>β3</m:t>
        </m:r>
      </m:oMath>
      <w:r>
        <w:t>) bracketed by the time period during which data was available.</w:t>
      </w:r>
    </w:p>
    <w:p w14:paraId="6598A3E6" w14:textId="77777777" w:rsidR="007E79DA" w:rsidRDefault="00000000">
      <w:pPr>
        <w:pStyle w:val="BodyText"/>
      </w:pPr>
      <w:r>
        <w:t xml:space="preserve">The </w:t>
      </w:r>
      <m:oMath>
        <m:r>
          <w:rPr>
            <w:rFonts w:ascii="Cambria Math" w:hAnsi="Cambria Math"/>
          </w:rPr>
          <m:t>β</m:t>
        </m:r>
      </m:oMath>
      <w:r>
        <w:t xml:space="preserve"> parameters were generally slow to converge given the combinations of values that can fit plausible curves to the data. To speed convergence the </w:t>
      </w:r>
      <m:oMath>
        <m:r>
          <w:rPr>
            <w:rFonts w:ascii="Cambria Math" w:hAnsi="Cambria Math"/>
          </w:rPr>
          <m:t>β</m:t>
        </m:r>
      </m:oMath>
      <w:r>
        <w:t xml:space="preserve"> parameters were truncated during model development based on examination of posteriors and traceplots.</w:t>
      </w:r>
    </w:p>
    <w:p w14:paraId="2BD49DC0" w14:textId="77777777" w:rsidR="007E79DA"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16B49782" w14:textId="77777777" w:rsidR="007E79DA"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29251804" w14:textId="77777777" w:rsidR="007E79DA" w:rsidRDefault="00000000">
      <w:pPr>
        <w:pStyle w:val="BodyText"/>
      </w:pPr>
      <w:r>
        <w:t>where</w:t>
      </w:r>
    </w:p>
    <w:p w14:paraId="0F17175D" w14:textId="77777777" w:rsidR="007E79DA"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comp</m:t>
                  </m:r>
                </m:sub>
              </m:sSub>
            </m:e>
          </m:d>
        </m:oMath>
      </m:oMathPara>
    </w:p>
    <w:p w14:paraId="03E81053" w14:textId="77777777" w:rsidR="007E79DA"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comp</m:t>
              </m:r>
            </m:sub>
          </m:sSub>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78C6E2D7" w14:textId="77777777" w:rsidR="007E79DA" w:rsidRDefault="00000000">
      <w:pPr>
        <w:pStyle w:val="BodyText"/>
      </w:pPr>
      <w:r>
        <w:t>It was necessary to describe three time periods around which the random effects were divided. The first period started in 1977 (</w:t>
      </w:r>
      <m:oMath>
        <m:sSub>
          <m:sSubPr>
            <m:ctrlPr>
              <w:rPr>
                <w:rFonts w:ascii="Cambria Math" w:hAnsi="Cambria Math"/>
              </w:rPr>
            </m:ctrlPr>
          </m:sSubPr>
          <m:e>
            <m:r>
              <w:rPr>
                <w:rFonts w:ascii="Cambria Math" w:hAnsi="Cambria Math"/>
              </w:rPr>
              <m:t>y</m:t>
            </m:r>
          </m:e>
          <m:sub>
            <m:r>
              <w:rPr>
                <w:rFonts w:ascii="Cambria Math" w:hAnsi="Cambria Math"/>
              </w:rPr>
              <m:t>1</m:t>
            </m:r>
          </m:sub>
        </m:sSub>
      </m:oMath>
      <w:r>
        <w:t>) and went through the period that lacked species composition data (</w:t>
      </w:r>
      <m:oMath>
        <m:sSub>
          <m:sSubPr>
            <m:ctrlPr>
              <w:rPr>
                <w:rFonts w:ascii="Cambria Math" w:hAnsi="Cambria Math"/>
              </w:rPr>
            </m:ctrlPr>
          </m:sSubPr>
          <m:e>
            <m:r>
              <w:rPr>
                <w:rFonts w:ascii="Cambria Math" w:hAnsi="Cambria Math"/>
              </w:rPr>
              <m:t>y</m:t>
            </m:r>
          </m:e>
          <m:sub>
            <m:r>
              <w:rPr>
                <w:rFonts w:ascii="Cambria Math" w:hAnsi="Cambria Math"/>
              </w:rPr>
              <m:t>2</m:t>
            </m:r>
          </m:sub>
        </m:sSub>
      </m:oMath>
      <w:r>
        <w:t>), which varied by region (Figure 5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 Note that the time-blocking that is used for the</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to address the change in management in Southeast Alaska in 2025 carries forth to the random effects as well. Thus for Southeast Alaska, the third period extends from 2020 through 2024 with a fourth period beginning in 2025.</w:t>
      </w:r>
    </w:p>
    <w:p w14:paraId="00F95622" w14:textId="77777777" w:rsidR="007E79DA"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w:t>
      </w:r>
      <m:oMath>
        <m:r>
          <w:rPr>
            <w:rFonts w:ascii="Cambria Math" w:hAnsi="Cambria Math"/>
          </w:rPr>
          <m:t>β3</m:t>
        </m:r>
      </m:oMath>
      <w:r>
        <w:t xml:space="preserve"> (inflection point) was fixed to an arbitrary number and thus equation </w:t>
      </w:r>
      <w:r>
        <w:rPr>
          <w:b/>
          <w:bCs/>
        </w:rPr>
        <w:t>XX</w:t>
      </w:r>
      <w:r>
        <w:t xml:space="preserve"> resolves to equation </w:t>
      </w:r>
      <w:r>
        <w:rPr>
          <w:b/>
          <w:bCs/>
        </w:rPr>
        <w:t>XX</w:t>
      </w:r>
      <w:r>
        <w:t xml:space="preserve"> so that the long term mean value was used for hindcasting. Pelagic rockfish in the CI, NG, EWYKT and all Kodiak areas, all black rockfish other than in the NSEI, yelloweye in CI, EWYKT, SSEO and all Kodiak areas, and all DSR and slope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assumed a long-term mean.</w:t>
      </w:r>
    </w:p>
    <w:p w14:paraId="786A0BEC" w14:textId="77777777" w:rsidR="007E79DA" w:rsidRDefault="00000000">
      <w:pPr>
        <w:pStyle w:val="BodyText"/>
      </w:pPr>
      <w:r>
        <w:t xml:space="preserve">A regional hierarchical approach was considered for modelling species compositions over time, but it was decided that species composition likely reflected local habitat and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such that</w:t>
      </w:r>
    </w:p>
    <w:p w14:paraId="17585812"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e>
          </m:d>
        </m:oMath>
      </m:oMathPara>
    </w:p>
    <w:p w14:paraId="333768CE"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sSub>
                <m:sSubPr>
                  <m:ctrlPr>
                    <w:rPr>
                      <w:rFonts w:ascii="Cambria Math" w:hAnsi="Cambria Math"/>
                    </w:rPr>
                  </m:ctrlPr>
                </m:sSubPr>
                <m:e>
                  <m:r>
                    <w:rPr>
                      <w:rFonts w:ascii="Cambria Math" w:hAnsi="Cambria Math"/>
                    </w:rPr>
                    <m:t>a</m:t>
                  </m:r>
                </m:e>
                <m:sub>
                  <m:r>
                    <w:rPr>
                      <w:rFonts w:ascii="Cambria Math" w:hAnsi="Cambria Math"/>
                    </w:rPr>
                    <m:t>Kod</m:t>
                  </m:r>
                </m:sub>
              </m:sSub>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e>
          </m:d>
        </m:oMath>
      </m:oMathPara>
    </w:p>
    <w:p w14:paraId="6FBC7E80" w14:textId="77777777" w:rsidR="007E79DA" w:rsidRDefault="00000000">
      <w:pPr>
        <w:pStyle w:val="BodyText"/>
      </w:pPr>
      <w:r>
        <w:t>where</w:t>
      </w:r>
    </w:p>
    <w:p w14:paraId="2D4DE245"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Kodiak</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1FEE4EF4" w14:textId="77777777" w:rsidR="007E79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1457B0F9" w14:textId="77777777" w:rsidR="007E79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comp</m:t>
                  </m:r>
                </m:e>
              </m:d>
              <m:r>
                <w:rPr>
                  <w:rFonts w:ascii="Cambria Math" w:hAnsi="Cambria Math"/>
                </w:rPr>
                <m:t>Kodiak</m:t>
              </m:r>
            </m:sub>
            <m:sup>
              <m:r>
                <w:rPr>
                  <w:rFonts w:ascii="Cambria Math" w:hAnsi="Cambria Math"/>
                </w:rPr>
                <m:t>β4</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032CFB21" w14:textId="77777777" w:rsidR="007E79DA" w:rsidRDefault="00000000">
      <w:pPr>
        <w:pStyle w:val="BodyText"/>
      </w:pPr>
      <w:r>
        <w:t xml:space="preserve">Note that Kodiak species compositions were all modelled with long term means so </w:t>
      </w:r>
      <m:oMath>
        <m:r>
          <w:rPr>
            <w:rFonts w:ascii="Cambria Math" w:hAnsi="Cambria Math"/>
          </w:rPr>
          <m:t>β1</m:t>
        </m:r>
      </m:oMath>
      <w:r>
        <w:t xml:space="preserve">, </w:t>
      </w:r>
      <m:oMath>
        <m:r>
          <w:rPr>
            <w:rFonts w:ascii="Cambria Math" w:hAnsi="Cambria Math"/>
          </w:rPr>
          <m:t>β2</m:t>
        </m:r>
      </m:oMath>
      <w:r>
        <w:t xml:space="preserve"> and </w:t>
      </w:r>
      <m:oMath>
        <m:r>
          <w:rPr>
            <w:rFonts w:ascii="Cambria Math" w:hAnsi="Cambria Math"/>
          </w:rPr>
          <m:t>β3</m:t>
        </m:r>
      </m:oMath>
      <w:r>
        <w:t xml:space="preserve"> were fixed.</w:t>
      </w:r>
    </w:p>
    <w:p w14:paraId="6FAADD14" w14:textId="77777777" w:rsidR="007E79DA" w:rsidRDefault="00000000">
      <w:pPr>
        <w:pStyle w:val="Heading3"/>
      </w:pPr>
      <w:bookmarkStart w:id="23" w:name="releases"/>
      <w:bookmarkEnd w:id="22"/>
      <w:r>
        <w:t>Releases</w:t>
      </w:r>
    </w:p>
    <w:p w14:paraId="08F03C09" w14:textId="77777777" w:rsidR="007E79DA" w:rsidRDefault="00000000">
      <w:pPr>
        <w:pStyle w:val="FirstParagraph"/>
      </w:pPr>
      <w:r>
        <w:t xml:space="preserve">The procedure for estimating releases differs from the Howard methods in that it relies on a process driven approach in contrast to the estimation methods employed in Howard et al. (2020; Figure 8 REL_SCHEMATICS) and further incorporates all sources of data, including SWHS estimates and </w:t>
      </w:r>
      <w:r>
        <w:lastRenderedPageBreak/>
        <w:t xml:space="preserve">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033BE1BE" w14:textId="77777777" w:rsidR="007E79DA" w:rsidRDefault="00000000">
      <w:pPr>
        <w:pStyle w:val="BodyText"/>
      </w:pPr>
      <w:r>
        <w:t xml:space="preserve">Release data from the SWHS is for all rockfish combined and the release data from logbooks is subdivided into pelagics, yelloweye and “other” (non-pelagic, non-yelloweye) rockfish.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2B4FD98B" w14:textId="77777777" w:rsidR="007E79DA"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315960B9" w14:textId="77777777" w:rsidR="007E79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CE05EAA" w14:textId="77777777" w:rsidR="007E79DA" w:rsidRDefault="00000000">
      <w:pPr>
        <w:pStyle w:val="BodyText"/>
      </w:pPr>
      <w:r>
        <w:t>with total releases equal to the sum of the compositional releases.</w:t>
      </w:r>
    </w:p>
    <w:p w14:paraId="569C8835" w14:textId="77777777" w:rsidR="007E79DA" w:rsidRDefault="00000000">
      <w:pPr>
        <w:pStyle w:val="BodyText"/>
      </w:pPr>
      <w:r>
        <w:t xml:space="preserve">For the modern period beginning in 2020 the proportion harvested, </w:t>
      </w:r>
      <w:r>
        <w:rPr>
          <w:i/>
          <w:iCs/>
        </w:rPr>
        <w:t>pH</w:t>
      </w:r>
      <w:r>
        <w:t>, was modeled as deviations about a mean such that</w:t>
      </w:r>
    </w:p>
    <w:p w14:paraId="4E223B09" w14:textId="77777777" w:rsidR="007E79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23FA3AF"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2E773B21" w14:textId="77777777" w:rsidR="007E79DA" w:rsidRDefault="00000000">
      <w:pPr>
        <w:pStyle w:val="BodyText"/>
      </w:pPr>
      <w:r>
        <w:t xml:space="preserve">A time block approach is also necessary to deal with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the same reasons it was necessary for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described above. Because Southeast Alaska was closed to the retention of yelloweye rockfish between 2020 and 2024 the probability of retaining a yelloweye rockfish would be substantially different from when they were reopened to a limited harvest in 2025. This has the knock-on effect of potentially altering angler behavior with regard to other rockfish species as well. As such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 for Southeast Alaska encompasses the years between 2020 and 2024 as a time block and then a separate parameter estimates a new mean beginning in 2025.</w:t>
      </w:r>
    </w:p>
    <w:p w14:paraId="2F243090" w14:textId="77777777" w:rsidR="007E79DA" w:rsidRDefault="00000000">
      <w:pPr>
        <w:pStyle w:val="BodyText"/>
      </w:pPr>
      <w:r>
        <w:lastRenderedPageBreak/>
        <w:t xml:space="preserve">For the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1A67DA68" w14:textId="77777777" w:rsidR="007E79DA"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D32964F" w14:textId="77777777" w:rsidR="007E79DA"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available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38BD15F6" w14:textId="77777777" w:rsidR="007E79DA"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area specific </w:t>
      </w:r>
      <m:oMath>
        <m:r>
          <w:rPr>
            <w:rFonts w:ascii="Cambria Math" w:hAnsi="Cambria Math"/>
          </w:rPr>
          <m:t>β0</m:t>
        </m:r>
      </m:oMath>
      <w:r>
        <w:t xml:space="preserve">, </w:t>
      </w:r>
      <m:oMath>
        <m:r>
          <w:rPr>
            <w:rFonts w:ascii="Cambria Math" w:hAnsi="Cambria Math"/>
          </w:rPr>
          <m:t>β1</m:t>
        </m:r>
      </m:oMath>
      <w:r>
        <w:t xml:space="preserve">, and </w:t>
      </w:r>
      <m:oMath>
        <m:r>
          <w:rPr>
            <w:rFonts w:ascii="Cambria Math" w:hAnsi="Cambria Math"/>
          </w:rPr>
          <m:t>β2</m:t>
        </m:r>
      </m:oMath>
      <w:r>
        <w:t xml:space="preserve"> parameters were centered around region-specific hyperpriors such that</w:t>
      </w:r>
    </w:p>
    <w:p w14:paraId="49006039"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e>
          </m:d>
        </m:oMath>
      </m:oMathPara>
    </w:p>
    <w:p w14:paraId="2E784D17"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e>
          </m:d>
        </m:oMath>
      </m:oMathPara>
    </w:p>
    <w:p w14:paraId="583231C9"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e>
          </m:d>
        </m:oMath>
      </m:oMathPara>
    </w:p>
    <w:p w14:paraId="18ACE256" w14:textId="77777777" w:rsidR="007E79DA" w:rsidRDefault="00000000">
      <w:pPr>
        <w:pStyle w:val="BodyText"/>
      </w:pPr>
      <w:r>
        <w:t>where</w:t>
      </w:r>
    </w:p>
    <w:p w14:paraId="3B73A973"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10</m:t>
              </m:r>
            </m:e>
          </m:d>
        </m:oMath>
      </m:oMathPara>
    </w:p>
    <w:p w14:paraId="5F38810F"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r>
                    <w:rPr>
                      <w:rFonts w:ascii="Cambria Math" w:hAnsi="Cambria Math"/>
                    </w:rPr>
                    <m:t>0.00001</m:t>
                  </m:r>
                </m:e>
              </m:d>
              <m:r>
                <m:rPr>
                  <m:sty m:val="p"/>
                </m:rPr>
                <w:rPr>
                  <w:rFonts w:ascii="Cambria Math" w:hAnsi="Cambria Math"/>
                </w:rPr>
                <m:t>,</m:t>
              </m:r>
              <m:r>
                <w:rPr>
                  <w:rFonts w:ascii="Cambria Math" w:hAnsi="Cambria Math"/>
                </w:rPr>
                <m:t>10</m:t>
              </m:r>
            </m:e>
          </m:d>
        </m:oMath>
      </m:oMathPara>
    </w:p>
    <w:p w14:paraId="15BC05F3" w14:textId="77777777" w:rsidR="007E79DA" w:rsidRDefault="00000000">
      <w:pPr>
        <w:pStyle w:val="BodyText"/>
      </w:pPr>
      <m:oMathPara>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β0</m:t>
              </m:r>
            </m:sup>
          </m:sSubSup>
          <m:r>
            <w:rPr>
              <w:rFonts w:ascii="Cambria Math" w:hAnsi="Cambria Math"/>
            </w:rPr>
            <m:t> </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β1</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10</m:t>
              </m:r>
            </m:e>
          </m:d>
        </m:oMath>
      </m:oMathPara>
    </w:p>
    <w:p w14:paraId="693D0B86" w14:textId="77777777" w:rsidR="007E79DA" w:rsidRDefault="00000000">
      <w:pPr>
        <w:pStyle w:val="BodyText"/>
      </w:pPr>
      <m:oMathPara>
        <m:oMath>
          <m:sSubSup>
            <m:sSubSupPr>
              <m:ctrlPr>
                <w:rPr>
                  <w:rFonts w:ascii="Cambria Math" w:hAnsi="Cambria Math"/>
                </w:rPr>
              </m:ctrlPr>
            </m:sSubSupPr>
            <m:e>
              <m:sSup>
                <m:sSupPr>
                  <m:ctrlPr>
                    <w:rPr>
                      <w:rFonts w:ascii="Cambria Math" w:hAnsi="Cambria Math"/>
                    </w:rPr>
                  </m:ctrlPr>
                </m:sSupPr>
                <m:e>
                  <m:r>
                    <w:rPr>
                      <w:rFonts w:ascii="Cambria Math" w:hAnsi="Cambria Math"/>
                    </w:rPr>
                    <m:t>σ</m:t>
                  </m:r>
                </m:e>
                <m:sup>
                  <m:r>
                    <w:rPr>
                      <w:rFonts w:ascii="Cambria Math" w:hAnsi="Cambria Math"/>
                    </w:rPr>
                    <m:t>2</m:t>
                  </m:r>
                </m:sup>
              </m:sSup>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region</m:t>
              </m:r>
            </m:sub>
            <m:sup>
              <m:r>
                <w:rPr>
                  <w:rFonts w:ascii="Cambria Math" w:hAnsi="Cambria Math"/>
                </w:rPr>
                <m:t>β2</m:t>
              </m:r>
            </m:sup>
          </m:sSubSup>
          <m:r>
            <w:rPr>
              <w:rFonts w:ascii="Cambria Math" w:hAnsi="Cambria Math"/>
            </w:rPr>
            <m:t> </m:t>
          </m:r>
          <m:r>
            <m:rPr>
              <m:sty m:val="p"/>
            </m:rPr>
            <w:rPr>
              <w:rFonts w:ascii="Cambria Math" w:hAnsi="Cambria Math"/>
            </w:rPr>
            <m:t>∼</m:t>
          </m:r>
          <m:r>
            <w:rPr>
              <w:rFonts w:ascii="Cambria Math" w:hAnsi="Cambria Math"/>
            </w:rPr>
            <m:t> </m:t>
          </m:r>
          <m:r>
            <m:rPr>
              <m:nor/>
            </m:rPr>
            <m:t>Uniform</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5</m:t>
              </m:r>
            </m:e>
          </m:d>
        </m:oMath>
      </m:oMathPara>
    </w:p>
    <w:p w14:paraId="65F0021F" w14:textId="77777777" w:rsidR="007E79DA" w:rsidRDefault="00000000">
      <w:pPr>
        <w:pStyle w:val="BodyText"/>
      </w:pPr>
      <w:r>
        <w:t xml:space="preserve">where </w:t>
      </w:r>
      <w:r>
        <w:rPr>
          <w:i/>
          <w:iCs/>
        </w:rPr>
        <w:t>region</w:t>
      </w:r>
      <w:r>
        <w:t xml:space="preserve"> refers to Kodiak, Southcentral and Southeast. 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w:t>
      </w:r>
      <m:oMath>
        <m:sSub>
          <m:sSubPr>
            <m:ctrlPr>
              <w:rPr>
                <w:rFonts w:ascii="Cambria Math" w:hAnsi="Cambria Math"/>
              </w:rPr>
            </m:ctrlPr>
          </m:sSubPr>
          <m:e>
            <m:r>
              <w:rPr>
                <w:rFonts w:ascii="Cambria Math" w:hAnsi="Cambria Math"/>
              </w:rPr>
              <m:t>β</m:t>
            </m:r>
          </m:e>
          <m:sub>
            <m:r>
              <w:rPr>
                <w:rFonts w:ascii="Cambria Math" w:hAnsi="Cambria Math"/>
              </w:rPr>
              <m:t>pH</m:t>
            </m:r>
          </m:sub>
        </m:sSub>
      </m:oMath>
      <w:r>
        <w:t xml:space="preserve"> parameters were also truncated as necessary during model development to speed convergence and based on examination of traceplots and posterior distributions.</w:t>
      </w:r>
    </w:p>
    <w:p w14:paraId="438E556C" w14:textId="77777777" w:rsidR="007E79DA" w:rsidRDefault="00000000">
      <w:pPr>
        <w:pStyle w:val="BodyText"/>
      </w:pPr>
      <w:r>
        <w:t xml:space="preserve">When </w:t>
      </w:r>
      <m:oMath>
        <m:r>
          <w:rPr>
            <w:rFonts w:ascii="Cambria Math" w:hAnsi="Cambria Math"/>
          </w:rPr>
          <m:t>β</m:t>
        </m:r>
      </m:oMath>
      <w:r>
        <w:t xml:space="preserve"> parameters were inestimable as a result of no discernible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and </w:t>
      </w:r>
      <m:oMath>
        <m:r>
          <w:rPr>
            <w:rFonts w:ascii="Cambria Math" w:hAnsi="Cambria Math"/>
          </w:rPr>
          <m:t>β3</m:t>
        </m:r>
      </m:oMath>
      <w:r>
        <w:t xml:space="preserve"> (inflection </w:t>
      </w:r>
      <w:r>
        <w:lastRenderedPageBreak/>
        <w:t xml:space="preserve">point) was fixed to an arbitrary value so that equation </w:t>
      </w:r>
      <w:r>
        <w:rPr>
          <w:b/>
          <w:bCs/>
        </w:rPr>
        <w:t>XX</w:t>
      </w:r>
      <w:r>
        <w:t xml:space="preserve"> resolves to equation </w:t>
      </w:r>
      <w:r>
        <w:rPr>
          <w:b/>
          <w:bCs/>
        </w:rPr>
        <w:t>XX</w:t>
      </w:r>
      <w:r>
        <w:t xml:space="preserve"> and the long term mean value was used for hindcasting. Long term means were fit for WKMA pelagics, all yelloweye, CI, BSAI, SOKO2SAP, and WKMA “other” rockfish, and SE slope rockfish assemblages.</w:t>
      </w:r>
    </w:p>
    <w:p w14:paraId="466FFB3B" w14:textId="77777777" w:rsidR="007E79DA" w:rsidRDefault="00000000">
      <w:pPr>
        <w:pStyle w:val="BodyText"/>
      </w:pPr>
      <w:r>
        <w:t xml:space="preserve">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describing the offset of the </w:t>
      </w:r>
      <w:r>
        <w:rPr>
          <w:i/>
          <w:iCs/>
        </w:rPr>
        <w:t>pH</w:t>
      </w:r>
      <w:r>
        <w:t xml:space="preserve"> logistic curve (or long-term average) for unguided anglers used a prior developed from the SWHS data that indicated whether private anglers were more or less likely to harvest a landed rockfish. The SWHS provides information on the relative number of total rockfish caught, retained and released for each user group and was used to derive an informative prior on retention probabilities, </w:t>
      </w:r>
      <w:r>
        <w:rPr>
          <w:i/>
          <w:iCs/>
        </w:rPr>
        <w:t>pH</w:t>
      </w:r>
      <w:r>
        <w:t>. Because the proportion harvested is known for guided anglers via logbook data, the difference in the proportion harvested for each user group in the SWHS data suggests whether private anglers are more or less likely to retain a generic rockfish relative to guided anglers. The same relationship was used in the Howard methods to directly calculate unguided releases whereas this approach treats it as a prior that interacts with other relevant data sources to provide a more data and process driven estimate of releases (Figure 8).</w:t>
      </w:r>
    </w:p>
    <w:p w14:paraId="5105EEF5" w14:textId="77777777" w:rsidR="007E79DA" w:rsidRDefault="00000000">
      <w:pPr>
        <w:pStyle w:val="BodyText"/>
      </w:pPr>
      <w:r>
        <w:t xml:space="preserve">As such the SWHS data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6BAD15C0" w14:textId="77777777" w:rsidR="007E79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6A286467" w14:textId="77777777" w:rsidR="007E79DA" w:rsidRDefault="00000000">
      <w:pPr>
        <w:pStyle w:val="BodyText"/>
      </w:pPr>
      <w:r>
        <w:t xml:space="preserve">such that the proportion harvested for each user group, </w:t>
      </w:r>
      <w:r>
        <w:rPr>
          <w:i/>
          <w:iCs/>
        </w:rPr>
        <w:t>u</w:t>
      </w:r>
      <w:r>
        <w:t>, is</w:t>
      </w:r>
    </w:p>
    <w:p w14:paraId="2AA0B4C9" w14:textId="77777777" w:rsidR="007E79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7244560A" w14:textId="77777777" w:rsidR="007E79DA"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2A5A15D" w14:textId="77777777" w:rsidR="007E79DA"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672C3DA1" w14:textId="77777777" w:rsidR="007E79DA" w:rsidRDefault="00000000">
      <w:pPr>
        <w:pStyle w:val="BodyText"/>
      </w:pPr>
      <w:r>
        <w:t xml:space="preserve">For each area the area specific mean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27454951" w14:textId="77777777" w:rsidR="007E79DA"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281A7D9F" w14:textId="37304468" w:rsidR="007E79DA" w:rsidRDefault="00000000">
      <w:pPr>
        <w:pStyle w:val="BodyText"/>
      </w:pPr>
      <w:r>
        <w:t xml:space="preserve">where </w:t>
      </w:r>
      <w:r w:rsidR="00F174B6">
        <w:t>predicted</w:t>
      </w:r>
      <w:r w:rsidR="00F174B6">
        <w:t xml:space="preserve">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B520465" w14:textId="77777777" w:rsidR="007E79DA"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r>
                    <w:rPr>
                      <w:rFonts w:ascii="Cambria Math" w:hAnsi="Cambria Math"/>
                    </w:rPr>
                    <m:t>pHayu</m:t>
                  </m:r>
                </m:sub>
                <m:sup>
                  <m:r>
                    <w:rPr>
                      <w:rFonts w:ascii="Cambria Math" w:hAnsi="Cambria Math"/>
                    </w:rPr>
                    <m:t>2</m:t>
                  </m:r>
                </m:sup>
              </m:sSubSup>
            </m:e>
          </m:d>
        </m:oMath>
      </m:oMathPara>
    </w:p>
    <w:p w14:paraId="347F630B" w14:textId="77777777" w:rsidR="007E79DA" w:rsidRDefault="00000000">
      <w:pPr>
        <w:pStyle w:val="BodyText"/>
      </w:pPr>
      <w:r>
        <w:t>and</w:t>
      </w:r>
    </w:p>
    <w:p w14:paraId="16077A5C" w14:textId="2572A662" w:rsidR="007E79DA" w:rsidRDefault="00000000">
      <w:pPr>
        <w:pStyle w:val="BodyText"/>
      </w:pPr>
      <m:oMathPara>
        <m:oMath>
          <m:r>
            <m:rPr>
              <m:nor/>
            </m:rPr>
            <w:lastRenderedPageBreak/>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den>
              </m:f>
            </m:e>
          </m:d>
        </m:oMath>
      </m:oMathPara>
    </w:p>
    <w:p w14:paraId="37EDDB56" w14:textId="77777777" w:rsidR="007E79DA"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oMath>
      <w:r>
        <w:t xml:space="preserve"> assumed vague priors</w:t>
      </w:r>
    </w:p>
    <w:p w14:paraId="3B0449C2" w14:textId="77777777" w:rsidR="007E79DA" w:rsidRDefault="00000000">
      <w:pPr>
        <w:pStyle w:val="BodyText"/>
      </w:pPr>
      <m:oMathPara>
        <m:oMath>
          <m:r>
            <m:rPr>
              <m:nor/>
            </m: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32</m:t>
              </m:r>
            </m:e>
          </m:d>
        </m:oMath>
      </m:oMathPara>
    </w:p>
    <w:p w14:paraId="2E8E7750" w14:textId="77777777" w:rsidR="007E79DA" w:rsidRDefault="00000000">
      <w:pPr>
        <w:pStyle w:val="BodyText"/>
      </w:pPr>
      <m:oMathPara>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Gamma</m:t>
          </m:r>
          <m:d>
            <m:dPr>
              <m:ctrlPr>
                <w:rPr>
                  <w:rFonts w:ascii="Cambria Math" w:hAnsi="Cambria Math"/>
                </w:rPr>
              </m:ctrlPr>
            </m:dPr>
            <m:e>
              <m:r>
                <w:rPr>
                  <w:rFonts w:ascii="Cambria Math" w:hAnsi="Cambria Math"/>
                </w:rPr>
                <m:t>0.1</m:t>
              </m:r>
              <m:r>
                <m:rPr>
                  <m:sty m:val="p"/>
                </m:rPr>
                <w:rPr>
                  <w:rFonts w:ascii="Cambria Math" w:hAnsi="Cambria Math"/>
                </w:rPr>
                <m:t>,</m:t>
              </m:r>
              <m:r>
                <w:rPr>
                  <w:rFonts w:ascii="Cambria Math" w:hAnsi="Cambria Math"/>
                </w:rPr>
                <m:t>0.1</m:t>
              </m:r>
            </m:e>
          </m:d>
        </m:oMath>
      </m:oMathPara>
    </w:p>
    <w:p w14:paraId="2A83F7C1" w14:textId="77777777" w:rsidR="007E79DA" w:rsidRDefault="00000000">
      <w:pPr>
        <w:pStyle w:val="BodyText"/>
      </w:pPr>
      <w:r>
        <w:t xml:space="preserve">These priors were weakly informative given the large variances associated with SWHS release estimates and propagation of that uncertainty through the derivation of the priors (FIGURE 9 pH Priors). Given the other sources of data informing </w:t>
      </w:r>
      <w:r>
        <w:rPr>
          <w:i/>
          <w:iCs/>
        </w:rPr>
        <w:t>pH</w:t>
      </w:r>
      <w:r>
        <w:t xml:space="preserve"> estimates it was not clear that these vague priors would be necessary. However, sensitivity testing during model development demonstrated that the priors significantly aided model convergence and provided stability during the early years in the time series when other data sources about unguided angler harvest probabilities were not available.</w:t>
      </w:r>
    </w:p>
    <w:p w14:paraId="23C469BA" w14:textId="77777777" w:rsidR="007E79DA" w:rsidRDefault="00000000">
      <w:pPr>
        <w:pStyle w:val="Heading3"/>
      </w:pPr>
      <w:bookmarkStart w:id="24" w:name="total-mortality"/>
      <w:bookmarkEnd w:id="23"/>
      <w:r>
        <w:t>Total mortality</w:t>
      </w:r>
    </w:p>
    <w:p w14:paraId="4118CA67" w14:textId="77777777" w:rsidR="007E79DA" w:rsidRDefault="00000000">
      <w:pPr>
        <w:pStyle w:val="FirstParagraph"/>
      </w:pPr>
      <w:r>
        <w:t>Release mortality (i.e., the number of released rockfish expected to die) was calculated assuming fixed mortality rates developed in each of the regions (FIGURE 7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6F19B658" w14:textId="77777777" w:rsidR="007E79DA" w:rsidRDefault="00000000">
      <w:pPr>
        <w:pStyle w:val="BodyText"/>
      </w:pPr>
      <w:r>
        <w:t>The total number of mortalities by year, area, user and species/species assemblage in numbers was calculated by summing harvests and release mortality such that</w:t>
      </w:r>
    </w:p>
    <w:p w14:paraId="48754182" w14:textId="77777777" w:rsidR="007E79DA"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55EF5A9"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7 REL_MORT).</w:t>
      </w:r>
    </w:p>
    <w:p w14:paraId="370341A4" w14:textId="77777777" w:rsidR="007E79DA" w:rsidRDefault="00000000">
      <w:pPr>
        <w:pStyle w:val="Heading3"/>
      </w:pPr>
      <w:bookmarkStart w:id="25" w:name="biomass-conversions"/>
      <w:bookmarkEnd w:id="24"/>
      <w:r>
        <w:t>Biomass conversions</w:t>
      </w:r>
    </w:p>
    <w:p w14:paraId="12FA03FA" w14:textId="77777777" w:rsidR="007E79DA" w:rsidRDefault="00000000">
      <w:pPr>
        <w:pStyle w:val="FirstParagraph"/>
      </w:pPr>
      <w:r>
        <w:t>Total removals in numbers of fish were converted to biomass in pounds using the average weight of fish as estimated from port sampling. Weights were modeled hierarchically to estimate weights in years when data was missing. The total biomass of removals by year, area, user and species was thus</w:t>
      </w:r>
    </w:p>
    <w:p w14:paraId="1C7747AB" w14:textId="77777777" w:rsidR="007E79DA" w:rsidRDefault="00000000">
      <w:pPr>
        <w:pStyle w:val="BodyText"/>
      </w:pPr>
      <m:oMathPara>
        <m:oMath>
          <m:sSub>
            <m:sSubPr>
              <m:ctrlPr>
                <w:rPr>
                  <w:rFonts w:ascii="Cambria Math" w:hAnsi="Cambria Math"/>
                </w:rPr>
              </m:ctrlPr>
            </m:sSubPr>
            <m:e>
              <m:r>
                <w:rPr>
                  <w:rFonts w:ascii="Cambria Math" w:hAnsi="Cambria Math"/>
                </w:rPr>
                <m:t>B</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2705274A" w14:textId="77777777" w:rsidR="007E79DA" w:rsidRDefault="00000000">
      <w:pPr>
        <w:pStyle w:val="BodyText"/>
      </w:pPr>
      <w:r>
        <w:t xml:space="preserve">where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mean weight by species, area, user and year.</w:t>
      </w:r>
    </w:p>
    <w:p w14:paraId="0BC11641" w14:textId="77777777" w:rsidR="007E79DA" w:rsidRDefault="00000000">
      <w:pPr>
        <w:pStyle w:val="Heading2"/>
      </w:pPr>
      <w:bookmarkStart w:id="26" w:name="observation-equations"/>
      <w:bookmarkStart w:id="27" w:name="_Toc242864665"/>
      <w:bookmarkEnd w:id="19"/>
      <w:bookmarkEnd w:id="25"/>
      <w:r>
        <w:lastRenderedPageBreak/>
        <w:t>Observation equations</w:t>
      </w:r>
      <w:bookmarkEnd w:id="27"/>
    </w:p>
    <w:p w14:paraId="097F8353" w14:textId="77777777" w:rsidR="007E79DA" w:rsidRDefault="00000000">
      <w:pPr>
        <w:pStyle w:val="Heading3"/>
      </w:pPr>
      <w:bookmarkStart w:id="28" w:name="harvests-1"/>
      <w:r>
        <w:t>Harvests</w:t>
      </w:r>
    </w:p>
    <w:p w14:paraId="7BDDB41B" w14:textId="77777777" w:rsidR="007E79DA"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03536F6A"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32E5F5DF" w14:textId="77777777" w:rsidR="007E79DA"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is modeled hierarchically across years as:</w:t>
      </w:r>
    </w:p>
    <w:p w14:paraId="3B1646FA" w14:textId="77777777" w:rsidR="007E79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60ADC2EE" w14:textId="77777777" w:rsidR="007E79DA"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051C03B3"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1EC69856" w14:textId="77777777" w:rsidR="007E79DA" w:rsidRDefault="00000000">
      <w:pPr>
        <w:pStyle w:val="BodyText"/>
      </w:pPr>
      <w:r>
        <w:t xml:space="preserve">Reported guide logbook harvests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and are related to true harvest as:</w:t>
      </w:r>
    </w:p>
    <w:p w14:paraId="43CED875"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7152E9B3"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14DC7922"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691FBFA0"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20758C3" w14:textId="77777777" w:rsidR="007E79DA"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non-yelloweye DSR and slope harvests. Although yelloweye rockfish are technically part of the DSR complex, the DSR estimates in this report do not include yelloweye rockfish.</w:t>
      </w:r>
    </w:p>
    <w:p w14:paraId="6EE4D913" w14:textId="77777777" w:rsidR="007E79DA" w:rsidRDefault="00000000">
      <w:pPr>
        <w:pStyle w:val="Heading3"/>
      </w:pPr>
      <w:bookmarkStart w:id="29" w:name="species-compositions-port-sampling"/>
      <w:bookmarkEnd w:id="28"/>
      <w:r>
        <w:t>Species Compositions (Port Sampling)</w:t>
      </w:r>
    </w:p>
    <w:p w14:paraId="5C689C7F" w14:textId="77777777" w:rsidR="007E79DA" w:rsidRDefault="00000000">
      <w:pPr>
        <w:pStyle w:val="FirstParagraph"/>
      </w:pPr>
      <w:r>
        <w:t xml:space="preserve">The number of pelagic rockfish sampled in port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 relative to the true proportion of the harvest comprised of pelagic rockfish,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in area </w:t>
      </w:r>
      <w:r>
        <w:rPr>
          <w:i/>
          <w:iCs/>
        </w:rPr>
        <w:t>a</w:t>
      </w:r>
      <w:r>
        <w:t xml:space="preserve">, year </w:t>
      </w:r>
      <w:r>
        <w:rPr>
          <w:i/>
          <w:iCs/>
        </w:rPr>
        <w:t>y</w:t>
      </w:r>
      <w:r>
        <w:t xml:space="preserve"> by user group </w:t>
      </w:r>
      <w:r>
        <w:rPr>
          <w:i/>
          <w:iCs/>
        </w:rPr>
        <w:t>u</w:t>
      </w:r>
      <w:r>
        <w:t>, such that:</w:t>
      </w:r>
    </w:p>
    <w:p w14:paraId="3448A8F3"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628652EF"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562880CD"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6AE21A7A" w14:textId="77777777" w:rsidR="007E79DA"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7F1EAAA2"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68513D8" w14:textId="77777777" w:rsidR="007E79DA" w:rsidRDefault="00000000">
      <w:pPr>
        <w:pStyle w:val="BodyText"/>
      </w:pPr>
      <w:r>
        <w:t>Southeast areas have two other non-pelagic groupings such that non-yelloweye DSR and slope rockfish are a proportion of non-pelagics such that</w:t>
      </w:r>
    </w:p>
    <w:p w14:paraId="4A571D36"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B086EFF" w14:textId="77777777" w:rsidR="007E79DA" w:rsidRDefault="00000000">
      <w:pPr>
        <w:pStyle w:val="BodyText"/>
      </w:pPr>
      <w:r>
        <w:t>and</w:t>
      </w:r>
    </w:p>
    <w:p w14:paraId="5D96DFF6"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001ACA78" w14:textId="77777777" w:rsidR="007E79DA" w:rsidRDefault="00000000">
      <w:pPr>
        <w:pStyle w:val="Heading3"/>
      </w:pPr>
      <w:bookmarkStart w:id="30" w:name="releases-1"/>
      <w:bookmarkEnd w:id="29"/>
      <w:r>
        <w:t>Releases</w:t>
      </w:r>
    </w:p>
    <w:p w14:paraId="1ED618DD" w14:textId="77777777" w:rsidR="007E79DA"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1684A3C4"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798B5105" w14:textId="77777777" w:rsidR="007E79DA" w:rsidRDefault="00000000">
      <w:pPr>
        <w:pStyle w:val="BodyText"/>
      </w:pPr>
      <w:r>
        <w:t>SWHS estimates of guided angler releases assumed an independent bias from that of the harvests such that</w:t>
      </w:r>
    </w:p>
    <w:p w14:paraId="70B01D35" w14:textId="77777777" w:rsidR="007E79DA"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2F5D65C7" w14:textId="77777777" w:rsidR="007E79DA"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is modeled hierarchically across years with non-informative priors on both parameters (Table 2 PRIORS).</w:t>
      </w:r>
    </w:p>
    <w:p w14:paraId="2D164FF2" w14:textId="77777777" w:rsidR="007E79DA"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are related to true releases as:</w:t>
      </w:r>
    </w:p>
    <w:p w14:paraId="4C05C9C9"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151AF9D1"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46EE7994"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45BAF483"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304325F3" w14:textId="77777777" w:rsidR="007E79DA"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in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1B13A562"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5BBC6CBA"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landed of that species assemblage.</w:t>
      </w:r>
    </w:p>
    <w:p w14:paraId="66A40A63" w14:textId="77777777" w:rsidR="007E79DA"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To accommodate apparent overdispersion in the angler interview data for the slope and DSR </w:t>
      </w:r>
      <w:r>
        <w:lastRenderedPageBreak/>
        <w:t xml:space="preserve">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oMath>
      <w:r>
        <w:t>, with area-specific overdispersion such that</w:t>
      </w:r>
    </w:p>
    <w:p w14:paraId="3E2F6A9B" w14:textId="77777777" w:rsidR="007E79DA"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m:oMathPara>
    </w:p>
    <w:p w14:paraId="3C1992B4"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is an area-specific random effect that compensates for overdisperion</w:t>
      </w:r>
    </w:p>
    <w:p w14:paraId="3C1DC76D" w14:textId="77777777" w:rsidR="007E79DA"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e>
          </m:d>
        </m:oMath>
      </m:oMathPara>
    </w:p>
    <w:p w14:paraId="5D7877BD" w14:textId="77777777" w:rsidR="007E79D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m:t>
            </m:r>
          </m:sub>
        </m:sSub>
      </m:oMath>
      <w:r>
        <w:t xml:space="preserve"> was modelled with a uniform prior between 0 and 6, resulting in an adjusted binomial likelihood that accommodates the overdispersed probability as</w:t>
      </w:r>
    </w:p>
    <w:p w14:paraId="71967103" w14:textId="77777777" w:rsidR="007E79DA"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slope</m:t>
                      </m:r>
                    </m:e>
                  </m:d>
                  <m:r>
                    <w:rPr>
                      <w:rFonts w:ascii="Cambria Math" w:hAnsi="Cambria Math"/>
                    </w:rPr>
                    <m:t>ayu</m:t>
                  </m:r>
                </m:sub>
              </m:sSub>
            </m:e>
          </m:d>
        </m:oMath>
      </m:oMathPara>
    </w:p>
    <w:p w14:paraId="337A7AC0" w14:textId="77777777" w:rsidR="007E79DA" w:rsidRDefault="00000000">
      <w:pPr>
        <w:pStyle w:val="BodyText"/>
      </w:pPr>
      <w:r>
        <w:t>Release estimates interact such that the model estimates of species-specific releases must sum to the bias corrected SWHS estimate of releases for both user groups such that</w:t>
      </w:r>
    </w:p>
    <w:p w14:paraId="7CC3D88F" w14:textId="77777777" w:rsidR="007E79DA"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0057EABA" w14:textId="77777777" w:rsidR="007E79DA" w:rsidRDefault="00000000">
      <w:pPr>
        <w:pStyle w:val="BodyText"/>
      </w:pPr>
      <w:r>
        <w:t>and for Southeast areas</w:t>
      </w:r>
    </w:p>
    <w:p w14:paraId="47D48FF3" w14:textId="77777777" w:rsidR="007E79DA"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40A347D4" w14:textId="77777777" w:rsidR="007E79DA"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portside interview data is the primary driver of unguided release estimates, but the other data sources and modelled interactions provide further information where interview data is limited or absent.</w:t>
      </w:r>
    </w:p>
    <w:p w14:paraId="53075D1E" w14:textId="77777777" w:rsidR="007E79DA" w:rsidRDefault="00000000">
      <w:pPr>
        <w:pStyle w:val="Heading3"/>
      </w:pPr>
      <w:bookmarkStart w:id="31" w:name="weights"/>
      <w:bookmarkEnd w:id="30"/>
      <w:r>
        <w:t>Weights</w:t>
      </w:r>
    </w:p>
    <w:p w14:paraId="5C8C1E37" w14:textId="77777777" w:rsidR="007E79DA" w:rsidRDefault="00000000">
      <w:pPr>
        <w:pStyle w:val="FirstParagraph"/>
      </w:pPr>
      <w:r>
        <w:t xml:space="preserve">The average weight of rockfish by species, user, area and year was modeled hierarchically at several levels within regions such that the average weight by species, area, year and user group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related to the average weight by area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which is related to the average weight by region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which is related to the average weight by species assemblage </w:t>
      </w:r>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oMath>
      <w:r>
        <w:t xml:space="preserve"> such that</w:t>
      </w:r>
    </w:p>
    <w:p w14:paraId="0670076A" w14:textId="77777777" w:rsidR="007E79DA" w:rsidRDefault="00000000">
      <w:pPr>
        <w:pStyle w:val="BodyText"/>
      </w:pPr>
      <m:oMathPara>
        <m:oMath>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e>
          </m:d>
        </m:oMath>
      </m:oMathPara>
    </w:p>
    <w:p w14:paraId="12D92269" w14:textId="77777777" w:rsidR="007E79DA" w:rsidRDefault="00000000">
      <w:pPr>
        <w:pStyle w:val="BodyText"/>
      </w:pPr>
      <w:r>
        <w:t xml:space="preserve">where </w:t>
      </w:r>
      <w:r>
        <w:rPr>
          <w:i/>
          <w:iCs/>
        </w:rPr>
        <w:t>region</w:t>
      </w:r>
      <w:r>
        <w:t xml:space="preserve"> refers to Kodiak, Southcentral and Southeast, </w:t>
      </w:r>
      <m:oMath>
        <m:sSub>
          <m:sSubPr>
            <m:ctrlPr>
              <w:rPr>
                <w:rFonts w:ascii="Cambria Math" w:hAnsi="Cambria Math"/>
              </w:rPr>
            </m:ctrlPr>
          </m:sSubPr>
          <m:e>
            <m:r>
              <w:rPr>
                <w:rFonts w:ascii="Cambria Math" w:hAnsi="Cambria Math"/>
              </w:rPr>
              <m:t>σ</m:t>
            </m:r>
          </m:e>
          <m:sub>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sub>
            </m:sSub>
          </m:sub>
        </m:sSub>
      </m:oMath>
      <w:r>
        <w:t xml:space="preserve"> is the variance of the weight for each species assemblage,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is an offset defining the difference in mean weights between user groups in each area and </w:t>
      </w:r>
      <w:r>
        <w:rPr>
          <w:i/>
          <w:iCs/>
        </w:rPr>
        <w:t>I</w:t>
      </w:r>
      <w:r>
        <w:t xml:space="preserve"> is an index variable which is 1 when the user group is private and 0 when it is guided. The prior for the species mean weight was centered on the mean of the data and corresponding variance and standard deviation.</w:t>
      </w:r>
    </w:p>
    <w:p w14:paraId="2F09D2C3" w14:textId="77777777" w:rsidR="007E79DA" w:rsidRDefault="00000000">
      <w:pPr>
        <w:pStyle w:val="BodyText"/>
      </w:pPr>
      <w:r>
        <w:lastRenderedPageBreak/>
        <w:t xml:space="preserve">The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was modeled hierarchically at the regional level such that</w:t>
      </w:r>
    </w:p>
    <w:p w14:paraId="26E75AA8" w14:textId="77777777" w:rsidR="007E79DA" w:rsidRDefault="00000000">
      <w:pPr>
        <w:pStyle w:val="BodyText"/>
      </w:pPr>
      <m:oMathPara>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e>
          </m:d>
        </m:oMath>
      </m:oMathPara>
    </w:p>
    <w:p w14:paraId="148DB461"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given a weak prior centered around 0 and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sub>
        </m:sSub>
      </m:oMath>
      <w:r>
        <w:t xml:space="preserve"> was given an uninformative uniform prior between 0 and 5. Because the Kodiak region only has weight data from the Northeast CFMU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region</m:t>
            </m:r>
          </m:sub>
        </m:sSub>
      </m:oMath>
      <w:r>
        <w:t xml:space="preserve"> was used in lieu of </w:t>
      </w:r>
      <m:oMath>
        <m:sSub>
          <m:sSubPr>
            <m:ctrlPr>
              <w:rPr>
                <w:rFonts w:ascii="Cambria Math" w:hAnsi="Cambria Math"/>
              </w:rPr>
            </m:ctrlPr>
          </m:sSubPr>
          <m:e>
            <m:r>
              <w:rPr>
                <w:rFonts w:ascii="Cambria Math" w:hAnsi="Cambria Math"/>
              </w:rPr>
              <m:t>δ</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in equation XX above.</w:t>
      </w:r>
    </w:p>
    <w:p w14:paraId="1B4D9C72" w14:textId="77777777" w:rsidR="007E79DA" w:rsidRDefault="00000000">
      <w:pPr>
        <w:pStyle w:val="BodyText"/>
      </w:pPr>
      <w:r>
        <w:t>Observed mean weights assume a normal distribution such that</w:t>
      </w:r>
    </w:p>
    <w:p w14:paraId="0B778587" w14:textId="77777777" w:rsidR="007E79DA" w:rsidRDefault="00000000">
      <w:pPr>
        <w:pStyle w:val="BodyText"/>
      </w:pPr>
      <m:oMathPara>
        <m:oMath>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w</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e>
          </m:d>
        </m:oMath>
      </m:oMathPara>
    </w:p>
    <w:p w14:paraId="034A43CB"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σ</m:t>
            </m:r>
          </m:e>
          <m:sub>
            <m:sSub>
              <m:sSubPr>
                <m:ctrlPr>
                  <w:rPr>
                    <w:rFonts w:ascii="Cambria Math" w:hAnsi="Cambria Math"/>
                  </w:rPr>
                </m:ctrlPr>
              </m:sSubPr>
              <m:e>
                <m:bar>
                  <m:barPr>
                    <m:pos m:val="top"/>
                    <m:ctrlPr>
                      <w:rPr>
                        <w:rFonts w:ascii="Cambria Math" w:hAnsi="Cambria Math"/>
                      </w:rPr>
                    </m:ctrlPr>
                  </m:barPr>
                  <m:e>
                    <m:r>
                      <w:rPr>
                        <w:rFonts w:ascii="Cambria Math" w:hAnsi="Cambria Math"/>
                      </w:rPr>
                      <m:t>wt</m:t>
                    </m:r>
                  </m:e>
                </m:bar>
              </m:e>
              <m:sub>
                <m:d>
                  <m:dPr>
                    <m:ctrlPr>
                      <w:rPr>
                        <w:rFonts w:ascii="Cambria Math" w:hAnsi="Cambria Math"/>
                      </w:rPr>
                    </m:ctrlPr>
                  </m:dPr>
                  <m:e>
                    <m:r>
                      <w:rPr>
                        <w:rFonts w:ascii="Cambria Math" w:hAnsi="Cambria Math"/>
                      </w:rPr>
                      <m:t>comp</m:t>
                    </m:r>
                  </m:e>
                </m:d>
                <m:r>
                  <w:rPr>
                    <w:rFonts w:ascii="Cambria Math" w:hAnsi="Cambria Math"/>
                  </w:rPr>
                  <m:t>ayu</m:t>
                </m:r>
              </m:sub>
            </m:sSub>
          </m:sub>
        </m:sSub>
      </m:oMath>
      <w:r>
        <w:t xml:space="preserve"> is the bootstrapped variance of the mean in Southcentral and Kodiak regions or the 4-stage estimate used in the Southeast region.</w:t>
      </w:r>
    </w:p>
    <w:p w14:paraId="53177B9E" w14:textId="77777777" w:rsidR="007E79DA" w:rsidRDefault="00000000">
      <w:pPr>
        <w:pStyle w:val="Heading3"/>
      </w:pPr>
      <w:bookmarkStart w:id="32" w:name="X80429dd3efbff01d1a40e42b33042e32d99ec3c"/>
      <w:bookmarkEnd w:id="31"/>
      <w:r>
        <w:t>Kodiak Stereoscopic Species Apportionment</w:t>
      </w:r>
    </w:p>
    <w:p w14:paraId="46EE3112" w14:textId="77777777" w:rsidR="007E79DA" w:rsidRDefault="00000000">
      <w:pPr>
        <w:pStyle w:val="FirstParagraph"/>
      </w:pPr>
      <w:r>
        <w:t>Kodiak has limited port sampling beyond the main harbors but has a robust hydroacoustic survey that is used to quantify black rockfish abundance across the management area and uses stereocameras to define the species compositions of the hydroacoustic-based fish counts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harvest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related to the observed proportion in the hydroacoustic data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such that</w:t>
      </w:r>
    </w:p>
    <w:p w14:paraId="3ADD53C2" w14:textId="77777777" w:rsidR="007E79DA"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au</m:t>
              </m:r>
            </m:sub>
          </m:sSub>
        </m:oMath>
      </m:oMathPara>
    </w:p>
    <w:p w14:paraId="57E3199C" w14:textId="77777777" w:rsidR="007E79DA" w:rsidRDefault="00000000">
      <w:pPr>
        <w:pStyle w:val="BodyText"/>
      </w:pPr>
      <w:r>
        <w:t xml:space="preserve">where </w:t>
      </w:r>
      <m:oMath>
        <m:sSub>
          <m:sSubPr>
            <m:ctrlPr>
              <w:rPr>
                <w:rFonts w:ascii="Cambria Math" w:hAnsi="Cambria Math"/>
              </w:rPr>
            </m:ctrlPr>
          </m:sSubPr>
          <m:e>
            <m:r>
              <w:rPr>
                <w:rFonts w:ascii="Cambria Math" w:hAnsi="Cambria Math"/>
              </w:rPr>
              <m:t>ψ</m:t>
            </m:r>
          </m:e>
          <m:sub>
            <m:r>
              <w:rPr>
                <w:rFonts w:ascii="Cambria Math" w:hAnsi="Cambria Math"/>
              </w:rPr>
              <m:t>au</m:t>
            </m:r>
          </m:sub>
        </m:sSub>
      </m:oMath>
      <w:r>
        <w:t xml:space="preserve"> is the angler effect for each area and user group modeled hierarchically around a mean of 0 such that</w:t>
      </w:r>
    </w:p>
    <w:p w14:paraId="3E5A513C" w14:textId="77777777" w:rsidR="007E79DA" w:rsidRDefault="00000000">
      <w:pPr>
        <w:pStyle w:val="BodyText"/>
      </w:pPr>
      <m:oMathPara>
        <m:oMath>
          <m:sSub>
            <m:sSubPr>
              <m:ctrlPr>
                <w:rPr>
                  <w:rFonts w:ascii="Cambria Math" w:hAnsi="Cambria Math"/>
                </w:rPr>
              </m:ctrlPr>
            </m:sSubPr>
            <m:e>
              <m:r>
                <w:rPr>
                  <w:rFonts w:ascii="Cambria Math" w:hAnsi="Cambria Math"/>
                </w:rPr>
                <m:t>ψ</m:t>
              </m:r>
            </m:e>
            <m:sub>
              <m:r>
                <w:rPr>
                  <w:rFonts w:ascii="Cambria Math" w:hAnsi="Cambria Math"/>
                </w:rPr>
                <m:t>au</m:t>
              </m:r>
            </m:sub>
          </m:sSub>
          <m:r>
            <w:rPr>
              <w:rFonts w:ascii="Cambria Math" w:hAnsi="Cambria Math"/>
            </w:rPr>
            <m:t> </m:t>
          </m:r>
          <m:r>
            <m:rPr>
              <m:sty m:val="p"/>
            </m:rPr>
            <w:rPr>
              <w:rFonts w:ascii="Cambria Math" w:hAnsi="Cambria Math"/>
            </w:rPr>
            <m:t>∼</m:t>
          </m:r>
          <m:r>
            <w:rPr>
              <w:rFonts w:ascii="Cambria Math" w:hAnsi="Cambria Math"/>
            </w:rPr>
            <m:t> LogNormal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ψ</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ψ</m:t>
                  </m:r>
                </m:sub>
              </m:sSub>
            </m:e>
          </m:d>
        </m:oMath>
      </m:oMathPara>
    </w:p>
    <w:p w14:paraId="29EB434A" w14:textId="77777777" w:rsidR="007E79DA" w:rsidRDefault="00000000">
      <w:pPr>
        <w:pStyle w:val="BodyText"/>
      </w:pPr>
      <w:r>
        <w:t>where</w:t>
      </w:r>
    </w:p>
    <w:p w14:paraId="41813537" w14:textId="77777777" w:rsidR="007E79DA" w:rsidRDefault="00000000">
      <w:pPr>
        <w:pStyle w:val="BodyText"/>
      </w:pPr>
      <m:oMathPara>
        <m:oMath>
          <m:sSub>
            <m:sSubPr>
              <m:ctrlPr>
                <w:rPr>
                  <w:rFonts w:ascii="Cambria Math" w:hAnsi="Cambria Math"/>
                </w:rPr>
              </m:ctrlPr>
            </m:sSubPr>
            <m:e>
              <m:r>
                <w:rPr>
                  <w:rFonts w:ascii="Cambria Math" w:hAnsi="Cambria Math"/>
                </w:rPr>
                <m:t>μ</m:t>
              </m:r>
            </m:e>
            <m:sub>
              <m:r>
                <w:rPr>
                  <w:rFonts w:ascii="Cambria Math" w:hAnsi="Cambria Math"/>
                </w:rPr>
                <m:t>ψ</m:t>
              </m:r>
            </m:sub>
          </m:sSub>
          <m:r>
            <w:rPr>
              <w:rFonts w:ascii="Cambria Math" w:hAnsi="Cambria Math"/>
            </w:rPr>
            <m:t> </m:t>
          </m:r>
          <m:r>
            <m:rPr>
              <m:sty m:val="p"/>
            </m:rPr>
            <w:rPr>
              <w:rFonts w:ascii="Cambria Math" w:hAnsi="Cambria Math"/>
            </w:rPr>
            <m:t>∼</m:t>
          </m:r>
          <m:r>
            <w:rPr>
              <w:rFonts w:ascii="Cambria Math" w:hAnsi="Cambria Math"/>
            </w:rPr>
            <m:t> Normal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0.1</m:t>
              </m:r>
            </m:e>
          </m:d>
        </m:oMath>
      </m:oMathPara>
    </w:p>
    <w:p w14:paraId="14E355D3" w14:textId="4C54B8B3" w:rsidR="007E79DA"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ψ</m:t>
            </m:r>
          </m:sub>
        </m:sSub>
      </m:oMath>
      <w:r>
        <w:t xml:space="preserve"> was given a uniform prior between 0 and 5. </w:t>
      </w:r>
      <w:r w:rsidR="00B5265D">
        <w:t>The p</w:t>
      </w:r>
      <w:r w:rsidR="00B5265D">
        <w:t>redicted</w:t>
      </w:r>
      <w:r w:rsidR="00B5265D">
        <w:t xml:space="preserve"> proportion in the hydroacoustic data,</w:t>
      </w:r>
      <w:r w:rsidR="00B5265D">
        <w:t xml:space="preserve">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rsidR="00B5265D">
        <w:t>,</w:t>
      </w:r>
      <w:r>
        <w:t xml:space="preserve"> assumed a beta distribution such that</w:t>
      </w:r>
    </w:p>
    <w:p w14:paraId="70604722" w14:textId="77777777" w:rsidR="007E79DA"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3895C822" w14:textId="77777777" w:rsidR="007E79DA" w:rsidRDefault="00000000">
      <w:pPr>
        <w:pStyle w:val="BodyText"/>
      </w:pPr>
      <w:r>
        <w:t xml:space="preserve">where </w:t>
      </w:r>
      <m:oMath>
        <m:sSup>
          <m:sSupPr>
            <m:ctrlPr>
              <w:rPr>
                <w:rFonts w:ascii="Cambria Math" w:hAnsi="Cambria Math"/>
              </w:rPr>
            </m:ctrlPr>
          </m:sSupPr>
          <m:e>
            <m:r>
              <w:rPr>
                <w:rFonts w:ascii="Cambria Math" w:hAnsi="Cambria Math"/>
              </w:rPr>
              <m:t>α</m:t>
            </m:r>
          </m:e>
          <m:sup>
            <m:r>
              <w:rPr>
                <w:rFonts w:ascii="Cambria Math" w:hAnsi="Cambria Math"/>
              </w:rPr>
              <m:t>ha</m:t>
            </m:r>
          </m:sup>
        </m:sSup>
      </m:oMath>
      <w:r>
        <w:t xml:space="preserve"> and </w:t>
      </w:r>
      <m:oMath>
        <m:sSup>
          <m:sSupPr>
            <m:ctrlPr>
              <w:rPr>
                <w:rFonts w:ascii="Cambria Math" w:hAnsi="Cambria Math"/>
              </w:rPr>
            </m:ctrlPr>
          </m:sSupPr>
          <m:e>
            <m:r>
              <w:rPr>
                <w:rFonts w:ascii="Cambria Math" w:hAnsi="Cambria Math"/>
              </w:rPr>
              <m:t>β</m:t>
            </m:r>
          </m:e>
          <m:sup>
            <m:r>
              <w:rPr>
                <w:rFonts w:ascii="Cambria Math" w:hAnsi="Cambria Math"/>
              </w:rPr>
              <m:t>ha</m:t>
            </m:r>
          </m:sup>
        </m:sSup>
      </m:oMath>
      <w:r>
        <w:t xml:space="preserve"> relate to the observed hydroacoustic proportion </w:t>
      </w:r>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such that</w:t>
      </w:r>
    </w:p>
    <w:p w14:paraId="652B7FAA" w14:textId="77777777" w:rsidR="007E79DA"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50CD8941" w14:textId="77777777" w:rsidR="007E79DA"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78175D0C" w14:textId="77777777" w:rsidR="007E79DA" w:rsidRDefault="00000000">
      <w:pPr>
        <w:pStyle w:val="BodyText"/>
      </w:pPr>
      <m:oMathPara>
        <m:oMath>
          <m:r>
            <w:rPr>
              <w:rFonts w:ascii="Cambria Math" w:hAnsi="Cambria Math"/>
            </w:rPr>
            <w:lastRenderedPageBreak/>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33599EC7" w14:textId="77777777" w:rsidR="007E79DA" w:rsidRDefault="00000000">
      <w:pPr>
        <w:pStyle w:val="BodyText"/>
      </w:pPr>
      <w:r>
        <w:t xml:space="preserve">and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102D173B" w14:textId="77777777" w:rsidR="007E79DA"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2CE0EB3B" w14:textId="77777777" w:rsidR="007E79DA" w:rsidRDefault="00000000">
      <w:pPr>
        <w:pStyle w:val="BodyText"/>
      </w:pPr>
      <w:r>
        <w:t>The variance is approximated using the delta method (Casella and Berger 2002) as</w:t>
      </w:r>
    </w:p>
    <w:p w14:paraId="4BAD0422" w14:textId="77777777" w:rsidR="007E79DA"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4784740D" w14:textId="77777777" w:rsidR="007E79DA"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3F64FF8C" w14:textId="77777777" w:rsidR="007E79DA" w:rsidRDefault="00000000">
      <w:pPr>
        <w:pStyle w:val="Heading2"/>
      </w:pPr>
      <w:bookmarkStart w:id="33" w:name="model-platform-and-diagnostics"/>
      <w:bookmarkStart w:id="34" w:name="_Toc242864666"/>
      <w:bookmarkEnd w:id="26"/>
      <w:bookmarkEnd w:id="32"/>
      <w:r>
        <w:t>Model platform and diagnostics</w:t>
      </w:r>
      <w:bookmarkEnd w:id="34"/>
    </w:p>
    <w:p w14:paraId="20AC7C1F" w14:textId="77777777" w:rsidR="007E79DA" w:rsidRDefault="00000000">
      <w:pPr>
        <w:pStyle w:val="FirstParagraph"/>
      </w:pPr>
      <w:r>
        <w:t xml:space="preserve">The model was run using JAGS version 4.3.1 using the jagsUI and rjags packages (Plummer et al. 2006, Lunn et al. 2009, Plummer 2024) on the statistical R Statistical Software (v4.4.3;R Core Team 2021). Note that in the JAGS code normal and lognormal distributions take </w:t>
      </w:r>
      <m:oMath>
        <m:r>
          <w:rPr>
            <w:rFonts w:ascii="Cambria Math" w:hAnsi="Cambria Math"/>
          </w:rPr>
          <m:t>τ</m:t>
        </m:r>
      </m:oMath>
      <w:r>
        <w:t xml:space="preserve"> values that are related to true standard deviations such that</w:t>
      </w:r>
    </w:p>
    <w:p w14:paraId="14227812" w14:textId="77777777" w:rsidR="007E79DA" w:rsidRDefault="00000000">
      <w:pPr>
        <w:pStyle w:val="BodyText"/>
      </w:pPr>
      <m:oMathPara>
        <m:oMath>
          <m:r>
            <w:rPr>
              <w:rFonts w:ascii="Cambria Math" w:hAnsi="Cambria Math"/>
            </w:rPr>
            <m:t>τ </m:t>
          </m:r>
          <m:r>
            <m:rPr>
              <m:sty m:val="p"/>
            </m:rPr>
            <w:rPr>
              <w:rFonts w:ascii="Cambria Math" w:hAnsi="Cambria Math"/>
            </w:rPr>
            <m:t>∼</m:t>
          </m:r>
          <m:r>
            <w:rPr>
              <w:rFonts w:ascii="Cambria Math" w:hAnsi="Cambria Math"/>
            </w:rPr>
            <m:t> </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σ</m:t>
                  </m:r>
                </m:e>
                <m:sup>
                  <m:r>
                    <w:rPr>
                      <w:rFonts w:ascii="Cambria Math" w:hAnsi="Cambria Math"/>
                    </w:rPr>
                    <m:t>2</m:t>
                  </m:r>
                </m:sup>
              </m:sSup>
            </m:den>
          </m:f>
        </m:oMath>
      </m:oMathPara>
    </w:p>
    <w:p w14:paraId="096516F8" w14:textId="77777777" w:rsidR="007E79DA" w:rsidRDefault="00000000">
      <w:pPr>
        <w:pStyle w:val="BodyText"/>
      </w:pPr>
      <w:r>
        <w:t xml:space="preserve">The historical (1977-2019) and contemporary (2020-2025) models were run with 3 MCMC chains. The historical model used 2,500,000 iterations with a burn-in of 250,000 iterations and a thinning rate of 2,250 iterations while the contemporary model used 1,000,000 iterations with a burn-in of 250,000 iterations and a thinning rate of 750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062EE610" w14:textId="77777777" w:rsidR="007E79DA" w:rsidRDefault="00000000">
      <w:pPr>
        <w:pStyle w:val="Heading1"/>
      </w:pPr>
      <w:bookmarkStart w:id="35" w:name="results"/>
      <w:bookmarkStart w:id="36" w:name="_Toc242864667"/>
      <w:bookmarkEnd w:id="8"/>
      <w:bookmarkEnd w:id="33"/>
      <w:r>
        <w:t>Results</w:t>
      </w:r>
      <w:bookmarkEnd w:id="36"/>
    </w:p>
    <w:p w14:paraId="503CAF9B" w14:textId="77777777" w:rsidR="007E79DA"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as expected given that both methods rely on the census derived from the logbook program. However, estimates of unguided releases differed substantially from the Howard estimates, particularly in recent years that include portside interview data on release and retention behavior. The large difference is unsurprising given the bias correction undertaken in the Bayesian model, the use of the proportion harvested data from the logbook program, and the integration of the portside interview data.</w:t>
      </w:r>
    </w:p>
    <w:p w14:paraId="4329A533" w14:textId="77777777" w:rsidR="007E79DA" w:rsidRDefault="00000000">
      <w:pPr>
        <w:pStyle w:val="BodyText"/>
      </w:pPr>
      <w:r>
        <w:t xml:space="preserve">Of the true parameters in the model, 94 (1.43%) failed to converge to an </w:t>
      </w:r>
      <m:oMath>
        <m:acc>
          <m:accPr>
            <m:ctrlPr>
              <w:rPr>
                <w:rFonts w:ascii="Cambria Math" w:hAnsi="Cambria Math"/>
              </w:rPr>
            </m:ctrlPr>
          </m:accPr>
          <m:e>
            <m:r>
              <w:rPr>
                <w:rFonts w:ascii="Cambria Math" w:hAnsi="Cambria Math"/>
              </w:rPr>
              <m:t>R</m:t>
            </m:r>
          </m:e>
        </m:acc>
      </m:oMath>
      <w:r>
        <w:t xml:space="preserve"> of 1.01 but only 1 of those had </w:t>
      </w:r>
      <m:oMath>
        <m:acc>
          <m:accPr>
            <m:ctrlPr>
              <w:rPr>
                <w:rFonts w:ascii="Cambria Math" w:hAnsi="Cambria Math"/>
              </w:rPr>
            </m:ctrlPr>
          </m:accPr>
          <m:e>
            <m:r>
              <w:rPr>
                <w:rFonts w:ascii="Cambria Math" w:hAnsi="Cambria Math"/>
              </w:rPr>
              <m:t>R</m:t>
            </m:r>
          </m:e>
        </m:acc>
      </m:oMath>
      <w:r>
        <w:t xml:space="preserve"> values above 1.1 (Table 3). The </w:t>
      </w:r>
      <m:oMath>
        <m:r>
          <w:rPr>
            <w:rFonts w:ascii="Cambria Math" w:hAnsi="Cambria Math"/>
          </w:rPr>
          <m:t>β</m:t>
        </m:r>
      </m:oMath>
      <w:r>
        <w:t xml:space="preserve"> parameters used in the logistic curve were generally slow to converge given the combination of values that could describe plausible curves fit to the </w:t>
      </w:r>
      <w:r>
        <w:lastRenderedPageBreak/>
        <w:t xml:space="preserve">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and skewed distributions that would likely converge with longer runs. The lone true parameter that failed to converge was </w:t>
      </w:r>
      <m:oMath>
        <m:sSubSup>
          <m:sSubSupPr>
            <m:ctrlPr>
              <w:rPr>
                <w:rFonts w:ascii="Cambria Math" w:hAnsi="Cambria Math"/>
              </w:rPr>
            </m:ctrlPr>
          </m:sSubSupPr>
          <m:e>
            <m:r>
              <w:rPr>
                <w:rFonts w:ascii="Cambria Math" w:hAnsi="Cambria Math"/>
              </w:rPr>
              <m:t>σ</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up>
            <m:r>
              <w:rPr>
                <w:rFonts w:ascii="Cambria Math" w:hAnsi="Cambria Math"/>
              </w:rPr>
              <m:t>β2</m:t>
            </m:r>
          </m:sup>
        </m:sSubSup>
      </m:oMath>
      <w:r>
        <w:t xml:space="preserve"> that estimated the uncertainty in the hyperprior </w:t>
      </w:r>
      <m:oMath>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other</m:t>
                </m:r>
              </m:e>
            </m:d>
            <m:r>
              <w:rPr>
                <w:rFonts w:ascii="Cambria Math" w:hAnsi="Cambria Math"/>
              </w:rPr>
              <m:t>Kodiak</m:t>
            </m:r>
          </m:sub>
        </m:sSub>
      </m:oMath>
      <w:r>
        <w:t xml:space="preserve"> describing the slope of the proportion of “other” rockfish harvested in Kodiak. Traceplots showed a shewed distribution with occasional spikes but a well-defined posterior space that would likely converge with longer runs.</w:t>
      </w:r>
    </w:p>
    <w:p w14:paraId="2FB371D7" w14:textId="77777777" w:rsidR="007E79DA"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that of the primary quantities. Although 73 (1.24%)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1223168E" w14:textId="77777777" w:rsidR="007E79DA"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583 demonstrating </w:t>
      </w:r>
      <m:oMath>
        <m:acc>
          <m:accPr>
            <m:ctrlPr>
              <w:rPr>
                <w:rFonts w:ascii="Cambria Math" w:hAnsi="Cambria Math"/>
              </w:rPr>
            </m:ctrlPr>
          </m:accPr>
          <m:e>
            <m:r>
              <w:rPr>
                <w:rFonts w:ascii="Cambria Math" w:hAnsi="Cambria Math"/>
              </w:rPr>
              <m:t>R</m:t>
            </m:r>
          </m:e>
        </m:acc>
      </m:oMath>
      <w:r>
        <w:t xml:space="preserve"> values (4.28%) above 1.01 and 20 (0.15%) demonstrating values above 1.1 (Table 4). Unconverged estimates all demonstrated highly skewed posteriors where the bulk of the posterior distributions were near zero. Of the 20 estimates with </w:t>
      </w:r>
      <m:oMath>
        <m:acc>
          <m:accPr>
            <m:ctrlPr>
              <w:rPr>
                <w:rFonts w:ascii="Cambria Math" w:hAnsi="Cambria Math"/>
              </w:rPr>
            </m:ctrlPr>
          </m:accPr>
          <m:e>
            <m:r>
              <w:rPr>
                <w:rFonts w:ascii="Cambria Math" w:hAnsi="Cambria Math"/>
              </w:rPr>
              <m:t>R</m:t>
            </m:r>
          </m:e>
        </m:acc>
      </m:oMath>
      <w:r>
        <w:t xml:space="preserve"> in excess of 1.1, 16 estimates (80%) had medians less than 1 and all had medians less than 10.  </w:t>
      </w:r>
    </w:p>
    <w:p w14:paraId="13002F21" w14:textId="48F8ABC3" w:rsidR="007E79DA"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relative to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with 2,032 demonstrating </w:t>
      </w:r>
      <m:oMath>
        <m:acc>
          <m:accPr>
            <m:ctrlPr>
              <w:rPr>
                <w:rFonts w:ascii="Cambria Math" w:hAnsi="Cambria Math"/>
              </w:rPr>
            </m:ctrlPr>
          </m:accPr>
          <m:e>
            <m:r>
              <w:rPr>
                <w:rFonts w:ascii="Cambria Math" w:hAnsi="Cambria Math"/>
              </w:rPr>
              <m:t>R</m:t>
            </m:r>
          </m:e>
        </m:acc>
      </m:oMath>
      <w:r>
        <w:t xml:space="preserve"> values (15.03%) above 1.01 and 104 (0.769%) demonstrating values above 1.1 (Table 5). Unconverged estimates demonstrated highly skewed posteriors where the bulk of the posterior distributions were near zero. Of the 104 estimates with </w:t>
      </w:r>
      <m:oMath>
        <m:acc>
          <m:accPr>
            <m:ctrlPr>
              <w:rPr>
                <w:rFonts w:ascii="Cambria Math" w:hAnsi="Cambria Math"/>
              </w:rPr>
            </m:ctrlPr>
          </m:accPr>
          <m:e>
            <m:r>
              <w:rPr>
                <w:rFonts w:ascii="Cambria Math" w:hAnsi="Cambria Math"/>
              </w:rPr>
              <m:t>R</m:t>
            </m:r>
          </m:e>
        </m:acc>
      </m:oMath>
      <w:r>
        <w:t xml:space="preserve"> in excess of 1.1, 66 estimates (63%) had medians less than 1, 95 (91%) had medians less than 10, 100 (96%) had medians less than 50, and 103 (99%) had medians less than 100. The lone unconverged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 with a median value greater than 100 came from pre-1999 years and had an </w:t>
      </w:r>
      <m:oMath>
        <m:acc>
          <m:accPr>
            <m:ctrlPr>
              <w:rPr>
                <w:rFonts w:ascii="Cambria Math" w:hAnsi="Cambria Math"/>
              </w:rPr>
            </m:ctrlPr>
          </m:accPr>
          <m:e>
            <m:r>
              <w:rPr>
                <w:rFonts w:ascii="Cambria Math" w:hAnsi="Cambria Math"/>
              </w:rPr>
              <m:t>R</m:t>
            </m:r>
          </m:e>
        </m:acc>
      </m:oMath>
      <w:r>
        <w:t xml:space="preserve"> value of 1.128 (Table 5).</w:t>
      </w:r>
    </w:p>
    <w:p w14:paraId="091CCF9F" w14:textId="77777777" w:rsidR="007E79DA" w:rsidRDefault="00000000">
      <w:pPr>
        <w:pStyle w:val="Heading2"/>
      </w:pPr>
      <w:bookmarkStart w:id="37" w:name="residual-patterns"/>
      <w:bookmarkStart w:id="38" w:name="_Toc242864668"/>
      <w:r>
        <w:t>Residual Patterns</w:t>
      </w:r>
      <w:bookmarkEnd w:id="38"/>
    </w:p>
    <w:p w14:paraId="3155B6F1" w14:textId="77777777" w:rsidR="007E79DA" w:rsidRDefault="00000000">
      <w:pPr>
        <w:pStyle w:val="FirstParagraph"/>
      </w:pPr>
      <w:r>
        <w:t>Residual patterns of the fit of the data to the SWHS data were generally satisfactory, with a few exceptions. Large harvest residuals (Figure 10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40580D86" w14:textId="77777777" w:rsidR="007E79DA" w:rsidRDefault="00000000">
      <w:pPr>
        <w:pStyle w:val="BodyText"/>
      </w:pPr>
      <w:r>
        <w:t>Residual patterns for the SWHS release data showed much larger residuals as would be expected from the less precise release estimates (Figure 11 SWHS_R_RESIDS). Overall, the release residuals tended to be more positive than negative. PWSO releases demonstrated the same pattern as that of the harvests.</w:t>
      </w:r>
    </w:p>
    <w:p w14:paraId="0D0B9C95" w14:textId="77777777" w:rsidR="007E79DA" w:rsidRDefault="00000000">
      <w:pPr>
        <w:pStyle w:val="BodyText"/>
      </w:pPr>
      <w:r>
        <w:t xml:space="preserve">Residual patterns of the fit to the logbook data show some patterns but are minor with respect to the overall number of fish being estimated (Figure 12 LB_RESIDS). Logbook data is fit with a </w:t>
      </w:r>
      <w:r>
        <w:lastRenderedPageBreak/>
        <w:t>poisson distribution which assumes a very small error and thus the model estimates are usually within 1% of the logbook value for both harvests and releases. There were some odd patterns in the North Gulf and both Prince William Sound CFMUs where the model predicted less harvests than logbook entries in the early years of the program and across all of southcentral and Kodiak CFMU’s the residuals are larger during that time period. These instances mirror the residual patterns in the SWHS and are the result of the model balancing the various data sources.</w:t>
      </w:r>
    </w:p>
    <w:p w14:paraId="1182BDDF" w14:textId="77777777" w:rsidR="007E79DA" w:rsidRDefault="00000000">
      <w:pPr>
        <w:pStyle w:val="Heading2"/>
      </w:pPr>
      <w:bookmarkStart w:id="39" w:name="bias-estimation"/>
      <w:bookmarkStart w:id="40" w:name="_Toc242864669"/>
      <w:bookmarkEnd w:id="37"/>
      <w:r>
        <w:t>Bias Estimation</w:t>
      </w:r>
      <w:bookmarkEnd w:id="40"/>
    </w:p>
    <w:p w14:paraId="5FBAE143" w14:textId="77777777" w:rsidR="007E79DA" w:rsidRDefault="00000000">
      <w:pPr>
        <w:pStyle w:val="FirstParagraph"/>
      </w:pPr>
      <w:r>
        <w:t>Observed bias in the SWHS refers to the difference between SWHS guided harvest and release estimates and that reported in charter logbooks (Figure 6 BIAS). Model predicted bias in SWHS harvest data tracked the observed bias well across years and CFMUs (Figure 13 YEARAREA_BIAS) but there was more discrepancies in the release data (Figure 14 YEARAREA_BIAS). Results demonstrated that SWHS estimates were generally biased low while release estimates were biased high (Figure 15 MEAN_BIAS). Observed and estimated harvest bias were very consistent with the exception of the very data poor BSAI CFMU (Figure 13 YEARAREA_BIAS).</w:t>
      </w:r>
    </w:p>
    <w:p w14:paraId="1F60AB99" w14:textId="77777777" w:rsidR="007E79DA" w:rsidRDefault="00000000">
      <w:pPr>
        <w:pStyle w:val="BodyText"/>
      </w:pPr>
      <w:r>
        <w:t>Model estimated bias in SWHS release estimates differed more dramatically from the “observed” bias (Figure 14 YEARAREA_BIAS) and is the result of incorporating portside interview release data into the model. Release bias for the Southcentral areas and northeast Kodiak was much lower in the model relative to that observed when comparing logbook and SWHS data (Figure 14 YEARAREA_BIAS). When the portside interview data is omitted, the model estimated bias matches the observed similarly to that of the other regions. The reduced bias estimated with the inclusion of the interview data suggests that private anglers are providing less biased responses to the SWHS than guided anglers and/or logbook records of releases in this region are perhaps less accurate than would be assumed.</w:t>
      </w:r>
    </w:p>
    <w:p w14:paraId="5AA3C168" w14:textId="77777777" w:rsidR="007E79DA" w:rsidRDefault="00000000">
      <w:pPr>
        <w:pStyle w:val="Heading2"/>
      </w:pPr>
      <w:bookmarkStart w:id="41" w:name="proportion-harvested"/>
      <w:bookmarkStart w:id="42" w:name="_Toc242864670"/>
      <w:bookmarkEnd w:id="39"/>
      <w:r>
        <w:t>Proportion Harvested</w:t>
      </w:r>
      <w:bookmarkEnd w:id="42"/>
    </w:p>
    <w:p w14:paraId="573F8ECB" w14:textId="77777777" w:rsidR="007E79DA"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16 pH_PEL). Logbook data and portside interviews of guided anglers provided similar estimates and demonstrated similar trends in </w:t>
      </w:r>
      <w:r>
        <w:rPr>
          <w:i/>
          <w:iCs/>
        </w:rPr>
        <w:t>pH</w:t>
      </w:r>
      <w:r>
        <w:t xml:space="preserve"> in most cases and the model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priors suggested that unguided anglers were more likely to release rockfish in most areas and time periods although confidence intervals around those values often included values above 1 where unguided anglers would be more likely to release a generic rockfish (Figure 9).</w:t>
      </w:r>
    </w:p>
    <w:p w14:paraId="3C55DDAF" w14:textId="77777777" w:rsidR="007E79DA" w:rsidRDefault="00000000">
      <w:pPr>
        <w:pStyle w:val="BodyText"/>
      </w:pPr>
      <w:r>
        <w:t>All CFMUs demonstrated a similar pattern where retention of pelagic rockfish has increased since the logbook program began in 1998, with very few pelagic rockfish being released by guided anglers in recent years and an increasing, but more variable trend in private anglers. Logbooks and portside interview data were in alignment for this assemblage. Private anglers were more likely to release pelagic rockfish in most regions with the difference most pronounced in Southcentral and with little difference in Southeast.</w:t>
      </w:r>
    </w:p>
    <w:p w14:paraId="4526578B" w14:textId="77777777" w:rsidR="007E79DA" w:rsidRDefault="00000000">
      <w:pPr>
        <w:pStyle w:val="BodyText"/>
      </w:pPr>
      <w:r>
        <w:lastRenderedPageBreak/>
        <w:t>The proportion harvested of yelloweye rockfish demonstrated a very different pattern from pelagic rockfish whereby anglers have retained almost all landed fish until recent years when management restrictions came into effect (Figure 17 pH_YE). This is most obvious in the Southeast CFMU’s where yelloweye retention was prohibited beginning in 2020 and to a lesser degree in Prince William Sound (CFMU PWSI and PWSO) where milder restrictions were enacted. Logbook and portside interviews data were mostly in agreement with regard to yelloweye retention. The model tracked the data well and the hindcasting applied a long term mean because the lack of appreciable change in the data since 2006.</w:t>
      </w:r>
    </w:p>
    <w:p w14:paraId="6AF94895" w14:textId="77777777" w:rsidR="007E79DA"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the proportion harvested demonstrated variable patterns across regions (Figure 18 pH_OTHER). Central regions demonstrated a static pattern with the exception of Cook Inlet where retention probabilities increased over the observed time period. Kodiak demonstrated increasing retention probabilities with the exception of the WKMA CFMUs which were static. For these two regions, the portside interview data tracked logbook records to various degrees but demonstrated greater differences relative to the other species assemblages.</w:t>
      </w:r>
    </w:p>
    <w:p w14:paraId="78627B34" w14:textId="77777777" w:rsidR="007E79DA" w:rsidRDefault="00000000">
      <w:pPr>
        <w:pStyle w:val="BodyText"/>
      </w:pPr>
      <w:r>
        <w:t xml:space="preserve">Southeast CFMU’s show a pattern similar to that of yelloweye rockfish with high retention prior to management restrictions enacted in recent years, but with greater discrepancies between the logbook and portside interview data. The model tracked the logbook data for guided anglers and estimates of unguided releases showed considerable uncertainty even in recent years as a result of high overdispersion in the interview data that is evident from the disparity between logbook and interview data (Figure 18 pH_OTHER). The “other” rockfish in Southeast Alaska are comprised of slope rockfish and non-yelloweye DSR rockfish, which further informs the model but introduces more tension as the likelihoods compete over the contradictory data. The retention probability of non-yelloweye DSR (Figure 19 pH_DSR) and slope rockfish (Figure 20 pH_SLOPE) are fit using the portside interview data while the sum of those releases must be equal to the release of the “other” rockfish fit to the logbook data. The resolution of these sometimes contradictory signals resulted in </w:t>
      </w:r>
      <w:r>
        <w:rPr>
          <w:i/>
          <w:iCs/>
        </w:rPr>
        <w:t>pH</w:t>
      </w:r>
      <w:r>
        <w:t xml:space="preserve"> estimates for DSR that follow the data (Figure 19 pH_DSR), but </w:t>
      </w:r>
      <w:r>
        <w:rPr>
          <w:i/>
          <w:iCs/>
        </w:rPr>
        <w:t>pH</w:t>
      </w:r>
      <w:r>
        <w:t xml:space="preserve"> estimates for slope rockfish in the SSEO that are substantially less than that reported in portside interviews (Figure 20 pH_SLOPE). Sample sizes for slope rockfish are generally smaller than for DSR, particularly in the SSEO and thus the model resolves the conflicting data signals in favor of the DSR data relative to the slope rockfish data.</w:t>
      </w:r>
    </w:p>
    <w:p w14:paraId="751D7C7D" w14:textId="77777777" w:rsidR="007E79DA" w:rsidRDefault="00000000">
      <w:pPr>
        <w:pStyle w:val="Heading2"/>
      </w:pPr>
      <w:bookmarkStart w:id="43" w:name="species-composition"/>
      <w:bookmarkStart w:id="44" w:name="_Toc242864671"/>
      <w:bookmarkEnd w:id="41"/>
      <w:r>
        <w:t>Species Composition</w:t>
      </w:r>
      <w:bookmarkEnd w:id="44"/>
    </w:p>
    <w:p w14:paraId="073DB855" w14:textId="77777777" w:rsidR="007E79DA" w:rsidRDefault="00000000">
      <w:pPr>
        <w:pStyle w:val="FirstParagraph"/>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 (Figure 21 P_PEL). Model estimates tracked the observed data well and fell towards the trend line when sample sizes were small or absent. The logistic hindcasting curve appeared to match the trends in the data and encompassed the uncertainty derived from the random effect estimates. The prior applied to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was less informative than that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65D53E2A" w14:textId="77777777" w:rsidR="007E79DA"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well converged with the exception of the Prince William Sound areas and the NSEI in Southeast, which were slow to converge. In these </w:t>
      </w:r>
      <w:r>
        <w:lastRenderedPageBreak/>
        <w:t>areas the port sampling data and the logbook data differ significantly and the model struggled to fit both of these data sources (Figure 21 P_PEL). Port sampling programs in this region are not proportional to the effort and thus the proportions are weighted to account for that issue (Howard et al. 2020). However, even with the data weighting the adjusted values do not align with the logbook data and thus remains an outstanding issue. As it stands, the model favors the logbook data over the port sampling data due to the nature of the relative likelihoods (Figure 21 P_Pel).</w:t>
      </w:r>
    </w:p>
    <w:p w14:paraId="40BEAE52" w14:textId="77777777" w:rsidR="007E79DA" w:rsidRDefault="00000000">
      <w:pPr>
        <w:pStyle w:val="BodyText"/>
      </w:pPr>
      <w:r>
        <w:t xml:space="preserve">The proportion of pelagic rockfish that were black proved to be static, with the exception of Cook Inlet, which showed an increase, and NSEI, which showed a decrease (Figure 22 P_BLACK). The 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demonstrates higher black rockfish proportions in these other areas and the model was able to generate more precise and realistic estimates of these parameters.</w:t>
      </w:r>
    </w:p>
    <w:p w14:paraId="6E324A31" w14:textId="77777777" w:rsidR="007E79DA" w:rsidRDefault="00000000">
      <w:pPr>
        <w:pStyle w:val="BodyText"/>
      </w:pPr>
      <w:r>
        <w:t>The yelloweye rockfish proportion demonstrated a static portion of the harvest in Kodiak, a subtle decline in Southcentral areas and a precipitous drop in Southeast when retention was prohibited between 2020 and 2024, but allowed in 2025 (Figure 23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consistently low harvests of yelloweye in this region. Southeast yelloweye proportions (relative to the DSR assemblage) were also somewhat noisy, but the trends in the data were adequately captured by the fitted logistic curve.</w:t>
      </w:r>
    </w:p>
    <w:p w14:paraId="1A5521CE" w14:textId="77777777" w:rsidR="007E79DA" w:rsidRDefault="00000000">
      <w:pPr>
        <w:pStyle w:val="BodyText"/>
      </w:pPr>
      <w:r>
        <w:t>The proportion of the Southeast harvest that were DSR and slope rockfish also appeared to track the data well and provide reasonable predictions for hindcasting (Figure P_DSR 24, P_SLOPE 25).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steeply in recent years.</w:t>
      </w:r>
    </w:p>
    <w:p w14:paraId="4EFE93CF" w14:textId="77777777" w:rsidR="007E79DA" w:rsidRDefault="00000000">
      <w:pPr>
        <w:pStyle w:val="Heading2"/>
      </w:pPr>
      <w:bookmarkStart w:id="45" w:name="proportion-guided"/>
      <w:bookmarkStart w:id="46" w:name="_Toc242864672"/>
      <w:bookmarkEnd w:id="43"/>
      <w:r>
        <w:t>Proportion Guided</w:t>
      </w:r>
      <w:bookmarkEnd w:id="46"/>
    </w:p>
    <w:p w14:paraId="177939FA" w14:textId="77777777" w:rsidR="007E79DA" w:rsidRDefault="00000000">
      <w:pPr>
        <w:pStyle w:val="FirstParagraph"/>
      </w:pPr>
      <w:r>
        <w:t xml:space="preserve">Data on the proportion of total rockfish catches that were guided is lacking and there was no trend estimated for hindcasting these parameters. The model captured the observed estimates within the credibility intervals but tended to smooth the observed estimates (Figure 26 pG). Difference between the observed pG and that estimated by the model are the result of bias correction in SWHS estimates and more informed estimates of unguided angler harvests. Without modelling a trend in the same manner as for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the model relies on a long-term average defined by the estimated beta distribution of the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parameters to hindcast the guided proportion in the model. Credibility in the hindcasted values reflect the variability occuring during the observed time period.</w:t>
      </w:r>
    </w:p>
    <w:p w14:paraId="20B1F421" w14:textId="77777777" w:rsidR="007E79DA" w:rsidRDefault="00000000">
      <w:pPr>
        <w:pStyle w:val="Heading2"/>
      </w:pPr>
      <w:bookmarkStart w:id="47" w:name="weight"/>
      <w:bookmarkStart w:id="48" w:name="_Toc242864673"/>
      <w:bookmarkEnd w:id="45"/>
      <w:r>
        <w:lastRenderedPageBreak/>
        <w:t>Weight</w:t>
      </w:r>
      <w:bookmarkEnd w:id="48"/>
    </w:p>
    <w:p w14:paraId="65EF5454" w14:textId="77777777" w:rsidR="007E79DA" w:rsidRDefault="00000000">
      <w:pPr>
        <w:pStyle w:val="FirstParagraph"/>
      </w:pPr>
      <w:r>
        <w:t>The model estimated weights matched the observations as would be expected and tended to the hyperprior means when data was absent or sample sizes were small (Appendix C).</w:t>
      </w:r>
    </w:p>
    <w:p w14:paraId="2982F927" w14:textId="77777777" w:rsidR="007E79DA" w:rsidRDefault="00000000">
      <w:pPr>
        <w:pStyle w:val="Heading2"/>
      </w:pPr>
      <w:bookmarkStart w:id="49" w:name="X9d99479f46dec730a7a401f5db2083d62218015"/>
      <w:bookmarkStart w:id="50" w:name="_Toc242864674"/>
      <w:bookmarkEnd w:id="47"/>
      <w:r>
        <w:t>Harvest, Release and Total Removal Estimates</w:t>
      </w:r>
      <w:bookmarkEnd w:id="50"/>
    </w:p>
    <w:p w14:paraId="209D1075" w14:textId="77777777" w:rsidR="007E79DA" w:rsidRDefault="00000000">
      <w:pPr>
        <w:pStyle w:val="Heading3"/>
      </w:pPr>
      <w:bookmarkStart w:id="51" w:name="harvests-2"/>
      <w:r>
        <w:t>Harvests</w:t>
      </w:r>
    </w:p>
    <w:p w14:paraId="448D1053" w14:textId="77777777" w:rsidR="007E79DA" w:rsidRDefault="00000000">
      <w:pPr>
        <w:pStyle w:val="FirstParagraph"/>
      </w:pPr>
      <w:r>
        <w:t>Total rockfish harvests demonstrated a generally increasing trend across the time series with some plateauing in recent years as a result of management restrictions (Figure 27 H_ALL; Appendix C1). Prior to 1998 when the logbook program went into effect, there is greater uncertainty in estimates and harvests were generally low. Some areas such as Cook Inlet (CI), North Gulf (NG), 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Bayesian model applies a hierarchical approach to leverage all of the available data.</w:t>
      </w:r>
    </w:p>
    <w:p w14:paraId="72B8265A" w14:textId="77777777" w:rsidR="007E79DA" w:rsidRDefault="00000000">
      <w:pPr>
        <w:pStyle w:val="BodyText"/>
      </w:pPr>
      <w:r>
        <w:t>Black rockfish harvests demonstrate an increasing trend over the time series that is dominated by guided anglers with the exception of PWSI (Figure 28 H_BLACK, Appendix D2).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have a larger effect on those estimates.</w:t>
      </w:r>
    </w:p>
    <w:p w14:paraId="1DA4419C" w14:textId="77777777" w:rsidR="007E79DA" w:rsidRDefault="00000000">
      <w:pPr>
        <w:pStyle w:val="BodyText"/>
      </w:pPr>
      <w:r>
        <w:t>Yelloweye rockfish harvests also demonstrate increasing trends but with reductions in recent years that reflect management actions taken by the department (Figure 29 H_YE, Appendix D3).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are significantly greater than guided harvests and thus the effect of bias correction in the model is more pronounced. Variability in those harvests is significantly dampened in the Bayesian estimates while the overall magnitude of the harvests remains the same.</w:t>
      </w:r>
    </w:p>
    <w:p w14:paraId="4175BB57" w14:textId="77777777" w:rsidR="007E79DA" w:rsidRDefault="00000000">
      <w:pPr>
        <w:pStyle w:val="BodyText"/>
      </w:pPr>
      <w:r>
        <w:t xml:space="preserve">Yelloweye rockfish harvests in the BSAI and SOKO2SAP areas of Kodiak have extremely large credibility intervals owing to a lack of area-specific data for these areas. Yelloweye harvests are generally low in the Kodiak region and portside samples are lacking, even for the most heavily fished Northeast and Afognak units. As such, the proportion of non-yelloweye harvests that are yelloweye have credibility intervals for 4 of the 6 Kodiak units ranging from 0 to 1 (Figure 23 </w:t>
      </w:r>
      <w:r>
        <w:lastRenderedPageBreak/>
        <w:t>YE_COMP) with this uncertainty propagated through the harvest and release calculations. Harvest and total removal point estimates for these regions are very low (Figure 29 YE_HARV) and even the upper end of the credibility intervals are relatively low. Although imprecise, these estimates provide managers with information on the scale and trend of harvests in these areas.</w:t>
      </w:r>
    </w:p>
    <w:p w14:paraId="5CA0BEE3" w14:textId="77777777" w:rsidR="007E79DA" w:rsidRDefault="00000000">
      <w:pPr>
        <w:pStyle w:val="BodyText"/>
      </w:pPr>
      <w:r>
        <w:t xml:space="preserve">Non-yelloweye DSR harvests in Southeast show very similar patterns to yelloweye and strong agreement with Howard estimates (Figure 28 H_DSR and Appendix D4) and slope rockfish harvests show an increasing trend that is less pronounced than the other species and complexes (Figure 29 H_SLOPE and Appendix D5).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1DC7F2D8" w14:textId="77777777" w:rsidR="007E79DA" w:rsidRDefault="00000000">
      <w:pPr>
        <w:pStyle w:val="Heading3"/>
      </w:pPr>
      <w:bookmarkStart w:id="52" w:name="releases-2"/>
      <w:bookmarkEnd w:id="51"/>
      <w:r>
        <w:t>Releases</w:t>
      </w:r>
    </w:p>
    <w:p w14:paraId="1ABBFCEC" w14:textId="77777777" w:rsidR="007E79DA" w:rsidRDefault="00000000">
      <w:pPr>
        <w:pStyle w:val="FirstParagraph"/>
      </w:pPr>
      <w:r>
        <w:t>The release estimates for all rockfish are substantially less than harvests and demonstrate variable trends over the course of the time series with substantial uncertainty in the estimates (Figure 32 R_ALL and Appendix D1). Estimates from the pre-1998 period were sometimes similar to the low end of the post-1998 period or demonstrated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CFMUs showed much lower retention probabilities for private anglers which greatly increased the release estimates in this region relative to the Howard estimates. In the Southeast region the release estimates are generally in line with the Howard estimates but are significantly lower in the early 2000s when the Howard methods relied on assumptions and long-term averages to compensate for the lack of logbook data on yelloweye releases (Figure 5 DATA).</w:t>
      </w:r>
    </w:p>
    <w:p w14:paraId="38E2A2E8" w14:textId="77777777" w:rsidR="007E79DA"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33 R_BLACK, Figure 16 PEL_pH, Appendix D2). Unguided anglers show a gradual increase in releases that mirrors the overall increased participation in the fishery. Estimates of guided releases are very precise since 1998 owing to logbook records and adequate sampling in the port sampling program. Prior to 1998, guided release estimates demonstrate significant uncertainty. Owing to less informative data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as a result of integrating the portside interview data. In contrast, that same data resulted in lower release estimates in Southeast.</w:t>
      </w:r>
    </w:p>
    <w:p w14:paraId="69906875" w14:textId="77777777" w:rsidR="007E79DA" w:rsidRDefault="00000000">
      <w:pPr>
        <w:pStyle w:val="BodyText"/>
      </w:pPr>
      <w:r>
        <w:t>Yelloweye release estimates demonstrated steady trends with pronounced uncertainty around the unguided estimates (Figure 34 R_YE and Appendix D3). Retention of yelloweye rockfish has historically been high (Figure 17 YE_pH) and the overall release estimates are generally low. Unguided release estimates also differ substantially from the Howard estimates but, unlike black rockfish, are sometime higher and sometimes lower. In almost all cases the credibility intervals from the Bayesian model include the Howard estimates.</w:t>
      </w:r>
    </w:p>
    <w:p w14:paraId="640449F6" w14:textId="77777777" w:rsidR="007E79DA" w:rsidRDefault="00000000">
      <w:pPr>
        <w:pStyle w:val="BodyText"/>
      </w:pPr>
      <w:r>
        <w:lastRenderedPageBreak/>
        <w:t xml:space="preserve">Non-yelloweye DSR and slope rockfish demonstrated the most uncertainty in release estimates owing to conflicting information on the proportion harvested, </w:t>
      </w:r>
      <w:r>
        <w:rPr>
          <w:i/>
          <w:iCs/>
        </w:rPr>
        <w:t>pH</w:t>
      </w:r>
      <w:r>
        <w:t>, coming from the portside interview and logbook data (Figure 18, 19 and 20). Nevertheless, release estimates for both species assemblages are relatively small in all areas except the SSEI. Non-yelloweye DSR demonstrated similar release patterns to yelloweye rockfish and lower unguided estimates than Howard (Figure R_DSR 35 and Appendix D4) while slope rockfish show very low release numbers for most of the time series and a large, uptick in recent years with substantial uncertainty (R_SLOPE 36 and Appendix D5). While the DSR estimates track the Howard estimates to a fair degree, the slope rockfish estimates are substantially higher in the SSEO and, to a lesser degree, the NSEI and EWYKT, although the overall number is still low and not likely to be a management concern.</w:t>
      </w:r>
    </w:p>
    <w:p w14:paraId="13964D11" w14:textId="77777777" w:rsidR="007E79DA" w:rsidRDefault="00000000">
      <w:pPr>
        <w:pStyle w:val="Heading3"/>
      </w:pPr>
      <w:bookmarkStart w:id="53" w:name="total-removals-in-biomass"/>
      <w:bookmarkEnd w:id="52"/>
      <w:r>
        <w:t>Total Removals in Biomass</w:t>
      </w:r>
    </w:p>
    <w:p w14:paraId="081751D5" w14:textId="77777777" w:rsidR="007E79DA" w:rsidRDefault="00000000">
      <w:pPr>
        <w:pStyle w:val="FirstParagraph"/>
      </w:pPr>
      <w:r>
        <w:t>After factoring in release mortalities and converting to biomass total removals of rockfish in sport fisheries were calculated (Appendix D), keeping in mind that biomass estimates for Southeast Alaska before 2025 may be revised when updated weight estimates are made available. The release mortality rate for pelagic and black rockfish is relatively low even before the introduction of DWRs and coupled with high retention in recent years, release mortalities represent a trivial component of overall fishery removals (Figure 37 BRF_M, 38 PEL_M). DSR (including yelloweye) and slope rockfish assemblages experienced high release mortality prior to DRM requirements and even with DWR experience appreciable mortality rates (Figure 7 REL_M). As such, release mortalities comprised a modest but appreciable contribution to overall mortalities for these species (Figure 39, 40 and 41 YE_M, DRS_M and SLOPE_M).</w:t>
      </w:r>
    </w:p>
    <w:p w14:paraId="01AB04E4" w14:textId="77777777" w:rsidR="007E79DA" w:rsidRDefault="00000000">
      <w:pPr>
        <w:pStyle w:val="Heading1"/>
      </w:pPr>
      <w:bookmarkStart w:id="54" w:name="discussion"/>
      <w:bookmarkStart w:id="55" w:name="_Toc242864675"/>
      <w:bookmarkEnd w:id="35"/>
      <w:bookmarkEnd w:id="49"/>
      <w:bookmarkEnd w:id="53"/>
      <w:r>
        <w:t>Discussion</w:t>
      </w:r>
      <w:bookmarkEnd w:id="55"/>
    </w:p>
    <w:p w14:paraId="18E74E43" w14:textId="77777777" w:rsidR="007E79DA" w:rsidRDefault="00000000">
      <w:pPr>
        <w:pStyle w:val="FirstParagraph"/>
      </w:pPr>
      <w:r>
        <w:t>The Bayesian approach to reconstructing historical rockfish removals and calculating current rockfish removals build and improve on the foundation established by Howard et al. (2020). This new approach offers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available data.</w:t>
      </w:r>
    </w:p>
    <w:p w14:paraId="7CB212FE" w14:textId="77777777" w:rsidR="007E79DA" w:rsidRDefault="00000000">
      <w:pPr>
        <w:pStyle w:val="BodyText"/>
      </w:pPr>
      <w:r>
        <w:t>Harvest estimates produced with these methods are generally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demonstrating the limitations of the Howard methods.</w:t>
      </w:r>
    </w:p>
    <w:p w14:paraId="568F8306" w14:textId="77777777" w:rsidR="007E79DA" w:rsidRDefault="00000000">
      <w:pPr>
        <w:pStyle w:val="BodyText"/>
      </w:pPr>
      <w:r>
        <w:lastRenderedPageBreak/>
        <w:t>The Bayesian approach to estimating releases produces noticeably different estimates from the Howard approach, particularly for the unguided sector. The Howard approach uses the same methods for estimating unguided releases as for harvests by applying the SWHS ratio of guided:unguided release of all rockfish to the logbook release data. However, the Howard methods do not address bias in those estimates, assumes the ratio is equal for all species, and do not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28 H_BLACK and 33 R_BLACK). This would imply that unguided anglers are discarding fish at a far higher rate than guided anglers.</w:t>
      </w:r>
    </w:p>
    <w:p w14:paraId="5AA2549F" w14:textId="77777777" w:rsidR="007E79DA" w:rsidRDefault="00000000">
      <w:pPr>
        <w:pStyle w:val="BodyText"/>
      </w:pPr>
      <w:r>
        <w:t>The flaw in the Howard methods is apparent when examining release estimates of rockfish in Southeast CFMU’s since 2020 when yelloweye retention was prohibited and DSR retention restricted. During these years the logbook data demonstrated almost 100% retention of black rockfish while regulations reduced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among species complexes which are particularly divergent in Southeast since 2000 due to management action.</w:t>
      </w:r>
    </w:p>
    <w:p w14:paraId="209530A1" w14:textId="77777777" w:rsidR="007E79DA" w:rsidRDefault="00000000">
      <w:pPr>
        <w:pStyle w:val="BodyText"/>
      </w:pPr>
      <w:r>
        <w:t>A major impetus for this project was to provide a fuller time series of rockfish removals for use in stock assessments and results from this project appear to produce reasonable and data driven values in most cases, with certain exceptions. Howard estimates provided harvest and release estimates back to 1999 and assessments typically relied on linear or logistic interpolation to make assumptions about removals prior to that. This report provides estimates back to 1977 when the SWHS was first implemented by leveraging data in more recent years to make assumptions about species compositions, retention probability and user groups. As would be expected, there is considerable uncertainty around the early estimates, but the trends follow the data and fisheries researchers can incorporate that uncertainty in their assessments. In many cases the older estimates differ minimally from a linear taper back to zero, however in other areas the model predicts steady catches at a low rate or even substantial catches.</w:t>
      </w:r>
    </w:p>
    <w:p w14:paraId="1677544D" w14:textId="77777777" w:rsidR="007E79DA" w:rsidRDefault="00000000">
      <w:pPr>
        <w:pStyle w:val="BodyText"/>
      </w:pPr>
      <w:r>
        <w:t xml:space="preserve">The pre-1999 estimates are nevertheless still limited by available data and the lack of early data for certain areas limited the approach. In particular estimates from PWSO are negligible prior to 1999 but escalate rapidly once the modern data period begins (Figure 27-29). SWHS estimates broken down by CFMU were available beginning in 1996 but prior to that the SWHS estimates required apportionment based on the 1996 data. The PWSI and PWSO CFMUs are separated by Hitchenbrook and Montague Islands (among others) and it is possible, or even likely, that some of </w:t>
      </w:r>
      <w:r>
        <w:lastRenderedPageBreak/>
        <w:t>the harvests and releases assigned to PWSI around those islands may have occurred on the outside of those islands in the PWSO. Stock assessment authors may want to consider a linear ramp for the PWSO area in evaluations of those stocks.</w:t>
      </w:r>
    </w:p>
    <w:p w14:paraId="7AE9D035" w14:textId="77777777" w:rsidR="007E79DA" w:rsidRDefault="00000000">
      <w:pPr>
        <w:pStyle w:val="BodyText"/>
      </w:pPr>
      <w:r>
        <w:t>The Bayesian approach is not without flaws and required making an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for unguided angler estimates.</w:t>
      </w:r>
    </w:p>
    <w:p w14:paraId="76E570F8" w14:textId="77777777" w:rsidR="007E79DA"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Apparent bias of SWHS release estimates is very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5B2BD3B3" w14:textId="77777777" w:rsidR="007E79DA"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3B6572BD" w14:textId="77777777" w:rsidR="007E79DA" w:rsidRDefault="00000000">
      <w:pPr>
        <w:pStyle w:val="BodyText"/>
      </w:pPr>
      <w:r>
        <w:t>Species composition data on the pelagic / non-pelagic ratio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consistent between port samples and logbook data in all areas except Prince William Sound where port samples suggest a lower proportion than the logbook data (Figure 21 P_PEL). Howard et al. (2020) identified issues with the representativeness of the port samples in relation to the harvests. Consequently, that data has been weighted according to their methods although the issue remains even with the adjusted data. The discrepancy between the logbook and port sampling data may be a byproduct of the proportion of fish that are cleaned at sea and not brought to port where they can be sampled. The proportion of rockfish cleaned at sea in Prince William Sound can be as high as 73% based on interviews in the Whittier port and if pelagic rockfish (which have historically had a higher bag limit that non-pelagic species) are more likely to be cleaned at sea than non-pelagic rockfish the lower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seen in port samples relative to logbook data would align with this </w:t>
      </w:r>
      <w:r>
        <w:lastRenderedPageBreak/>
        <w:t xml:space="preserve">explanation. The model favors logbook data as a result of model construction that treats the logbook data as a census and estimates adhere more closely to the logbook estimates of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while the logistic curve appears to capture the uncertainty in pre-logbook estimates. However, the cause of the discrepancy remains unclear although lessened in recent years. Improving port sampling procedures and regulations may help to better understand these discrepancies.</w:t>
      </w:r>
    </w:p>
    <w:p w14:paraId="3DEF880A" w14:textId="77777777" w:rsidR="007E79DA" w:rsidRDefault="00000000">
      <w:pPr>
        <w:pStyle w:val="BodyText"/>
      </w:pPr>
      <w:r>
        <w:t>Release estimates of DSR and slope rockfish in Southeast Alaska diverge from the raw data and should be viewed with caution. There is significant discrepancy in the release of non-yelloweye DSR and slope rockfish in the SSEO and NSEI between the portside sampling and logbook data . In particular, logbooks record low retention of “other” rockfish while portside interviews indicate high retention. The model makes estimates based on the data and associated sample sizes but cannot resolve which data source is more reliable. Area biologists should investigate this data discrepancy to determine if species identification or systematic under- or overreporting in logbooks is contributing to the contradictory data.</w:t>
      </w:r>
    </w:p>
    <w:p w14:paraId="2942B722" w14:textId="77777777" w:rsidR="007E79DA" w:rsidRDefault="00000000">
      <w:pPr>
        <w:pStyle w:val="BodyText"/>
      </w:pPr>
      <w:r>
        <w:t xml:space="preserve">This report provides the first harvest, release and mortality estimates for the BSAI and SOKO2SAP Kodiak CFMU’s but estimates for unguided anglers lack precise and unbiased estimates from the SWHS as well as species composition and interview data specific to those areas. As such, these estimates are dependent on the association with guided anglers in the region and relationships estimated from other areas in the Kodiak region and thus sensitive to underlying model structure. This is particularly evident in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(Figure 21 P_PELAGIC) where there is a noticeable drop in the estimate between the historical model (1977-2019) and the contemporary portion of the model (2020-2025) that overlap in credibility intervals. Sensitivity testing during model development showed that this had minimal effect on estimates of black rockfish harvests because those estimates were underpinned by more informative data. However, the knock-on effect was that it affected estimates of yelloweye removals because there was minimal data on yelloweye from the logbook and port sampling data while SWHS estimates for these regions lack precision. These estimates are likely to shift as data is added each year and will require monitoring as annual estimates are generated going forward. Nevertheless, trace plots show consistent exploration of the parameter space and estimates include large credibility intervals that reflect the lack of data from these areas. This is true even for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estimates where despite differences in point estimates, both the historical and contemporary point estimates are well within the broad credibility intervals of both. The hierarchical nature of the model allows inferences to be made based on data from the rest of the Kodiak region and these estimates provide managers with reasonable, if imprecise, information about the scale and trend of rockfish harvests in these areas.</w:t>
      </w:r>
    </w:p>
    <w:p w14:paraId="7F786279" w14:textId="77777777" w:rsidR="007E79DA" w:rsidRDefault="00000000">
      <w:pPr>
        <w:pStyle w:val="Heading2"/>
      </w:pPr>
      <w:bookmarkStart w:id="56" w:name="conclusions-and-recommendations"/>
      <w:bookmarkStart w:id="57" w:name="_Toc242864676"/>
      <w:r>
        <w:t>Conclusions and Recommendations</w:t>
      </w:r>
      <w:bookmarkEnd w:id="57"/>
    </w:p>
    <w:p w14:paraId="4866B4F7" w14:textId="77777777" w:rsidR="007E79DA" w:rsidRDefault="00000000">
      <w:pPr>
        <w:pStyle w:val="FirstParagraph"/>
      </w:pPr>
      <w:r>
        <w:t>Managers understandably prefer harvest estimates to remain static once published yet removals occurring in sport fisheries are estimated quantities that can change with improved science reflecting our understanding of the system. Adopting new harvest and release estimates is ultimately at the discretion of regional staff and managers. These revisions were made to address shortcomings in the original Howard methods which provided the first steps in estimating rockfish harvests from the various data sources used to monitor sport harvests in Alaska. The new estimates represent a more uniform and reproducible approach to generating removal estimates, extend the time series back to 1977 and furthermore provide a robust and streamlined approach to generating estimates going forward.</w:t>
      </w:r>
    </w:p>
    <w:p w14:paraId="27394F0F" w14:textId="77777777" w:rsidR="007E79DA" w:rsidRDefault="00000000">
      <w:pPr>
        <w:pStyle w:val="BodyText"/>
      </w:pPr>
      <w:r>
        <w:lastRenderedPageBreak/>
        <w:t>With regard to contemporary estimates, the model readily converges and this model provides a single, unified method for calculating annual harvests and removals from all available data sources.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5C9AB86E" w14:textId="77777777" w:rsidR="007E79DA" w:rsidRDefault="00000000">
      <w:pPr>
        <w:pStyle w:val="BodyText"/>
      </w:pPr>
      <w:r>
        <w:t xml:space="preserve">One caveat to moving forward with these methods is the possibility of gaps occurring in the port sampling programs and large changes in management.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When that to occurs it may be necessary to introduce a new time-block as was done for the Southeast region between 2024 and 2025. The closure of yelloweye rockfish retention between 2020 and 2024 followed by reopening in 2025 significantly altered the species composition in port sampling data as well as angler behavior with regard to releasing and retaining fish. With adequate data there would be no need to timeblock the </w:t>
      </w:r>
      <m:oMath>
        <m:r>
          <w:rPr>
            <w:rFonts w:ascii="Cambria Math" w:hAnsi="Cambria Math"/>
          </w:rPr>
          <m:t>β0</m:t>
        </m:r>
      </m:oMath>
      <w:r>
        <w:t xml:space="preserve"> parameters, however the imperfect data informing the DSR and slope species complexes resulted in model instability in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estimates for those groups that was only resolved when the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oMath>
      <w:r>
        <w:t xml:space="preserve"> and </w:t>
      </w:r>
      <m:oMath>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oMath>
      <w:r>
        <w:t xml:space="preserve"> parameters (and associated random effect parameters) were estimated separately for the 2020-20204 and 2025+ time periods. Small changes in management and adequate port sampling should mitigate the need for introducing timeblocks, but care should be taken when large management changes occur and the data is imperfect. Similarly, if there were gaps in the port sampling programs the model can inform those periods through the long-term means but care should be taken in considering how those means are estimated.</w:t>
      </w:r>
    </w:p>
    <w:p w14:paraId="36A246D4" w14:textId="77777777" w:rsidR="007E79DA" w:rsidRDefault="00000000">
      <w:pPr>
        <w:pStyle w:val="BodyText"/>
      </w:pPr>
      <w:r>
        <w:t>In conclusion, these new estimates of rockfish harvest, release and removals offer an improved and more reproducible approach to catch accounting for this increasingly targeted and vulnerable group of fish. These methods build on the location accounting system built by Howard et al. (2020) as well as the validation of the port sampling representativeness. In addition to extending the time series, the new methods more sccurately reflect the angling process, better capture uncertainty in the data, more appropriately share information within regions, and provide a unified and centralized approach to calculating, reporting and archiving rockfish harvests, releases and removals in Alaska waters.</w:t>
      </w:r>
    </w:p>
    <w:p w14:paraId="0A83F7F4" w14:textId="77777777" w:rsidR="007E79DA" w:rsidRDefault="00000000">
      <w:pPr>
        <w:pStyle w:val="Heading1"/>
      </w:pPr>
      <w:bookmarkStart w:id="58" w:name="acknowledgments"/>
      <w:bookmarkStart w:id="59" w:name="_Toc242864677"/>
      <w:bookmarkEnd w:id="54"/>
      <w:bookmarkEnd w:id="56"/>
      <w:r>
        <w:t>Acknowledgments</w:t>
      </w:r>
      <w:bookmarkEnd w:id="59"/>
    </w:p>
    <w:p w14:paraId="03CC0351" w14:textId="77777777" w:rsidR="007E79DA"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high-quality work and products produced including Nick Smith and Jacob Bozzini from the SWHS program and Ben Jevons and Kyla Buster from the Saltwater Guide Logbook program. This project also highlights the high value of the port sampling programs with particular thanks going to Marian Ford, Corey Litwiniak, Adam Lake, and a virtual army of technicians. We would also like to thank Tyler Polum and Philip Tschersich </w:t>
      </w:r>
      <w:r>
        <w:lastRenderedPageBreak/>
        <w:t>for the Kodiak hydroacoustic data and advice. We would like to thank Adam Reimer for developing the initial approach to this model and Hamachan Hamazaki for his review of this work.</w:t>
      </w:r>
    </w:p>
    <w:p w14:paraId="44A7EC54" w14:textId="77777777" w:rsidR="007E79DA" w:rsidRDefault="00000000">
      <w:pPr>
        <w:pStyle w:val="Heading1"/>
      </w:pPr>
      <w:bookmarkStart w:id="60" w:name="literature-cited"/>
      <w:bookmarkStart w:id="61" w:name="_Toc242864678"/>
      <w:bookmarkEnd w:id="58"/>
      <w:r>
        <w:t>Literature Cited</w:t>
      </w:r>
      <w:bookmarkEnd w:id="61"/>
    </w:p>
    <w:p w14:paraId="79222B4D" w14:textId="77777777" w:rsidR="007E79DA" w:rsidRDefault="00000000">
      <w:pPr>
        <w:pStyle w:val="FirstParagraph"/>
      </w:pPr>
      <w:r>
        <w:t>Arthur, D. E., B. J. Blain-Roth, and B. Bowman. 2024. Area management report for the sport fisheries of the North Gulf Coast, 2019–2021. Alaska Department of Fish and Game, Fishery Management Report No. 24-17, Anchorage.</w:t>
      </w:r>
    </w:p>
    <w:p w14:paraId="2EE4328B" w14:textId="77777777" w:rsidR="007E79DA" w:rsidRDefault="00000000">
      <w:pPr>
        <w:pStyle w:val="BodyText"/>
      </w:pPr>
      <w:r>
        <w:t>Blain-Roth, B. J., D. E. Arthur, and C. McKean. 2024. Sport fisheries in the Prince William Sound Management Area in 2023 to inform the Alaska Board of Fisheries in 2024. Alaska Department of Fish and Game, Fishery Management Report No. 24-27, Anchorage.</w:t>
      </w:r>
    </w:p>
    <w:p w14:paraId="0373C4DC" w14:textId="77777777" w:rsidR="007E79DA" w:rsidRDefault="00000000">
      <w:pPr>
        <w:pStyle w:val="BodyText"/>
      </w:pPr>
      <w:r>
        <w:t>Blain, B. J. and T. M. Sutton. 2016. Reproductive status and blood-plasma indicators of sex and gonad maturation status for yelloweye rockfish following barotrauma and recompression events. Transactions of the American Fisheries Socociety 145: 1234-1240.</w:t>
      </w:r>
    </w:p>
    <w:p w14:paraId="0B53CE8B" w14:textId="77777777" w:rsidR="007E79DA" w:rsidRDefault="00000000">
      <w:pPr>
        <w:pStyle w:val="BodyText"/>
      </w:pPr>
      <w:r>
        <w:t>Blain-Roth, B. J., and T. M. Sutton. 2019. Effects of barotrauma and recompression events on subsequent embryo condition of yelloweye rockfish. Fisheries Research 211: 212-216.</w:t>
      </w:r>
    </w:p>
    <w:p w14:paraId="29275AD4" w14:textId="77777777" w:rsidR="007E79DA" w:rsidRDefault="00000000">
      <w:pPr>
        <w:pStyle w:val="BodyText"/>
      </w:pPr>
      <w:r>
        <w:t>Casella, G., &amp; Berger, R. L. (2002). Statistical Inference (2nd ed.). Duxbury.</w:t>
      </w:r>
    </w:p>
    <w:p w14:paraId="65D4308F" w14:textId="77777777" w:rsidR="007E79DA" w:rsidRDefault="00000000">
      <w:pPr>
        <w:pStyle w:val="BodyText"/>
      </w:pPr>
      <w:r>
        <w:t>Eilers, Paul H. C., and Brian D. Marx. 1996. “Flexible Smoothing with B-Splines and Penalties.” Statistical Science 11: 89–121.</w:t>
      </w:r>
    </w:p>
    <w:p w14:paraId="1857CAF9" w14:textId="77777777" w:rsidR="007E79DA"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7B1270F2" w14:textId="77777777" w:rsidR="007E79DA" w:rsidRDefault="00000000">
      <w:pPr>
        <w:pStyle w:val="BodyText"/>
      </w:pPr>
      <w:r>
        <w:t>Gelman, A.. Prior distributions for variance parameters in hierarchical models. Bayesian Analysis, 1:515–533, 2006.</w:t>
      </w:r>
    </w:p>
    <w:p w14:paraId="0D83E07D" w14:textId="77777777" w:rsidR="007E79DA" w:rsidRDefault="00000000">
      <w:pPr>
        <w:pStyle w:val="BodyText"/>
      </w:pPr>
      <w:r>
        <w:t>Gelman, A. and D. Rubin. Inference from iterative simulation using multiple sequences. Statistical Science 7:457–511, 1992.</w:t>
      </w:r>
    </w:p>
    <w:p w14:paraId="1747D688" w14:textId="77777777" w:rsidR="007E79DA"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39FDDEF2" w14:textId="77777777" w:rsidR="007E79DA"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5B5EC4F3" w14:textId="77777777" w:rsidR="007E79DA"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5DB692B7" w14:textId="77777777" w:rsidR="007E79DA" w:rsidRDefault="00000000">
      <w:pPr>
        <w:pStyle w:val="BodyText"/>
      </w:pPr>
      <w:r>
        <w:t>Hochhalter, S. J., and D. J. Reed. 2011. The effectiveness of deepwater release at improving the survival of discarded yelloweye rockfish. North American Journal of Fisheries Management 31: 852-860.</w:t>
      </w:r>
    </w:p>
    <w:p w14:paraId="40275AA9" w14:textId="77777777" w:rsidR="007E79DA" w:rsidRDefault="00000000">
      <w:pPr>
        <w:pStyle w:val="BodyText"/>
      </w:pPr>
      <w:r>
        <w:t xml:space="preserve">Howard, K. G., S. Campen, F. R. Bowers, R. E. Chadwick, J. W. Erickson, J. J. Hasbrouck, T. R. McKinley, J. Nichols, N. Nichols, A. Olson, J. Rumble, T. T. Taube, and B. Williams. 2019a. </w:t>
      </w:r>
      <w:r>
        <w:lastRenderedPageBreak/>
        <w:t>ADF&amp;G Statewide Rockfish Initiative: Strategic plan 2017–2020. Alaska Department of Fish and Game, Division of Commercial Fisheries, Regional Information Report 5J19-05, Anchorage.</w:t>
      </w:r>
    </w:p>
    <w:p w14:paraId="40CDD99D" w14:textId="77777777" w:rsidR="007E79DA"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34223C2B" w14:textId="77777777" w:rsidR="007E79DA"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06B1930" w14:textId="77777777" w:rsidR="007E79DA"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47B1F890" w14:textId="77777777" w:rsidR="007E79DA"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11999A03" w14:textId="77777777" w:rsidR="007E79DA" w:rsidRDefault="00000000">
      <w:pPr>
        <w:pStyle w:val="BodyText"/>
      </w:pPr>
      <w:r>
        <w:t>Lang, Stefan, and Andreas Brezger. 2004. “Bayesian P-Splines.” Journal of Computational and Graphical Statistics 13 (1): 183–212.</w:t>
      </w:r>
    </w:p>
    <w:p w14:paraId="4CB61591" w14:textId="77777777" w:rsidR="007E79DA" w:rsidRDefault="00000000">
      <w:pPr>
        <w:pStyle w:val="BodyText"/>
      </w:pPr>
      <w:r>
        <w:t>Lunn D, Spiegelhalter D, Thomas A, Best N. 2009. The BUGS project: Evolution, critique and future directions. Statistics in Medicine, 28:3049-67.</w:t>
      </w:r>
    </w:p>
    <w:p w14:paraId="00664986" w14:textId="77777777" w:rsidR="007E79DA" w:rsidRDefault="00000000">
      <w:pPr>
        <w:pStyle w:val="BodyText"/>
      </w:pPr>
      <w:r>
        <w:t>McKean, C., and M. Ford. 2025. Operational plan: Assessment of Pacific halibut and groundfish sport harvest in Southcentral Alaska, 2025–2027. Alaska Department of Fish and Game, Division of Sport Fish, Regional Operational Plan No. ROP.SF.2A.2025.07, Anchorage.</w:t>
      </w:r>
    </w:p>
    <w:p w14:paraId="6F1F5818" w14:textId="77777777" w:rsidR="007E79DA"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20837653" w14:textId="77777777" w:rsidR="007E79DA"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6E5F1BB3" w14:textId="77777777" w:rsidR="007E79DA" w:rsidRDefault="00000000">
      <w:pPr>
        <w:pStyle w:val="BodyText"/>
      </w:pPr>
      <w:r>
        <w:t>Plummer M, Best N, Cowles K, Vines K 2006. CODA: Convergence Diagnosis and Output Analysis for MCMC, R News, 6:7-11.</w:t>
      </w:r>
    </w:p>
    <w:p w14:paraId="51B6A227" w14:textId="77777777" w:rsidR="007E79DA" w:rsidRDefault="00000000">
      <w:pPr>
        <w:pStyle w:val="BodyText"/>
      </w:pPr>
      <w:r>
        <w:t>Polum, T., M. Witteveen, and B. Woolever. 2025. Report on selected sport fisheries of the Alaska Peninsula–Aleutian Islands Management Area, 2015–2025. Alaska Department of Fish and Game, Fishery Management Report No. 25-36, Anchorage.</w:t>
      </w:r>
    </w:p>
    <w:p w14:paraId="6677A362" w14:textId="77777777" w:rsidR="007E79DA"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16C3D20D" w14:textId="77777777" w:rsidR="007E79DA"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715E0254" w14:textId="77777777" w:rsidR="007E79DA" w:rsidRDefault="00000000">
      <w:pPr>
        <w:pStyle w:val="BodyText"/>
      </w:pPr>
      <w:r>
        <w:t>Richards, P., D. Tersteeg, C. M. Hinds, A. Lake, and J. Huang. 2025. Operational plan: Southeast Alaska marine boat sport fishery harvest studies, 2025. Alaska Department of Fish and Game, Division of Sport Fish, Regional Operational Plan No. ROP.SF.1J.2025.05, Anchorage.</w:t>
      </w:r>
    </w:p>
    <w:p w14:paraId="3E8C46E7" w14:textId="77777777" w:rsidR="007E79DA" w:rsidRDefault="00000000">
      <w:pPr>
        <w:pStyle w:val="BodyText"/>
      </w:pPr>
      <w:r>
        <w:lastRenderedPageBreak/>
        <w:t>Romberg, W. J., I. Rafferty, and M. Martz. 2018. Alaska Statewide Sport Fish Harvest Survey, 2018. Alaska Department of Fish and Game, Division of Sport Fish, Regional Operational Plan ROP.SF.4A.2018.07, Anchorage.</w:t>
      </w:r>
    </w:p>
    <w:p w14:paraId="2688E576" w14:textId="77777777" w:rsidR="007E79DA" w:rsidRDefault="00000000">
      <w:pPr>
        <w:pStyle w:val="BodyText"/>
      </w:pPr>
      <w:r>
        <w:t>Ruppert, David, Matt P. Wand, and Raymond J. Carroll. 2003. Semiparametric Regression. Cambridge University Press.</w:t>
      </w:r>
    </w:p>
    <w:p w14:paraId="6CD795AA" w14:textId="77777777" w:rsidR="007E79DA" w:rsidRDefault="00000000">
      <w:pPr>
        <w:pStyle w:val="BodyText"/>
      </w:pPr>
      <w:r>
        <w:t>Schuster, M. D., A. B. St. Saviour, A. Reimer, C. McKean, and S. C. Meyer. 2025. Characteristics of the sport harvest of rockfishes Sebastes in Southcentral Alaska, 1996–2019. Alaska Department of Fish and Game, Fishery Data Series No. 25-40, Anchorage.</w:t>
      </w:r>
    </w:p>
    <w:p w14:paraId="259584A2" w14:textId="77777777" w:rsidR="007E79DA" w:rsidRDefault="00000000">
      <w:pPr>
        <w:pStyle w:val="BodyText"/>
      </w:pPr>
      <w:r>
        <w:t>Tschersich, P., J. Dissen, and W. Gaeuman. 2023. Westward Region hydroacoustic survey for black rockfish Sebastes melanops abundance, 2007–2022. Alaska Department of Fish and Game, Fishery Data Series No. 23-31, Anchorage.</w:t>
      </w:r>
    </w:p>
    <w:p w14:paraId="740E07A6" w14:textId="77777777" w:rsidR="007E79DA" w:rsidRDefault="00000000">
      <w:r>
        <w:br w:type="page"/>
      </w:r>
    </w:p>
    <w:p w14:paraId="59487279" w14:textId="77777777" w:rsidR="007E79DA" w:rsidRDefault="00000000">
      <w:pPr>
        <w:pStyle w:val="Heading4"/>
      </w:pPr>
      <w:bookmarkStart w:id="62" w:name="extra-stuff-not-ready-to-delete"/>
      <w:r>
        <w:lastRenderedPageBreak/>
        <w:t>Extra Stuff not ready to delete:</w:t>
      </w:r>
    </w:p>
    <w:p w14:paraId="4B5C7FDF" w14:textId="77777777" w:rsidR="007E79DA"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36A267C7" w14:textId="77777777" w:rsidR="007E79DA"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0F740800" w14:textId="77777777" w:rsidR="007E79DA"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60"/>
      <w:bookmarkEnd w:id="62"/>
    </w:p>
    <w:sectPr w:rsidR="007E79DA"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EAFCBB" w14:textId="77777777" w:rsidR="00635881" w:rsidRDefault="00635881">
      <w:pPr>
        <w:spacing w:after="0"/>
      </w:pPr>
      <w:r>
        <w:separator/>
      </w:r>
    </w:p>
  </w:endnote>
  <w:endnote w:type="continuationSeparator" w:id="0">
    <w:p w14:paraId="39AC3C79" w14:textId="77777777" w:rsidR="00635881" w:rsidRDefault="0063588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3F7C3"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924C968"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E0C07" w14:textId="77777777" w:rsidR="00635881" w:rsidRDefault="00635881">
      <w:pPr>
        <w:spacing w:after="0"/>
      </w:pPr>
      <w:r>
        <w:separator/>
      </w:r>
    </w:p>
  </w:footnote>
  <w:footnote w:type="continuationSeparator" w:id="0">
    <w:p w14:paraId="49A0F690" w14:textId="77777777" w:rsidR="00635881" w:rsidRDefault="0063588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6AE81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60AAF90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A3FA4F4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746807731">
    <w:abstractNumId w:val="0"/>
  </w:num>
  <w:num w:numId="28" w16cid:durableId="214029359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731550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881"/>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2409"/>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9DA"/>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1E19"/>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265D"/>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4B6"/>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55752D"/>
  <w15:docId w15:val="{3F12796B-5F13-499C-A9ED-FFB431BBA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32</TotalTime>
  <Pages>36</Pages>
  <Words>16891</Words>
  <Characters>96285</Characters>
  <Application>Microsoft Office Word</Application>
  <DocSecurity>0</DocSecurity>
  <Lines>802</Lines>
  <Paragraphs>225</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112951</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1977 - 2024</dc:title>
  <dc:creator>Philip Joy, Clay McKean, Christine Hinds and Diana Tersteeg</dc:creator>
  <cp:keywords/>
  <cp:lastModifiedBy>Joy, Philip J (DFG)</cp:lastModifiedBy>
  <cp:revision>2</cp:revision>
  <dcterms:created xsi:type="dcterms:W3CDTF">2026-10-14T18:03:00Z</dcterms:created>
  <dcterms:modified xsi:type="dcterms:W3CDTF">2026-10-14T18:28:00Z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