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3.jpg" ContentType="image/jpeg"/>
  <Override PartName="/word/media/rId26.png" ContentType="image/png"/>
  <Override PartName="/word/media/rId38.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32.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 </w:t>
      </w:r>
      <w:r>
        <w:t xml:space="preserve"> </w:t>
      </w:r>
      <w:r>
        <w:t xml:space="preserve"> </w:t>
      </w:r>
    </w:p>
    <w:bookmarkStart w:id="140" w:name="figures"/>
    <w:p>
      <w:pPr>
        <w:pStyle w:val="Heading1"/>
      </w:pPr>
      <w:r>
        <w:t xml:space="preserve">Figures</w:t>
      </w:r>
    </w:p>
    <w:p>
      <w:r>
        <w:br w:type="page"/>
      </w:r>
    </w:p>
    <w:p>
      <w:pPr>
        <w:pStyle w:val="CaptionedFigure"/>
      </w:pPr>
      <w:r>
        <w:drawing>
          <wp:inline>
            <wp:extent cx="5943600" cy="3621786"/>
            <wp:effectExtent b="0" l="0" r="0" t="0"/>
            <wp:docPr descr="Figure 1. Cook Inlet rockfish commercial fishery management units: North Gulf District (NG) and Cook Inlet District (CI)." title="" id="21" name="Picture"/>
            <a:graphic>
              <a:graphicData uri="http://schemas.openxmlformats.org/drawingml/2006/picture">
                <pic:pic>
                  <pic:nvPicPr>
                    <pic:cNvPr descr="../figures/CING_CFMUs.png" id="22" name="Picture"/>
                    <pic:cNvPicPr>
                      <a:picLocks noChangeArrowheads="1" noChangeAspect="1"/>
                    </pic:cNvPicPr>
                  </pic:nvPicPr>
                  <pic:blipFill>
                    <a:blip r:embed="rId20"/>
                    <a:stretch>
                      <a:fillRect/>
                    </a:stretch>
                  </pic:blipFill>
                  <pic:spPr bwMode="auto">
                    <a:xfrm>
                      <a:off x="0" y="0"/>
                      <a:ext cx="5943600" cy="362178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Cook Inlet rockfish commercial fishery management units: North Gulf District (NG) and Cook Inlet District (CI).</w:t>
      </w:r>
    </w:p>
    <w:p>
      <w:r>
        <w:br w:type="page"/>
      </w:r>
    </w:p>
    <w:p>
      <w:pPr>
        <w:pStyle w:val="CaptionedFigure"/>
      </w:pPr>
      <w:r>
        <w:drawing>
          <wp:inline>
            <wp:extent cx="5943600" cy="3657599"/>
            <wp:effectExtent b="0" l="0" r="0" t="0"/>
            <wp:docPr descr="Figure 2. Prince William Sound rockfish commercial fishery management units: Prince William Sound Inside District (PWSI) and Prince William Sound Outside District (PWSO)." title="" id="24" name="Picture"/>
            <a:graphic>
              <a:graphicData uri="http://schemas.openxmlformats.org/drawingml/2006/picture">
                <pic:pic>
                  <pic:nvPicPr>
                    <pic:cNvPr descr="../figures/PWS_CFMUs.jpeg" id="25" name="Picture"/>
                    <pic:cNvPicPr>
                      <a:picLocks noChangeArrowheads="1" noChangeAspect="1"/>
                    </pic:cNvPicPr>
                  </pic:nvPicPr>
                  <pic:blipFill>
                    <a:blip r:embed="rId23"/>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Prince William Sound rockfish commercial fishery management units: Prince William Sound Inside District (PWSI) and Prince William Sound Outside District (PWSO).</w:t>
      </w:r>
    </w:p>
    <w:p>
      <w:r>
        <w:br w:type="page"/>
      </w:r>
    </w:p>
    <w:p>
      <w:pPr>
        <w:pStyle w:val="CaptionedFigure"/>
      </w:pPr>
      <w:r>
        <w:drawing>
          <wp:inline>
            <wp:extent cx="5943600" cy="4596383"/>
            <wp:effectExtent b="0" l="0" r="0" t="0"/>
            <wp:docPr descr="Figure 3. 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 title="" id="27" name="Picture"/>
            <a:graphic>
              <a:graphicData uri="http://schemas.openxmlformats.org/drawingml/2006/picture">
                <pic:pic>
                  <pic:nvPicPr>
                    <pic:cNvPr descr="../figures/SE_CFMUs.png" id="28" name="Picture"/>
                    <pic:cNvPicPr>
                      <a:picLocks noChangeArrowheads="1" noChangeAspect="1"/>
                    </pic:cNvPicPr>
                  </pic:nvPicPr>
                  <pic:blipFill>
                    <a:blip r:embed="rId26"/>
                    <a:stretch>
                      <a:fillRect/>
                    </a:stretch>
                  </pic:blipFill>
                  <pic:spPr bwMode="auto">
                    <a:xfrm>
                      <a:off x="0" y="0"/>
                      <a:ext cx="5943600" cy="459638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w:t>
      </w:r>
    </w:p>
    <w:p>
      <w:r>
        <w:br w:type="page"/>
      </w:r>
    </w:p>
    <w:p>
      <w:pPr>
        <w:pStyle w:val="CaptionedFigure"/>
      </w:pPr>
      <w:r>
        <w:drawing>
          <wp:inline>
            <wp:extent cx="5943600" cy="3758757"/>
            <wp:effectExtent b="0" l="0" r="0" t="0"/>
            <wp:docPr descr="Figure 4. 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 title="" id="30" name="Picture"/>
            <a:graphic>
              <a:graphicData uri="http://schemas.openxmlformats.org/drawingml/2006/picture">
                <pic:pic>
                  <pic:nvPicPr>
                    <pic:cNvPr descr="../figures/KOD_CFMUs.png" id="31" name="Picture"/>
                    <pic:cNvPicPr>
                      <a:picLocks noChangeArrowheads="1" noChangeAspect="1"/>
                    </pic:cNvPicPr>
                  </pic:nvPicPr>
                  <pic:blipFill>
                    <a:blip r:embed="rId29"/>
                    <a:stretch>
                      <a:fillRect/>
                    </a:stretch>
                  </pic:blipFill>
                  <pic:spPr bwMode="auto">
                    <a:xfrm>
                      <a:off x="0" y="0"/>
                      <a:ext cx="5943600" cy="375875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w:t>
      </w:r>
    </w:p>
    <w:p>
      <w:r>
        <w:br w:type="page"/>
      </w:r>
    </w:p>
    <w:p>
      <w:pPr>
        <w:pStyle w:val="CaptionedFigure"/>
      </w:pPr>
      <w:r>
        <w:drawing>
          <wp:inline>
            <wp:extent cx="5943600" cy="2584173"/>
            <wp:effectExtent b="0" l="0" r="0" t="0"/>
            <wp:docPr descr="Figure 5.-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 title="" id="33" name="Picture"/>
            <a:graphic>
              <a:graphicData uri="http://schemas.openxmlformats.org/drawingml/2006/picture">
                <pic:pic>
                  <pic:nvPicPr>
                    <pic:cNvPr descr="Rep_Figures_files/figure-docx/unnamed-chunk-6-1.png" id="34" name="Picture"/>
                    <pic:cNvPicPr>
                      <a:picLocks noChangeArrowheads="1" noChangeAspect="1"/>
                    </pic:cNvPicPr>
                  </pic:nvPicPr>
                  <pic:blipFill>
                    <a:blip r:embed="rId32"/>
                    <a:stretch>
                      <a:fillRect/>
                    </a:stretch>
                  </pic:blipFill>
                  <pic:spPr bwMode="auto">
                    <a:xfrm>
                      <a:off x="0" y="0"/>
                      <a:ext cx="5943600" cy="2584173"/>
                    </a:xfrm>
                    <a:prstGeom prst="rect">
                      <a:avLst/>
                    </a:prstGeom>
                    <a:noFill/>
                    <a:ln w="9525">
                      <a:noFill/>
                      <a:headEnd/>
                      <a:tailEnd/>
                    </a:ln>
                  </pic:spPr>
                </pic:pic>
              </a:graphicData>
            </a:graphic>
          </wp:inline>
        </w:drawing>
      </w:r>
    </w:p>
    <w:p>
      <w:pPr>
        <w:pStyle w:val="ImageCaption"/>
      </w:pPr>
      <w:r>
        <w:rPr>
          <w:b/>
          <w:bCs/>
        </w:rPr>
        <w:t xml:space="preserve">Figure 5.</w:t>
      </w:r>
      <w:r>
        <w:t xml:space="preserve">-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w:t>
      </w:r>
    </w:p>
    <w:p>
      <w:r>
        <w:br w:type="page"/>
      </w:r>
    </w:p>
    <w:p>
      <w:pPr>
        <w:pStyle w:val="CaptionedFigure"/>
      </w:pPr>
      <w:r>
        <w:drawing>
          <wp:inline>
            <wp:extent cx="5943600" cy="4134678"/>
            <wp:effectExtent b="0" l="0" r="0" t="0"/>
            <wp:docPr descr="Figure 6.- SWHS harvest (left) and release (right) estimates from guided trips (x-axis) versus repoted harvests from charter logbooks (y-axis)." title="" id="36" name="Picture"/>
            <a:graphic>
              <a:graphicData uri="http://schemas.openxmlformats.org/drawingml/2006/picture">
                <pic:pic>
                  <pic:nvPicPr>
                    <pic:cNvPr descr="Rep_Figures_files/figure-docx/unnamed-chunk-7-1.png" id="37" name="Picture"/>
                    <pic:cNvPicPr>
                      <a:picLocks noChangeArrowheads="1" noChangeAspect="1"/>
                    </pic:cNvPicPr>
                  </pic:nvPicPr>
                  <pic:blipFill>
                    <a:blip r:embed="rId35"/>
                    <a:stretch>
                      <a:fillRect/>
                    </a:stretch>
                  </pic:blipFill>
                  <pic:spPr bwMode="auto">
                    <a:xfrm>
                      <a:off x="0" y="0"/>
                      <a:ext cx="5943600" cy="4134678"/>
                    </a:xfrm>
                    <a:prstGeom prst="rect">
                      <a:avLst/>
                    </a:prstGeom>
                    <a:noFill/>
                    <a:ln w="9525">
                      <a:noFill/>
                      <a:headEnd/>
                      <a:tailEnd/>
                    </a:ln>
                  </pic:spPr>
                </pic:pic>
              </a:graphicData>
            </a:graphic>
          </wp:inline>
        </w:drawing>
      </w:r>
    </w:p>
    <w:p>
      <w:pPr>
        <w:pStyle w:val="ImageCaption"/>
      </w:pPr>
      <w:r>
        <w:rPr>
          <w:b/>
          <w:bCs/>
        </w:rPr>
        <w:t xml:space="preserve">Figure 6.</w:t>
      </w:r>
      <w:r>
        <w:t xml:space="preserve">- SWHS harvest (left) and release (right) estimates from guided trips (x-axis) versus repoted harvests from charter logbooks (y-axis).</w:t>
      </w:r>
    </w:p>
    <w:p>
      <w:r>
        <w:br w:type="page"/>
      </w:r>
    </w:p>
    <w:p>
      <w:pPr>
        <w:pStyle w:val="CaptionedFigure"/>
      </w:pPr>
      <w:r>
        <w:drawing>
          <wp:inline>
            <wp:extent cx="5943600" cy="3343275"/>
            <wp:effectExtent b="0" l="0" r="0" t="0"/>
            <wp:docPr descr="Figure 7. Schematics illustrating the difference in processes used by Howard et al. (2020) and the Bayesian model to estimates releases of rockfish by unguided anglers in Alaska waters. The Howard methods assume that the ratio of unguided:guided releases for all rockfish in the SWHS apply equally to all rockfish species and complexes. The Bayesian approach estimates retention probabilities separately for the three categories of rockfish in the logbook data (pelagics, yelloweye, and other) based on the retention probabilities of guided anglers evident in the logbook data." title="" id="39" name="Picture"/>
            <a:graphic>
              <a:graphicData uri="http://schemas.openxmlformats.org/drawingml/2006/picture">
                <pic:pic>
                  <pic:nvPicPr>
                    <pic:cNvPr descr="../figures/release_methods_fig.png" id="40" name="Picture"/>
                    <pic:cNvPicPr>
                      <a:picLocks noChangeArrowheads="1" noChangeAspect="1"/>
                    </pic:cNvPicPr>
                  </pic:nvPicPr>
                  <pic:blipFill>
                    <a:blip r:embed="rId38"/>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Schematics illustrating the difference in processes used by Howard et al. (2020) and the Bayesian model to estimates releases of rockfish by unguided anglers in Alaska waters. The Howard methods assume that the ratio of unguided:guided releases for all rockfish in the SWHS apply equally to all rockfish species and complexes. The Bayesian approach estimates retention probabilities separately for the three categories of rockfish in the logbook data (pelagics, yelloweye, and</w:t>
      </w:r>
      <w:r>
        <w:t xml:space="preserve"> </w:t>
      </w:r>
      <w:r>
        <w:rPr>
          <w:i/>
          <w:iCs/>
        </w:rPr>
        <w:t xml:space="preserve">other</w:t>
      </w:r>
      <w:r>
        <w:t xml:space="preserve">) based on the retention probabilities of guided anglers evident in the logbook data.</w:t>
      </w:r>
    </w:p>
    <w:p>
      <w:r>
        <w:br w:type="page"/>
      </w:r>
    </w:p>
    <w:p>
      <w:pPr>
        <w:pStyle w:val="CaptionedFigure"/>
      </w:pPr>
      <w:r>
        <w:drawing>
          <wp:inline>
            <wp:extent cx="5943600" cy="4754880"/>
            <wp:effectExtent b="0" l="0" r="0" t="0"/>
            <wp:docPr descr="Figure 8. Release mortality rates used to calculate the number of released rockfish assumed to have died. The change in mortality rates in 2013 reflect the deep water release (DWR) requirements that were adopted in that year." title="" id="42" name="Picture"/>
            <a:graphic>
              <a:graphicData uri="http://schemas.openxmlformats.org/drawingml/2006/picture">
                <pic:pic>
                  <pic:nvPicPr>
                    <pic:cNvPr descr="Rep_Figures_files/figure-docx/unnamed-chunk-9-1.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Release mortality rates used to calculate the number of released rockfish assumed to have died. The change in mortality rates in 2013 reflect the deep water release (DWR) requirements that were adopted in that year.</w:t>
      </w:r>
    </w:p>
    <w:p>
      <w:r>
        <w:br w:type="page"/>
      </w:r>
    </w:p>
    <w:p>
      <w:pPr>
        <w:pStyle w:val="CaptionedFigure"/>
      </w:pPr>
      <w:r>
        <w:drawing>
          <wp:inline>
            <wp:extent cx="5943600" cy="5943600"/>
            <wp:effectExtent b="0" l="0" r="0" t="0"/>
            <wp:docPr descr="Figure 9.- Residuals from SWHS harvests showing the difference between model estimates with the bias correction removed and observed values in the SWHS. The CV of the SWHS data is indicated by the grey scale." title="" id="45" name="Picture"/>
            <a:graphic>
              <a:graphicData uri="http://schemas.openxmlformats.org/drawingml/2006/picture">
                <pic:pic>
                  <pic:nvPicPr>
                    <pic:cNvPr descr="Rep_Figures_files/figure-docx/unnamed-chunk-10-1.png" id="46" name="Picture"/>
                    <pic:cNvPicPr>
                      <a:picLocks noChangeArrowheads="1" noChangeAspect="1"/>
                    </pic:cNvPicPr>
                  </pic:nvPicPr>
                  <pic:blipFill>
                    <a:blip r:embed="rId4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9.</w:t>
      </w:r>
      <w:r>
        <w:t xml:space="preserve">- Residuals from SWHS harvests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943600"/>
            <wp:effectExtent b="0" l="0" r="0" t="0"/>
            <wp:docPr descr="Figure 10.- Residual of SWHS releases showing the difference between model estimates with the bias correction removed and observed values in the SWHS. The CV of the SWHS data is indicated by the grey scale." title="" id="48" name="Picture"/>
            <a:graphic>
              <a:graphicData uri="http://schemas.openxmlformats.org/drawingml/2006/picture">
                <pic:pic>
                  <pic:nvPicPr>
                    <pic:cNvPr descr="Rep_Figures_files/figure-docx/unnamed-chunk-11-1.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10.</w:t>
      </w:r>
      <w:r>
        <w:t xml:space="preserve">- Residual of SWHS releases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349240"/>
            <wp:effectExtent b="0" l="0" r="0" t="0"/>
            <wp:docPr descr="Figure 11.- Residuals from logbook harvests and releases with residuals shown proportional to the magnitude of the harvest and release data." title="" id="51" name="Picture"/>
            <a:graphic>
              <a:graphicData uri="http://schemas.openxmlformats.org/drawingml/2006/picture">
                <pic:pic>
                  <pic:nvPicPr>
                    <pic:cNvPr descr="Rep_Figures_files/figure-docx/unnamed-chunk-12-1.png" id="52" name="Picture"/>
                    <pic:cNvPicPr>
                      <a:picLocks noChangeArrowheads="1" noChangeAspect="1"/>
                    </pic:cNvPicPr>
                  </pic:nvPicPr>
                  <pic:blipFill>
                    <a:blip r:embed="rId50"/>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rPr>
          <w:b/>
          <w:bCs/>
        </w:rPr>
        <w:t xml:space="preserve">Figure 11.</w:t>
      </w:r>
      <w:r>
        <w:t xml:space="preserve">- Residuals from logbook harvests and releases with residuals shown proportional to the magnitude of the harvest and release data.</w:t>
      </w:r>
    </w:p>
    <w:p>
      <w:r>
        <w:br w:type="page"/>
      </w:r>
    </w:p>
    <w:p>
      <w:pPr>
        <w:pStyle w:val="CaptionedFigure"/>
      </w:pPr>
      <w:r>
        <w:drawing>
          <wp:inline>
            <wp:extent cx="5943600" cy="5943600"/>
            <wp:effectExtent b="0" l="0" r="0" t="0"/>
            <wp:docPr descr="Figure 12.- Annual estimates of SWHS bias in harvests for 16 commerical fishing manamgent areas, 1996-2023. Note that a bias &lt; 1 indicates that the SWHS underestimates the true value and bias &gt; 1 indicates the survey overestimates the true value." title="" id="54" name="Picture"/>
            <a:graphic>
              <a:graphicData uri="http://schemas.openxmlformats.org/drawingml/2006/picture">
                <pic:pic>
                  <pic:nvPicPr>
                    <pic:cNvPr descr="Rep_Figures_files/figure-docx/unnamed-chunk-14-1.png" id="55" name="Picture"/>
                    <pic:cNvPicPr>
                      <a:picLocks noChangeArrowheads="1" noChangeAspect="1"/>
                    </pic:cNvPicPr>
                  </pic:nvPicPr>
                  <pic:blipFill>
                    <a:blip r:embed="rId5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12.</w:t>
      </w:r>
      <w:r>
        <w:t xml:space="preserve">- Annual estimates of SWHS bias in harvests for 16 commerical fishing manamgent areas, 1996-2023.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3.- Annual estimates of SWHS bias in releases for 16 commerical fishing manamgent areas, 1996-2023. Note that a bias &lt; 1 indicates that the SWHS underestimates the true value and bias &gt; 1 indicates the survey overestimates the true value." title="" id="57" name="Picture"/>
            <a:graphic>
              <a:graphicData uri="http://schemas.openxmlformats.org/drawingml/2006/picture">
                <pic:pic>
                  <pic:nvPicPr>
                    <pic:cNvPr descr="Rep_Figures_files/figure-docx/unnamed-chunk-15-1.png" id="58" name="Picture"/>
                    <pic:cNvPicPr>
                      <a:picLocks noChangeArrowheads="1" noChangeAspect="1"/>
                    </pic:cNvPicPr>
                  </pic:nvPicPr>
                  <pic:blipFill>
                    <a:blip r:embed="rId5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13.</w:t>
      </w:r>
      <w:r>
        <w:t xml:space="preserve">- Annual estimates of SWHS bias in releases for 16 commerical fishing manamgent areas, 1996-2023.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4754880"/>
            <wp:effectExtent b="0" l="0" r="0" t="0"/>
            <wp:docPr descr="Figure 14.- Mean SWHS bias for harvests and catches. Note that a bias &lt; 1 indicates that the SWHS underestimates the true value and bias &gt; 1 indicates the survey overestimates the true value." title="" id="60" name="Picture"/>
            <a:graphic>
              <a:graphicData uri="http://schemas.openxmlformats.org/drawingml/2006/picture">
                <pic:pic>
                  <pic:nvPicPr>
                    <pic:cNvPr descr="Rep_Figures_files/figure-docx/unnamed-chunk-16-1.png" id="61" name="Picture"/>
                    <pic:cNvPicPr>
                      <a:picLocks noChangeArrowheads="1" noChangeAspect="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14.</w:t>
      </w:r>
      <w:r>
        <w:t xml:space="preserve">- Mean SWHS bias for harvests and catches.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5.- Annual proportion of pelagic rockfish catch that was harvested. Note that pre-1990 estimates are used to estimate catch in these years when catch estimates are not available." title="" id="63" name="Picture"/>
            <a:graphic>
              <a:graphicData uri="http://schemas.openxmlformats.org/drawingml/2006/picture">
                <pic:pic>
                  <pic:nvPicPr>
                    <pic:cNvPr descr="Rep_Figures_files/figure-docx/unnamed-chunk-17-1.png" id="64" name="Picture"/>
                    <pic:cNvPicPr>
                      <a:picLocks noChangeArrowheads="1" noChangeAspect="1"/>
                    </pic:cNvPicPr>
                  </pic:nvPicPr>
                  <pic:blipFill>
                    <a:blip r:embed="rId6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15.</w:t>
      </w:r>
      <w:r>
        <w:t xml:space="preserve">- Annual proportion of pelagic rockfish catch that was harvested. Note that pre-1990 estimates are used to estimate catch in these years when catch estimates are not available.</w:t>
      </w:r>
    </w:p>
    <w:p>
      <w:r>
        <w:br w:type="page"/>
      </w:r>
    </w:p>
    <w:p>
      <w:pPr>
        <w:pStyle w:val="CaptionedFigure"/>
      </w:pPr>
      <w:r>
        <w:drawing>
          <wp:inline>
            <wp:extent cx="5943600" cy="5943600"/>
            <wp:effectExtent b="0" l="0" r="0" t="0"/>
            <wp:docPr descr="Figure 16.- Annual proportion of yelloweye rockfish catch that was harvested. Note that pre-1990 estimates are used to estimate catch in these years when catch estimates are not available." title="" id="66" name="Picture"/>
            <a:graphic>
              <a:graphicData uri="http://schemas.openxmlformats.org/drawingml/2006/picture">
                <pic:pic>
                  <pic:nvPicPr>
                    <pic:cNvPr descr="Rep_Figures_files/figure-docx/unnamed-chunk-18-1.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16.</w:t>
      </w:r>
      <w:r>
        <w:t xml:space="preserve">- Annual proportion of yelloweye rockfish catch that was harvested. Note that pre-1990 estimates are used to estimate catch in these years when catch estimates are not available.</w:t>
      </w:r>
    </w:p>
    <w:p>
      <w:r>
        <w:br w:type="page"/>
      </w:r>
    </w:p>
    <w:p>
      <w:pPr>
        <w:pStyle w:val="CaptionedFigure"/>
      </w:pPr>
      <w:r>
        <w:drawing>
          <wp:inline>
            <wp:extent cx="5943600" cy="5943600"/>
            <wp:effectExtent b="0" l="0" r="0" t="0"/>
            <wp:docPr descr="Figure 17.- Annual proportion of other (non-pelagic, non-yelloweye) rockfish catch that was harvested. Note that pre-1990 estimates are used to estimate catch in these years when catch estimates are not available." title="" id="69" name="Picture"/>
            <a:graphic>
              <a:graphicData uri="http://schemas.openxmlformats.org/drawingml/2006/picture">
                <pic:pic>
                  <pic:nvPicPr>
                    <pic:cNvPr descr="Rep_Figures_files/figure-docx/unnamed-chunk-19-1.png" id="70" name="Picture"/>
                    <pic:cNvPicPr>
                      <a:picLocks noChangeArrowheads="1" noChangeAspect="1"/>
                    </pic:cNvPicPr>
                  </pic:nvPicPr>
                  <pic:blipFill>
                    <a:blip r:embed="rId6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17.</w:t>
      </w:r>
      <w:r>
        <w:t xml:space="preserve">- Annual proportion of</w:t>
      </w:r>
      <w:r>
        <w:t xml:space="preserve"> </w:t>
      </w:r>
      <w:r>
        <w:rPr>
          <w:i/>
          <w:iCs/>
        </w:rPr>
        <w:t xml:space="preserve">other</w:t>
      </w:r>
      <w:r>
        <w:t xml:space="preserve"> </w:t>
      </w:r>
      <w:r>
        <w:t xml:space="preserve">(non-pelagic, non-yelloweye) rockfish catch that was harvested. Note that pre-1990 estimates are used to estimate catch in these years when catch estimates are not available.</w:t>
      </w:r>
    </w:p>
    <w:p>
      <w:r>
        <w:br w:type="page"/>
      </w:r>
    </w:p>
    <w:p>
      <w:pPr>
        <w:pStyle w:val="CaptionedFigure"/>
      </w:pPr>
      <w:r>
        <w:drawing>
          <wp:inline>
            <wp:extent cx="5943600" cy="2971800"/>
            <wp:effectExtent b="0" l="0" r="0" t="0"/>
            <wp:docPr descr="Figure 18.- Annual proportion of demersal shelf rockfish catch that was harvested. Note that pre-1990 estimates are used to estimate catch in these years when catch estimates are not available." title="" id="72" name="Picture"/>
            <a:graphic>
              <a:graphicData uri="http://schemas.openxmlformats.org/drawingml/2006/picture">
                <pic:pic>
                  <pic:nvPicPr>
                    <pic:cNvPr descr="Rep_Figures_files/figure-docx/unnamed-chunk-20-1.png" id="73" name="Picture"/>
                    <pic:cNvPicPr>
                      <a:picLocks noChangeArrowheads="1" noChangeAspect="1"/>
                    </pic:cNvPicPr>
                  </pic:nvPicPr>
                  <pic:blipFill>
                    <a:blip r:embed="rId71"/>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18.</w:t>
      </w:r>
      <w:r>
        <w:t xml:space="preserve">- Annual proportion of demersal shelf rockfish catch that was harvested. Note that pre-1990 estimates are used to estimate catch in these years when catch estimates are not available.</w:t>
      </w:r>
    </w:p>
    <w:p>
      <w:r>
        <w:br w:type="page"/>
      </w:r>
    </w:p>
    <w:p>
      <w:pPr>
        <w:pStyle w:val="CaptionedFigure"/>
      </w:pPr>
      <w:r>
        <w:drawing>
          <wp:inline>
            <wp:extent cx="5943600" cy="2971800"/>
            <wp:effectExtent b="0" l="0" r="0" t="0"/>
            <wp:docPr descr="Figure 19.- Annual proportion of slope rockfish catch that was harvested. Note that pre-1990 estimates are used to estimate catch in these years when catch estimates are not available." title="" id="75" name="Picture"/>
            <a:graphic>
              <a:graphicData uri="http://schemas.openxmlformats.org/drawingml/2006/picture">
                <pic:pic>
                  <pic:nvPicPr>
                    <pic:cNvPr descr="Rep_Figures_files/figure-docx/unnamed-chunk-21-1.png" id="76" name="Picture"/>
                    <pic:cNvPicPr>
                      <a:picLocks noChangeArrowheads="1" noChangeAspect="1"/>
                    </pic:cNvPicPr>
                  </pic:nvPicPr>
                  <pic:blipFill>
                    <a:blip r:embed="rId7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19.</w:t>
      </w:r>
      <w:r>
        <w:t xml:space="preserve">- Annual proportion of slope rockfish catch that was harvested. Note that pre-1990 estimates are used to estimate catch in these years when catch estimates are not available.</w:t>
      </w:r>
    </w:p>
    <w:p>
      <w:r>
        <w:br w:type="page"/>
      </w:r>
    </w:p>
    <w:p>
      <w:pPr>
        <w:pStyle w:val="CaptionedFigure"/>
      </w:pPr>
      <w:r>
        <w:drawing>
          <wp:inline>
            <wp:extent cx="5943600" cy="5943600"/>
            <wp:effectExtent b="0" l="0" r="0" t="0"/>
            <wp:docPr descr="Figure 20.- Annual estimates of the percent of the sport harvest that was pelagic rockfish for 16 commerical fishing manamgent areas, 1996-2023." title="" id="78" name="Picture"/>
            <a:graphic>
              <a:graphicData uri="http://schemas.openxmlformats.org/drawingml/2006/picture">
                <pic:pic>
                  <pic:nvPicPr>
                    <pic:cNvPr descr="Rep_Figures_files/figure-docx/unnamed-chunk-22-1.png" id="79" name="Picture"/>
                    <pic:cNvPicPr>
                      <a:picLocks noChangeArrowheads="1" noChangeAspect="1"/>
                    </pic:cNvPicPr>
                  </pic:nvPicPr>
                  <pic:blipFill>
                    <a:blip r:embed="rId7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20.</w:t>
      </w:r>
      <w:r>
        <w:t xml:space="preserve">- Annual estimates of the percent of the sport harvest that was pelagic rockfish for 16 commerical fishing manamgent areas, 1996-2023.</w:t>
      </w:r>
    </w:p>
    <w:p>
      <w:r>
        <w:br w:type="page"/>
      </w:r>
    </w:p>
    <w:p>
      <w:pPr>
        <w:pStyle w:val="CaptionedFigure"/>
      </w:pPr>
      <w:r>
        <w:drawing>
          <wp:inline>
            <wp:extent cx="5943600" cy="5943600"/>
            <wp:effectExtent b="0" l="0" r="0" t="0"/>
            <wp:docPr descr="Figure 21.- Annual estimates of the percent of the sport harvest of pelagic rockfish that were black rockfish for 16 commerical fishing manamgent areas, 1996-2023. Kodiak panels include data from a hydroacoustic survey and the proportion of pelagic rockfish that are black in those areas (navy blue) and the adjusted proportions based on obseved harvests for charter (blue) and private (cyan) users." title="" id="81" name="Picture"/>
            <a:graphic>
              <a:graphicData uri="http://schemas.openxmlformats.org/drawingml/2006/picture">
                <pic:pic>
                  <pic:nvPicPr>
                    <pic:cNvPr descr="Rep_Figures_files/figure-docx/unnamed-chunk-23-1.png" id="82" name="Picture"/>
                    <pic:cNvPicPr>
                      <a:picLocks noChangeArrowheads="1" noChangeAspect="1"/>
                    </pic:cNvPicPr>
                  </pic:nvPicPr>
                  <pic:blipFill>
                    <a:blip r:embed="rId80"/>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21.</w:t>
      </w:r>
      <w:r>
        <w:t xml:space="preserve">- Annual estimates of the percent of the sport harvest of pelagic rockfish that were black rockfish for 16 commerical fishing manamgent areas, 1996-2023. Kodiak panels include data from a hydroacoustic survey and the proportion of pelagic rockfish that are black in those areas (navy blue) and the adjusted proportions based on obseved harvests for charter (blue) and private (cyan) users.</w:t>
      </w:r>
    </w:p>
    <w:p>
      <w:r>
        <w:br w:type="page"/>
      </w:r>
    </w:p>
    <w:p>
      <w:pPr>
        <w:pStyle w:val="CaptionedFigure"/>
      </w:pPr>
      <w:r>
        <w:drawing>
          <wp:inline>
            <wp:extent cx="5943600" cy="5943600"/>
            <wp:effectExtent b="0" l="0" r="0" t="0"/>
            <wp:docPr descr="Figure 22.- Annual estimates of the percent of the sport harvest of non-pelagic rockfish that were yelloweye rockfish for 16 commerical fishing manamgent areas, 1996-2023. Note that P(yelloweye) is the the proportion relative to non-pelagics for Central and Kodiak areas but is relative to DSR for Southeast areas." title="" id="84" name="Picture"/>
            <a:graphic>
              <a:graphicData uri="http://schemas.openxmlformats.org/drawingml/2006/picture">
                <pic:pic>
                  <pic:nvPicPr>
                    <pic:cNvPr descr="Rep_Figures_files/figure-docx/unnamed-chunk-24-1.png" id="85" name="Picture"/>
                    <pic:cNvPicPr>
                      <a:picLocks noChangeArrowheads="1" noChangeAspect="1"/>
                    </pic:cNvPicPr>
                  </pic:nvPicPr>
                  <pic:blipFill>
                    <a:blip r:embed="rId8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22.</w:t>
      </w:r>
      <w:r>
        <w:t xml:space="preserve">- Annual estimates of the percent of the sport harvest of non-pelagic rockfish that were yelloweye rockfish for 16 commerical fishing manamgent areas, 1996-2023. Note that P(yelloweye) is the the proportion relative to non-pelagics for Central and Kodiak areas but is relative to DSR for Southeast areas.</w:t>
      </w:r>
    </w:p>
    <w:p>
      <w:r>
        <w:br w:type="page"/>
      </w:r>
    </w:p>
    <w:p>
      <w:pPr>
        <w:pStyle w:val="CaptionedFigure"/>
      </w:pPr>
      <w:r>
        <w:drawing>
          <wp:inline>
            <wp:extent cx="5943600" cy="2971800"/>
            <wp:effectExtent b="0" l="0" r="0" t="0"/>
            <wp:docPr descr="Figure 23.- Annual estimates of the percent of the sport harvest of non-pelagic rockfish that were DSR rockfish for 6 Southeast commerical fishing manamgent areas, 1996-2023." title="" id="87" name="Picture"/>
            <a:graphic>
              <a:graphicData uri="http://schemas.openxmlformats.org/drawingml/2006/picture">
                <pic:pic>
                  <pic:nvPicPr>
                    <pic:cNvPr descr="Rep_Figures_files/figure-docx/unnamed-chunk-25-1.png" id="88" name="Picture"/>
                    <pic:cNvPicPr>
                      <a:picLocks noChangeArrowheads="1" noChangeAspect="1"/>
                    </pic:cNvPicPr>
                  </pic:nvPicPr>
                  <pic:blipFill>
                    <a:blip r:embed="rId8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23.</w:t>
      </w:r>
      <w:r>
        <w:t xml:space="preserve">- Annual estimates of the percent of the sport harvest of non-pelagic rockfish that were DSR rockfish for 6 Southeast commerical fishing manamgent areas, 1996-2023.</w:t>
      </w:r>
    </w:p>
    <w:p>
      <w:r>
        <w:br w:type="page"/>
      </w:r>
    </w:p>
    <w:p>
      <w:pPr>
        <w:pStyle w:val="CaptionedFigure"/>
      </w:pPr>
      <w:r>
        <w:drawing>
          <wp:inline>
            <wp:extent cx="5943600" cy="2971800"/>
            <wp:effectExtent b="0" l="0" r="0" t="0"/>
            <wp:docPr descr="Figure 24.- Annual estimates of the percent of the sport harvest of non-pelagic rockfish that were slope rockfish for 6 southeast commerical fishing manamgent areas, 1996-2023. Note that P(yelloweye) is the the proportion relative to non-pelagics for Central and Kodiak areas but is relative to DSR for Southeast areas." title="" id="90" name="Picture"/>
            <a:graphic>
              <a:graphicData uri="http://schemas.openxmlformats.org/drawingml/2006/picture">
                <pic:pic>
                  <pic:nvPicPr>
                    <pic:cNvPr descr="Rep_Figures_files/figure-docx/unnamed-chunk-26-1.png" id="91" name="Picture"/>
                    <pic:cNvPicPr>
                      <a:picLocks noChangeArrowheads="1" noChangeAspect="1"/>
                    </pic:cNvPicPr>
                  </pic:nvPicPr>
                  <pic:blipFill>
                    <a:blip r:embed="rId8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24.</w:t>
      </w:r>
      <w:r>
        <w:t xml:space="preserve">- Annual estimates of the percent of the sport harvest of non-pelagic rockfish that were slope rockfish for 6 southeast commerical fishing manamgent areas, 1996-2023. Note that P(yelloweye) is the the proportion relative to non-pelagics for Central and Kodiak areas but is relative to DSR for Southeast areas.</w:t>
      </w:r>
    </w:p>
    <w:p>
      <w:r>
        <w:br w:type="page"/>
      </w:r>
    </w:p>
    <w:p>
      <w:pPr>
        <w:pStyle w:val="SourceCode"/>
      </w:pPr>
      <w:r>
        <w:rPr>
          <w:rStyle w:val="VerbatimChar"/>
        </w:rPr>
        <w:t xml:space="preserve">## NULL</w:t>
      </w:r>
    </w:p>
    <w:p>
      <w:r>
        <w:br w:type="page"/>
      </w:r>
    </w:p>
    <w:p>
      <w:pPr>
        <w:pStyle w:val="CaptionedFigure"/>
      </w:pPr>
      <w:r>
        <w:drawing>
          <wp:inline>
            <wp:extent cx="5943600" cy="5943600"/>
            <wp:effectExtent b="0" l="0" r="0" t="0"/>
            <wp:docPr descr="Figure 25.- Annual estimates of the percent of harvest by charter anglers for 16 commerical fishing manamgent areas, 1996-2023." title="" id="93" name="Picture"/>
            <a:graphic>
              <a:graphicData uri="http://schemas.openxmlformats.org/drawingml/2006/picture">
                <pic:pic>
                  <pic:nvPicPr>
                    <pic:cNvPr descr="Rep_Figures_files/figure-docx/unnamed-chunk-28-1.png" id="94" name="Picture"/>
                    <pic:cNvPicPr>
                      <a:picLocks noChangeArrowheads="1" noChangeAspect="1"/>
                    </pic:cNvPicPr>
                  </pic:nvPicPr>
                  <pic:blipFill>
                    <a:blip r:embed="rId9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25.</w:t>
      </w:r>
      <w:r>
        <w:t xml:space="preserve">- Annual estimates of the percent of harvest by charter anglers for 16 commerical fishing manamgent areas, 1996-2023.</w:t>
      </w:r>
    </w:p>
    <w:p>
      <w:r>
        <w:br w:type="page"/>
      </w:r>
    </w:p>
    <w:p>
      <w:pPr>
        <w:pStyle w:val="CaptionedFigure"/>
      </w:pPr>
      <w:r>
        <w:drawing>
          <wp:inline>
            <wp:extent cx="5943600" cy="4754880"/>
            <wp:effectExtent b="0" l="0" r="0" t="0"/>
            <wp:docPr descr="Figure 26.- Total rockfish harvests 1996-2023. Lines and error polygons represent model estimates and points represent Howard et al estimates." title="" id="96" name="Picture"/>
            <a:graphic>
              <a:graphicData uri="http://schemas.openxmlformats.org/drawingml/2006/picture">
                <pic:pic>
                  <pic:nvPicPr>
                    <pic:cNvPr descr="Rep_Figures_files/figure-docx/unnamed-chunk-29-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26.</w:t>
      </w:r>
      <w:r>
        <w:t xml:space="preserve">- Total rockfish harvests 1996-2023. Lines and error polygons represent model estimates and points represent Howard et al estimates.</w:t>
      </w:r>
    </w:p>
    <w:p>
      <w:r>
        <w:br w:type="page"/>
      </w:r>
    </w:p>
    <w:p>
      <w:pPr>
        <w:pStyle w:val="CaptionedFigure"/>
      </w:pPr>
      <w:r>
        <w:drawing>
          <wp:inline>
            <wp:extent cx="5943600" cy="5943600"/>
            <wp:effectExtent b="0" l="0" r="0" t="0"/>
            <wp:docPr descr="Figure 27.- Black rockfish harvests 1996–2023. Lines and error polygons represent model estimates and points represent Howard et al estimates." title="" id="99" name="Picture"/>
            <a:graphic>
              <a:graphicData uri="http://schemas.openxmlformats.org/drawingml/2006/picture">
                <pic:pic>
                  <pic:nvPicPr>
                    <pic:cNvPr descr="Rep_Figures_files/figure-docx/unnamed-chunk-30-1.png" id="100" name="Picture"/>
                    <pic:cNvPicPr>
                      <a:picLocks noChangeArrowheads="1" noChangeAspect="1"/>
                    </pic:cNvPicPr>
                  </pic:nvPicPr>
                  <pic:blipFill>
                    <a:blip r:embed="rId9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27.</w:t>
      </w:r>
      <w:r>
        <w:t xml:space="preserve">- Black rockfish harvests 1996–2023. Lines and error polygons represent model estimates and points represent Howard et al estimates.</w:t>
      </w:r>
    </w:p>
    <w:p>
      <w:r>
        <w:br w:type="page"/>
      </w:r>
    </w:p>
    <w:p>
      <w:pPr>
        <w:pStyle w:val="CaptionedFigure"/>
      </w:pPr>
      <w:r>
        <w:drawing>
          <wp:inline>
            <wp:extent cx="5943600" cy="5943600"/>
            <wp:effectExtent b="0" l="0" r="0" t="0"/>
            <wp:docPr descr="Figure 28.- Yellow rockfish harvests 1996–2023. Lines and error polygons represent model estimates and points represent Howard et al estimates." title="" id="102" name="Picture"/>
            <a:graphic>
              <a:graphicData uri="http://schemas.openxmlformats.org/drawingml/2006/picture">
                <pic:pic>
                  <pic:nvPicPr>
                    <pic:cNvPr descr="Rep_Figures_files/figure-docx/unnamed-chunk-31-1.png" id="103" name="Picture"/>
                    <pic:cNvPicPr>
                      <a:picLocks noChangeArrowheads="1" noChangeAspect="1"/>
                    </pic:cNvPicPr>
                  </pic:nvPicPr>
                  <pic:blipFill>
                    <a:blip r:embed="rId10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28.</w:t>
      </w:r>
      <w:r>
        <w:t xml:space="preserve">- Yellow rockfish harvests 1996–2023. Lines and error polygons represent model estimates and points represent Howard et al estimates.</w:t>
      </w:r>
    </w:p>
    <w:p>
      <w:r>
        <w:br w:type="page"/>
      </w:r>
    </w:p>
    <w:p>
      <w:pPr>
        <w:pStyle w:val="CaptionedFigure"/>
      </w:pPr>
      <w:r>
        <w:drawing>
          <wp:inline>
            <wp:extent cx="5943600" cy="2971800"/>
            <wp:effectExtent b="0" l="0" r="0" t="0"/>
            <wp:docPr descr="Figure 29.- DSR rockfish (excluding yelloweye) harvests 1996–2023. Lines and error polygons represent model estimates and points represent Howard et al estimates." title="" id="105" name="Picture"/>
            <a:graphic>
              <a:graphicData uri="http://schemas.openxmlformats.org/drawingml/2006/picture">
                <pic:pic>
                  <pic:nvPicPr>
                    <pic:cNvPr descr="Rep_Figures_files/figure-docx/unnamed-chunk-32-1.png" id="106" name="Picture"/>
                    <pic:cNvPicPr>
                      <a:picLocks noChangeArrowheads="1" noChangeAspect="1"/>
                    </pic:cNvPicPr>
                  </pic:nvPicPr>
                  <pic:blipFill>
                    <a:blip r:embed="rId10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29.</w:t>
      </w:r>
      <w:r>
        <w:t xml:space="preserve">- DSR rockfish (excluding yelloweye) harvests 1996–2023. Lines and error polygons represent model estimates and points represent Howard et al estimates.</w:t>
      </w:r>
    </w:p>
    <w:p>
      <w:r>
        <w:br w:type="page"/>
      </w:r>
    </w:p>
    <w:p>
      <w:pPr>
        <w:pStyle w:val="CaptionedFigure"/>
      </w:pPr>
      <w:r>
        <w:drawing>
          <wp:inline>
            <wp:extent cx="5943600" cy="2971800"/>
            <wp:effectExtent b="0" l="0" r="0" t="0"/>
            <wp:docPr descr="Figure 30.- Slope rockfish harvests 1996-2023. Lines and error polygons represent model estimates and points represent Howard et al estimates." title="" id="108" name="Picture"/>
            <a:graphic>
              <a:graphicData uri="http://schemas.openxmlformats.org/drawingml/2006/picture">
                <pic:pic>
                  <pic:nvPicPr>
                    <pic:cNvPr descr="Rep_Figures_files/figure-docx/unnamed-chunk-33-1.png" id="109" name="Picture"/>
                    <pic:cNvPicPr>
                      <a:picLocks noChangeArrowheads="1" noChangeAspect="1"/>
                    </pic:cNvPicPr>
                  </pic:nvPicPr>
                  <pic:blipFill>
                    <a:blip r:embed="rId10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30.</w:t>
      </w:r>
      <w:r>
        <w:t xml:space="preserve">- Slope rockfish harvests 1996-2023. Lines and error polygons represent model estimates and points represent Howard et al estimates.</w:t>
      </w:r>
    </w:p>
    <w:p>
      <w:r>
        <w:br w:type="page"/>
      </w:r>
    </w:p>
    <w:p>
      <w:pPr>
        <w:pStyle w:val="CaptionedFigure"/>
      </w:pPr>
      <w:r>
        <w:drawing>
          <wp:inline>
            <wp:extent cx="5943600" cy="4754880"/>
            <wp:effectExtent b="0" l="0" r="0" t="0"/>
            <wp:docPr descr="Figure 31.- Total rockfish releases 1996–2023. Lines and error polygons represent model estimates and points represent Howard et al estimates." title="" id="111" name="Picture"/>
            <a:graphic>
              <a:graphicData uri="http://schemas.openxmlformats.org/drawingml/2006/picture">
                <pic:pic>
                  <pic:nvPicPr>
                    <pic:cNvPr descr="Rep_Figures_files/figure-docx/unnamed-chunk-34-1.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31.</w:t>
      </w:r>
      <w:r>
        <w:t xml:space="preserve">- Total rockfish releases 1996–2023. Lines and error polygons represent model estimates and points represent Howard et al estimates.</w:t>
      </w:r>
    </w:p>
    <w:p>
      <w:r>
        <w:br w:type="page"/>
      </w:r>
    </w:p>
    <w:p>
      <w:pPr>
        <w:pStyle w:val="CaptionedFigure"/>
      </w:pPr>
      <w:r>
        <w:drawing>
          <wp:inline>
            <wp:extent cx="5943600" cy="5943600"/>
            <wp:effectExtent b="0" l="0" r="0" t="0"/>
            <wp:docPr descr="Figure 32.- Black rockfish releases 1996–2023. Lines and error polygons represent model estimates and points represent Howard et al estimates." title="" id="114" name="Picture"/>
            <a:graphic>
              <a:graphicData uri="http://schemas.openxmlformats.org/drawingml/2006/picture">
                <pic:pic>
                  <pic:nvPicPr>
                    <pic:cNvPr descr="Rep_Figures_files/figure-docx/unnamed-chunk-35-1.png" id="115" name="Picture"/>
                    <pic:cNvPicPr>
                      <a:picLocks noChangeArrowheads="1" noChangeAspect="1"/>
                    </pic:cNvPicPr>
                  </pic:nvPicPr>
                  <pic:blipFill>
                    <a:blip r:embed="rId11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32.</w:t>
      </w:r>
      <w:r>
        <w:t xml:space="preserve">- Black rockfish releases 1996–2023. Lines and error polygons represent model estimates and points represent Howard et al estimates.</w:t>
      </w:r>
    </w:p>
    <w:p>
      <w:r>
        <w:br w:type="page"/>
      </w:r>
    </w:p>
    <w:p>
      <w:pPr>
        <w:pStyle w:val="CaptionedFigure"/>
      </w:pPr>
      <w:r>
        <w:drawing>
          <wp:inline>
            <wp:extent cx="5943600" cy="5943600"/>
            <wp:effectExtent b="0" l="0" r="0" t="0"/>
            <wp:docPr descr="Figure 33.- Yellow rockfish releases 1996–2023. Lines and error polygons represent model estimates and points represent Howard et al estimates." title="" id="117" name="Picture"/>
            <a:graphic>
              <a:graphicData uri="http://schemas.openxmlformats.org/drawingml/2006/picture">
                <pic:pic>
                  <pic:nvPicPr>
                    <pic:cNvPr descr="Rep_Figures_files/figure-docx/unnamed-chunk-36-1.png" id="118" name="Picture"/>
                    <pic:cNvPicPr>
                      <a:picLocks noChangeArrowheads="1" noChangeAspect="1"/>
                    </pic:cNvPicPr>
                  </pic:nvPicPr>
                  <pic:blipFill>
                    <a:blip r:embed="rId11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33.</w:t>
      </w:r>
      <w:r>
        <w:t xml:space="preserve">- Yellow rockfish releases 1996–2023. Lines and error polygons represent model estimates and points represent Howard et al estimates.</w:t>
      </w:r>
    </w:p>
    <w:p>
      <w:r>
        <w:br w:type="page"/>
      </w:r>
    </w:p>
    <w:p>
      <w:pPr>
        <w:pStyle w:val="CaptionedFigure"/>
      </w:pPr>
      <w:r>
        <w:drawing>
          <wp:inline>
            <wp:extent cx="5943600" cy="2971800"/>
            <wp:effectExtent b="0" l="0" r="0" t="0"/>
            <wp:docPr descr="Figure 34.- DSR rockfish releases (including yelloweye) 1996–2023. Lines and error polygons represent model estimates and points represent Howard et al estimates." title="" id="120" name="Picture"/>
            <a:graphic>
              <a:graphicData uri="http://schemas.openxmlformats.org/drawingml/2006/picture">
                <pic:pic>
                  <pic:nvPicPr>
                    <pic:cNvPr descr="Rep_Figures_files/figure-docx/unnamed-chunk-37-1.png" id="121" name="Picture"/>
                    <pic:cNvPicPr>
                      <a:picLocks noChangeArrowheads="1" noChangeAspect="1"/>
                    </pic:cNvPicPr>
                  </pic:nvPicPr>
                  <pic:blipFill>
                    <a:blip r:embed="rId11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34.</w:t>
      </w:r>
      <w:r>
        <w:t xml:space="preserve">- DSR rockfish releases (including yelloweye) 1996–2023. Lines and error polygons represent model estimates and points represent Howard et al estimates.</w:t>
      </w:r>
    </w:p>
    <w:p>
      <w:r>
        <w:br w:type="page"/>
      </w:r>
    </w:p>
    <w:p>
      <w:pPr>
        <w:pStyle w:val="CaptionedFigure"/>
      </w:pPr>
      <w:r>
        <w:drawing>
          <wp:inline>
            <wp:extent cx="5943600" cy="2971800"/>
            <wp:effectExtent b="0" l="0" r="0" t="0"/>
            <wp:docPr descr="Figure 35.- Slope rockfish releases 1996–2023. Lines and error polygons represent model estimates and points represent Howard et al estimates." title="" id="123" name="Picture"/>
            <a:graphic>
              <a:graphicData uri="http://schemas.openxmlformats.org/drawingml/2006/picture">
                <pic:pic>
                  <pic:nvPicPr>
                    <pic:cNvPr descr="Rep_Figures_files/figure-docx/unnamed-chunk-38-1.png" id="124" name="Picture"/>
                    <pic:cNvPicPr>
                      <a:picLocks noChangeArrowheads="1" noChangeAspect="1"/>
                    </pic:cNvPicPr>
                  </pic:nvPicPr>
                  <pic:blipFill>
                    <a:blip r:embed="rId12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35.</w:t>
      </w:r>
      <w:r>
        <w:t xml:space="preserve">- Slope rockfish releases 1996–2023. Lines and error polygons represent model estimates and points represent Howard et al estimates.</w:t>
      </w:r>
    </w:p>
    <w:p>
      <w:r>
        <w:br w:type="page"/>
      </w:r>
    </w:p>
    <w:p>
      <w:pPr>
        <w:pStyle w:val="CaptionedFigure"/>
      </w:pPr>
      <w:r>
        <w:drawing>
          <wp:inline>
            <wp:extent cx="5943600" cy="5943600"/>
            <wp:effectExtent b="0" l="0" r="0" t="0"/>
            <wp:docPr descr="Figure 36.- Total removals of black rockfish by guided and unguided anlgers in Alaska commercial fishery management units as dervided from harvests and release mortalities. The grey polygon in the backround represents 95% credibility intervals of the total removals." title="" id="126" name="Picture"/>
            <a:graphic>
              <a:graphicData uri="http://schemas.openxmlformats.org/drawingml/2006/picture">
                <pic:pic>
                  <pic:nvPicPr>
                    <pic:cNvPr descr="Rep_Figures_files/figure-docx/unnamed-chunk-40-1.png" id="127" name="Picture"/>
                    <pic:cNvPicPr>
                      <a:picLocks noChangeArrowheads="1" noChangeAspect="1"/>
                    </pic:cNvPicPr>
                  </pic:nvPicPr>
                  <pic:blipFill>
                    <a:blip r:embed="rId12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36.</w:t>
      </w:r>
      <w:r>
        <w:t xml:space="preserve">- Total removals of black rockfish by guided and unguided anlgers in Alaska commercial fishery management units as dervided from harvests and release mortalities. The grey polygon in the backround represents 95% credibility intervals of the total removals.</w:t>
      </w:r>
    </w:p>
    <w:p>
      <w:r>
        <w:br w:type="page"/>
      </w:r>
    </w:p>
    <w:p>
      <w:pPr>
        <w:pStyle w:val="CaptionedFigure"/>
      </w:pPr>
      <w:r>
        <w:drawing>
          <wp:inline>
            <wp:extent cx="5943600" cy="5943600"/>
            <wp:effectExtent b="0" l="0" r="0" t="0"/>
            <wp:docPr descr="Figure 37.- Total removals of yelloweye rockfish by guided and unguided anlgers in Alaska commercial fishery management units as dervided from harvests and release mortalities. The grey polygon in the backround represents 95% credibility intervals of the total removals." title="" id="129" name="Picture"/>
            <a:graphic>
              <a:graphicData uri="http://schemas.openxmlformats.org/drawingml/2006/picture">
                <pic:pic>
                  <pic:nvPicPr>
                    <pic:cNvPr descr="Rep_Figures_files/figure-docx/unnamed-chunk-41-1.png" id="130" name="Picture"/>
                    <pic:cNvPicPr>
                      <a:picLocks noChangeArrowheads="1" noChangeAspect="1"/>
                    </pic:cNvPicPr>
                  </pic:nvPicPr>
                  <pic:blipFill>
                    <a:blip r:embed="rId12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37.</w:t>
      </w:r>
      <w:r>
        <w:t xml:space="preserve">- Total removals of yelloweye rockfish by guided and unguided anlgers in Alaska commercial fishery management units as dervided from harvests and release mortalities. The grey polygon in the backround represents 95% credibility intervals of the total removals.</w:t>
      </w:r>
    </w:p>
    <w:p>
      <w:r>
        <w:br w:type="page"/>
      </w:r>
    </w:p>
    <w:p>
      <w:pPr>
        <w:pStyle w:val="CaptionedFigure"/>
      </w:pPr>
      <w:r>
        <w:drawing>
          <wp:inline>
            <wp:extent cx="5943600" cy="4457700"/>
            <wp:effectExtent b="0" l="0" r="0" t="0"/>
            <wp:docPr descr="Figure 38.- Total removals of non-black pelagic rockfish by guided and unguided anlgers in southeast Alaska commercial fishery management units as dervided from harvests and release mortalities. The grey polygon in the backround represents 95% credibility intervals of the total removals." title="" id="132" name="Picture"/>
            <a:graphic>
              <a:graphicData uri="http://schemas.openxmlformats.org/drawingml/2006/picture">
                <pic:pic>
                  <pic:nvPicPr>
                    <pic:cNvPr descr="Rep_Figures_files/figure-docx/unnamed-chunk-42-1.png" id="133" name="Picture"/>
                    <pic:cNvPicPr>
                      <a:picLocks noChangeArrowheads="1" noChangeAspect="1"/>
                    </pic:cNvPicPr>
                  </pic:nvPicPr>
                  <pic:blipFill>
                    <a:blip r:embed="rId131"/>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38.</w:t>
      </w:r>
      <w:r>
        <w:t xml:space="preserve">- Total removals of non-black pelagic rockfish by guided and unguided anlgers in southeast Alaska commercial fishery management units as dervided from harvests and release mortalities. The grey polygon in the backround represents 95% credibility intervals of the total removals.</w:t>
      </w:r>
    </w:p>
    <w:p>
      <w:r>
        <w:br w:type="page"/>
      </w:r>
    </w:p>
    <w:p>
      <w:pPr>
        <w:pStyle w:val="CaptionedFigure"/>
      </w:pPr>
      <w:r>
        <w:drawing>
          <wp:inline>
            <wp:extent cx="5943600" cy="4457700"/>
            <wp:effectExtent b="0" l="0" r="0" t="0"/>
            <wp:docPr descr="Figure 39.- Total removals of non-yelloweye demersal shelf rockfish by guided and unguided anlgers in southeast Alaska commercial fishery management units as dervided from harvests and release mortalities. The grey polygon in the backround represents 95% credibility intervals of the total removals." title="" id="135" name="Picture"/>
            <a:graphic>
              <a:graphicData uri="http://schemas.openxmlformats.org/drawingml/2006/picture">
                <pic:pic>
                  <pic:nvPicPr>
                    <pic:cNvPr descr="Rep_Figures_files/figure-docx/unnamed-chunk-43-1.png" id="136" name="Picture"/>
                    <pic:cNvPicPr>
                      <a:picLocks noChangeArrowheads="1" noChangeAspect="1"/>
                    </pic:cNvPicPr>
                  </pic:nvPicPr>
                  <pic:blipFill>
                    <a:blip r:embed="rId134"/>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39.</w:t>
      </w:r>
      <w:r>
        <w:t xml:space="preserve">- Total removals of non-yelloweye demersal shelf rockfish by guided and unguided anlgers in southeast Alaska commercial fishery management units as dervided from harvests and release mortalities. The grey polygon in the backround represents 95% credibility intervals of the total removals.</w:t>
      </w:r>
    </w:p>
    <w:p>
      <w:r>
        <w:br w:type="page"/>
      </w:r>
    </w:p>
    <w:p>
      <w:pPr>
        <w:pStyle w:val="CaptionedFigure"/>
      </w:pPr>
      <w:r>
        <w:drawing>
          <wp:inline>
            <wp:extent cx="5943600" cy="4457700"/>
            <wp:effectExtent b="0" l="0" r="0" t="0"/>
            <wp:docPr descr="Figure 40.- Total removals of slope rockfish by guided and unguided anlgers in southeast Alaska commercial fishery management units as dervided from harvests and release mortalities. The grey polygon in the backround represents 95% credibility intervals of the total removals." title="" id="138" name="Picture"/>
            <a:graphic>
              <a:graphicData uri="http://schemas.openxmlformats.org/drawingml/2006/picture">
                <pic:pic>
                  <pic:nvPicPr>
                    <pic:cNvPr descr="Rep_Figures_files/figure-docx/unnamed-chunk-44-1.png" id="139" name="Picture"/>
                    <pic:cNvPicPr>
                      <a:picLocks noChangeArrowheads="1" noChangeAspect="1"/>
                    </pic:cNvPicPr>
                  </pic:nvPicPr>
                  <pic:blipFill>
                    <a:blip r:embed="rId137"/>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40.</w:t>
      </w:r>
      <w:r>
        <w:t xml:space="preserve">- Total removals of slope rockfish by guided and unguided anlgers in southeast Alaska commercial fishery management units as dervided from harvests and release mortalities. The grey polygon in the backround represents 95% credibility intervals of the total removals.</w:t>
      </w:r>
    </w:p>
    <w:p>
      <w:r>
        <w:br w:type="page"/>
      </w:r>
    </w:p>
    <w:bookmarkEnd w:id="140"/>
    <w:sectPr w:rsidR="00272DAC">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D61"/>
    <w:rsid w:val="00117323"/>
    <w:rsid w:val="00272DAC"/>
    <w:rsid w:val="00330D61"/>
    <w:rsid w:val="00336EAC"/>
    <w:rsid w:val="003F7ACB"/>
    <w:rsid w:val="00417D41"/>
    <w:rsid w:val="00514FB7"/>
    <w:rsid w:val="006A785E"/>
    <w:rsid w:val="00724899"/>
    <w:rsid w:val="00795A00"/>
    <w:rsid w:val="007D1086"/>
    <w:rsid w:val="008107A8"/>
    <w:rsid w:val="00902A8C"/>
    <w:rsid w:val="00A54E5B"/>
    <w:rsid w:val="00D94191"/>
    <w:rsid w:val="00F24098"/>
    <w:rsid w:val="00F800E4"/>
    <w:rsid w:val="00FA7A2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heme="minorHAnsi" w:hAnsi="Times New Roman"/>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107A8"/>
  </w:style>
  <w:style w:styleId="Heading1" w:type="paragraph">
    <w:name w:val="heading 1"/>
    <w:basedOn w:val="Normal"/>
    <w:next w:val="Normal"/>
    <w:link w:val="Heading1Char"/>
    <w:uiPriority w:val="9"/>
    <w:qFormat/>
    <w:rsid w:val="00336EAC"/>
    <w:pPr>
      <w:keepNext/>
      <w:keepLines/>
      <w:spacing w:after="80" w:before="360"/>
      <w:jc w:val="center"/>
      <w:outlineLvl w:val="0"/>
    </w:pPr>
    <w:rPr>
      <w:rFonts w:cstheme="majorBidi" w:eastAsiaTheme="majorEastAsia"/>
      <w:color w:themeColor="text1" w:val="000000"/>
      <w:sz w:val="40"/>
      <w:szCs w:val="40"/>
    </w:rPr>
  </w:style>
  <w:style w:styleId="Heading2" w:type="paragraph">
    <w:name w:val="heading 2"/>
    <w:basedOn w:val="Normal"/>
    <w:next w:val="Normal"/>
    <w:link w:val="Heading2Char"/>
    <w:uiPriority w:val="9"/>
    <w:semiHidden/>
    <w:unhideWhenUsed/>
    <w:qFormat/>
    <w:rsid w:val="00336EAC"/>
    <w:pPr>
      <w:keepNext/>
      <w:keepLines/>
      <w:spacing w:after="80" w:before="160"/>
      <w:jc w:val="center"/>
      <w:outlineLvl w:val="1"/>
    </w:pPr>
    <w:rPr>
      <w:rFonts w:cstheme="majorBidi" w:eastAsiaTheme="majorEastAsia"/>
      <w:color w:themeColor="text1" w:val="000000"/>
      <w:sz w:val="32"/>
      <w:szCs w:val="32"/>
    </w:rPr>
  </w:style>
  <w:style w:styleId="Heading3" w:type="paragraph">
    <w:name w:val="heading 3"/>
    <w:basedOn w:val="Normal"/>
    <w:next w:val="Normal"/>
    <w:link w:val="Heading3Char"/>
    <w:uiPriority w:val="9"/>
    <w:unhideWhenUsed/>
    <w:qFormat/>
    <w:rsid w:val="008107A8"/>
    <w:pPr>
      <w:keepNext/>
      <w:keepLines/>
      <w:spacing w:after="80" w:before="160"/>
      <w:jc w:val="center"/>
      <w:outlineLvl w:val="2"/>
    </w:pPr>
    <w:rPr>
      <w:rFonts w:cstheme="majorBidi" w:eastAsiaTheme="majorEastAsia"/>
      <w:color w:themeColor="text1" w:val="000000"/>
      <w:sz w:val="28"/>
      <w:szCs w:val="28"/>
    </w:rPr>
  </w:style>
  <w:style w:styleId="Heading4" w:type="paragraph">
    <w:name w:val="heading 4"/>
    <w:basedOn w:val="Normal"/>
    <w:next w:val="Normal"/>
    <w:link w:val="Heading4Char"/>
    <w:uiPriority w:val="9"/>
    <w:semiHidden/>
    <w:unhideWhenUsed/>
    <w:qFormat/>
    <w:rsid w:val="00330D61"/>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330D61"/>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330D61"/>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330D61"/>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330D61"/>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330D61"/>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336EAC"/>
    <w:rPr>
      <w:rFonts w:cstheme="majorBidi" w:eastAsiaTheme="majorEastAsia"/>
      <w:color w:themeColor="text1" w:val="000000"/>
      <w:sz w:val="40"/>
      <w:szCs w:val="40"/>
    </w:rPr>
  </w:style>
  <w:style w:customStyle="1" w:styleId="Heading2Char" w:type="character">
    <w:name w:val="Heading 2 Char"/>
    <w:basedOn w:val="DefaultParagraphFont"/>
    <w:link w:val="Heading2"/>
    <w:uiPriority w:val="9"/>
    <w:semiHidden/>
    <w:rsid w:val="00336EAC"/>
    <w:rPr>
      <w:rFonts w:cstheme="majorBidi" w:eastAsiaTheme="majorEastAsia"/>
      <w:color w:themeColor="text1" w:val="000000"/>
      <w:sz w:val="32"/>
      <w:szCs w:val="32"/>
    </w:rPr>
  </w:style>
  <w:style w:customStyle="1" w:styleId="Heading3Char" w:type="character">
    <w:name w:val="Heading 3 Char"/>
    <w:basedOn w:val="DefaultParagraphFont"/>
    <w:link w:val="Heading3"/>
    <w:uiPriority w:val="9"/>
    <w:rsid w:val="008107A8"/>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330D61"/>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330D61"/>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330D61"/>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330D61"/>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330D61"/>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330D61"/>
    <w:rPr>
      <w:rFonts w:cstheme="majorBidi" w:eastAsiaTheme="majorEastAsia"/>
      <w:color w:themeColor="text1" w:themeTint="D8" w:val="272727"/>
    </w:rPr>
  </w:style>
  <w:style w:styleId="Title" w:type="paragraph">
    <w:name w:val="Title"/>
    <w:basedOn w:val="Normal"/>
    <w:next w:val="Normal"/>
    <w:link w:val="TitleChar"/>
    <w:uiPriority w:val="10"/>
    <w:qFormat/>
    <w:rsid w:val="00336EAC"/>
    <w:pPr>
      <w:spacing w:after="80" w:line="240" w:lineRule="auto"/>
      <w:contextualSpacing/>
      <w:jc w:val="center"/>
    </w:pPr>
    <w:rPr>
      <w:rFonts w:cstheme="majorBidi" w:eastAsiaTheme="majorEastAsia"/>
      <w:spacing w:val="-10"/>
      <w:kern w:val="28"/>
      <w:sz w:val="44"/>
      <w:szCs w:val="56"/>
    </w:rPr>
  </w:style>
  <w:style w:customStyle="1" w:styleId="TitleChar" w:type="character">
    <w:name w:val="Title Char"/>
    <w:basedOn w:val="DefaultParagraphFont"/>
    <w:link w:val="Title"/>
    <w:uiPriority w:val="10"/>
    <w:rsid w:val="00336EAC"/>
    <w:rPr>
      <w:rFonts w:cstheme="majorBidi" w:eastAsiaTheme="majorEastAsia"/>
      <w:spacing w:val="-10"/>
      <w:kern w:val="28"/>
      <w:sz w:val="44"/>
      <w:szCs w:val="56"/>
    </w:rPr>
  </w:style>
  <w:style w:styleId="Subtitle" w:type="paragraph">
    <w:name w:val="Subtitle"/>
    <w:basedOn w:val="Normal"/>
    <w:next w:val="Normal"/>
    <w:link w:val="SubtitleChar"/>
    <w:uiPriority w:val="11"/>
    <w:qFormat/>
    <w:rsid w:val="00330D61"/>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330D61"/>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330D61"/>
    <w:pPr>
      <w:spacing w:before="160"/>
      <w:jc w:val="center"/>
    </w:pPr>
    <w:rPr>
      <w:i/>
      <w:iCs/>
      <w:color w:themeColor="text1" w:themeTint="BF" w:val="404040"/>
    </w:rPr>
  </w:style>
  <w:style w:customStyle="1" w:styleId="QuoteChar" w:type="character">
    <w:name w:val="Quote Char"/>
    <w:basedOn w:val="DefaultParagraphFont"/>
    <w:link w:val="Quote"/>
    <w:uiPriority w:val="29"/>
    <w:rsid w:val="00330D61"/>
    <w:rPr>
      <w:i/>
      <w:iCs/>
      <w:color w:themeColor="text1" w:themeTint="BF" w:val="404040"/>
    </w:rPr>
  </w:style>
  <w:style w:styleId="ListParagraph" w:type="paragraph">
    <w:name w:val="List Paragraph"/>
    <w:basedOn w:val="Normal"/>
    <w:uiPriority w:val="34"/>
    <w:qFormat/>
    <w:rsid w:val="00330D61"/>
    <w:pPr>
      <w:ind w:left="720"/>
      <w:contextualSpacing/>
    </w:pPr>
  </w:style>
  <w:style w:styleId="IntenseEmphasis" w:type="character">
    <w:name w:val="Intense Emphasis"/>
    <w:basedOn w:val="DefaultParagraphFont"/>
    <w:uiPriority w:val="21"/>
    <w:qFormat/>
    <w:rsid w:val="00330D61"/>
    <w:rPr>
      <w:i/>
      <w:iCs/>
      <w:color w:themeColor="accent1" w:themeShade="BF" w:val="0F4761"/>
    </w:rPr>
  </w:style>
  <w:style w:styleId="IntenseQuote" w:type="paragraph">
    <w:name w:val="Intense Quote"/>
    <w:basedOn w:val="Normal"/>
    <w:next w:val="Normal"/>
    <w:link w:val="IntenseQuoteChar"/>
    <w:uiPriority w:val="30"/>
    <w:qFormat/>
    <w:rsid w:val="00330D6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330D61"/>
    <w:rPr>
      <w:i/>
      <w:iCs/>
      <w:color w:themeColor="accent1" w:themeShade="BF" w:val="0F4761"/>
    </w:rPr>
  </w:style>
  <w:style w:styleId="IntenseReference" w:type="character">
    <w:name w:val="Intense Reference"/>
    <w:basedOn w:val="DefaultParagraphFont"/>
    <w:uiPriority w:val="32"/>
    <w:qFormat/>
    <w:rsid w:val="00330D61"/>
    <w:rPr>
      <w:b/>
      <w:bCs/>
      <w:smallCaps/>
      <w:color w:themeColor="accent1" w:themeShade="BF" w:val="0F4761"/>
      <w:spacing w:val="5"/>
    </w:rPr>
  </w:style>
  <w:style w:styleId="Caption" w:type="paragraph">
    <w:name w:val="caption"/>
    <w:basedOn w:val="Normal"/>
    <w:next w:val="Normal"/>
    <w:uiPriority w:val="35"/>
    <w:unhideWhenUsed/>
    <w:qFormat/>
    <w:rsid w:val="00FA7A2C"/>
    <w:pPr>
      <w:spacing w:after="200" w:line="240" w:lineRule="auto"/>
    </w:pPr>
    <w:rPr>
      <w:iCs/>
      <w:color w:themeColor="text2" w:val="0E2841"/>
      <w:szCs w:val="18"/>
    </w:rPr>
  </w:style>
  <w:style w:customStyle="1" w:styleId="Heading1Landscape" w:type="paragraph">
    <w:name w:val="Heading 1 Landscape"/>
    <w:basedOn w:val="Normal"/>
    <w:link w:val="Heading1LandscapeChar"/>
    <w:qFormat/>
    <w:rsid w:val="00272DAC"/>
    <w:rPr>
      <w:b/>
      <w:sz w:val="28"/>
    </w:rPr>
  </w:style>
  <w:style w:customStyle="1" w:styleId="Heading1LandscapeChar" w:type="character">
    <w:name w:val="Heading 1 Landscape Char"/>
    <w:basedOn w:val="DefaultParagraphFont"/>
    <w:link w:val="Heading1Landscape"/>
    <w:rsid w:val="00272DAC"/>
    <w:rPr>
      <w:b/>
      <w:sz w:val="28"/>
    </w:rPr>
  </w:style>
  <w:style w:customStyle="1" w:styleId="Author" w:type="paragraph">
    <w:name w:val="Author"/>
    <w:basedOn w:val="Normal"/>
    <w:link w:val="AuthorChar"/>
    <w:qFormat/>
    <w:rsid w:val="00902A8C"/>
    <w:pPr>
      <w:jc w:val="center"/>
    </w:pPr>
    <w:rPr>
      <w:sz w:val="28"/>
    </w:rPr>
  </w:style>
  <w:style w:customStyle="1" w:styleId="AuthorChar" w:type="character">
    <w:name w:val="Author Char"/>
    <w:basedOn w:val="DefaultParagraphFont"/>
    <w:link w:val="Author"/>
    <w:rsid w:val="00902A8C"/>
    <w:rPr>
      <w:sz w:val="2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3" Target="media/rId23.jp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4</Words>
  <Characters>23</Characters>
  <Application>Microsoft Office Word</Application>
  <DocSecurity>0</DocSecurity>
  <Lines>1</Lines>
  <Paragraphs>1</Paragraphs>
  <ScaleCrop>false</ScaleCrop>
  <Company>State of Alaska</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2025-11-24T23:59:47Z</dcterms:created>
  <dcterms:modified xsi:type="dcterms:W3CDTF">2025-11-24T23:59:47Z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