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jpg" ContentType="image/jpeg"/>
  <Override PartName="/word/media/rId26.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32.png" ContentType="image/png"/>
  <Override PartName="/word/media/rId3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0" w:name="figures"/>
    <w:p>
      <w:pPr>
        <w:pStyle w:val="Heading1"/>
      </w:pPr>
      <w:r>
        <w:t xml:space="preserve">Figures</w:t>
      </w:r>
    </w:p>
    <w:p>
      <w:pPr>
        <w:pStyle w:val="FirstParagraph"/>
      </w:pPr>
    </w:p>
    <w:p>
      <w:pPr>
        <w:pStyle w:val="CaptionedFigure"/>
      </w:pPr>
      <w:r>
        <w:drawing>
          <wp:inline>
            <wp:extent cx="5943600" cy="3621786"/>
            <wp:effectExtent b="0" l="0" r="0" t="0"/>
            <wp:docPr descr="Figure 1. Cook Inlet rockfish commercial fishery management units: North Gulf District (NG) and Cook Inlet District (CI)." title="" id="21" name="Picture"/>
            <a:graphic>
              <a:graphicData uri="http://schemas.openxmlformats.org/drawingml/2006/picture">
                <pic:pic>
                  <pic:nvPicPr>
                    <pic:cNvPr descr="../figures/CING_CFMUs.png" id="22" name="Picture"/>
                    <pic:cNvPicPr>
                      <a:picLocks noChangeArrowheads="1" noChangeAspect="1"/>
                    </pic:cNvPicPr>
                  </pic:nvPicPr>
                  <pic:blipFill>
                    <a:blip r:embed="rId20"/>
                    <a:stretch>
                      <a:fillRect/>
                    </a:stretch>
                  </pic:blipFill>
                  <pic:spPr bwMode="auto">
                    <a:xfrm>
                      <a:off x="0" y="0"/>
                      <a:ext cx="5943600" cy="3621786"/>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Cook Inlet rockfish commercial fishery management units: North Gulf District (NG) and Cook Inlet District (CI).</w:t>
      </w:r>
    </w:p>
    <w:p>
      <w:r>
        <w:br w:type="page"/>
      </w:r>
    </w:p>
    <w:p>
      <w:pPr>
        <w:pStyle w:val="CaptionedFigure"/>
      </w:pPr>
      <w:r>
        <w:drawing>
          <wp:inline>
            <wp:extent cx="5943600" cy="3657599"/>
            <wp:effectExtent b="0" l="0" r="0" t="0"/>
            <wp:docPr descr="Figure 2. Prince William Sound rockfish commercial fishery management units: Prince William Sound Inside District (PWSI) and Prince William Sound Outside District (PWSO)." title="" id="24" name="Picture"/>
            <a:graphic>
              <a:graphicData uri="http://schemas.openxmlformats.org/drawingml/2006/picture">
                <pic:pic>
                  <pic:nvPicPr>
                    <pic:cNvPr descr="../figures/PWS_CFMUs.jpeg" id="25" name="Picture"/>
                    <pic:cNvPicPr>
                      <a:picLocks noChangeArrowheads="1" noChangeAspect="1"/>
                    </pic:cNvPicPr>
                  </pic:nvPicPr>
                  <pic:blipFill>
                    <a:blip r:embed="rId23"/>
                    <a:stretch>
                      <a:fillRect/>
                    </a:stretch>
                  </pic:blipFill>
                  <pic:spPr bwMode="auto">
                    <a:xfrm>
                      <a:off x="0" y="0"/>
                      <a:ext cx="5943600" cy="3657599"/>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Prince William Sound rockfish commercial fishery management units: Prince William Sound Inside District (PWSI) and Prince William Sound Outside District (PWSO).</w:t>
      </w:r>
    </w:p>
    <w:p>
      <w:r>
        <w:br w:type="page"/>
      </w:r>
    </w:p>
    <w:p>
      <w:pPr>
        <w:pStyle w:val="CaptionedFigure"/>
      </w:pPr>
      <w:r>
        <w:drawing>
          <wp:inline>
            <wp:extent cx="5943600" cy="4596383"/>
            <wp:effectExtent b="0" l="0" r="0" t="0"/>
            <wp:docPr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title="" id="27" name="Picture"/>
            <a:graphic>
              <a:graphicData uri="http://schemas.openxmlformats.org/drawingml/2006/picture">
                <pic:pic>
                  <pic:nvPicPr>
                    <pic:cNvPr descr="../figures/SE_CFMUs.png" id="28" name="Picture"/>
                    <pic:cNvPicPr>
                      <a:picLocks noChangeArrowheads="1" noChangeAspect="1"/>
                    </pic:cNvPicPr>
                  </pic:nvPicPr>
                  <pic:blipFill>
                    <a:blip r:embed="rId26"/>
                    <a:stretch>
                      <a:fillRect/>
                    </a:stretch>
                  </pic:blipFill>
                  <pic:spPr bwMode="auto">
                    <a:xfrm>
                      <a:off x="0" y="0"/>
                      <a:ext cx="5943600" cy="4596383"/>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r>
        <w:br w:type="page"/>
      </w:r>
    </w:p>
    <w:p>
      <w:pPr>
        <w:pStyle w:val="CaptionedFigure"/>
      </w:pPr>
      <w:r>
        <w:drawing>
          <wp:inline>
            <wp:extent cx="5943600" cy="3758757"/>
            <wp:effectExtent b="0" l="0" r="0" t="0"/>
            <wp:docPr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title="" id="30" name="Picture"/>
            <a:graphic>
              <a:graphicData uri="http://schemas.openxmlformats.org/drawingml/2006/picture">
                <pic:pic>
                  <pic:nvPicPr>
                    <pic:cNvPr descr="../figures/KOD_CFMUs.png" id="31" name="Picture"/>
                    <pic:cNvPicPr>
                      <a:picLocks noChangeArrowheads="1" noChangeAspect="1"/>
                    </pic:cNvPicPr>
                  </pic:nvPicPr>
                  <pic:blipFill>
                    <a:blip r:embed="rId29"/>
                    <a:stretch>
                      <a:fillRect/>
                    </a:stretch>
                  </pic:blipFill>
                  <pic:spPr bwMode="auto">
                    <a:xfrm>
                      <a:off x="0" y="0"/>
                      <a:ext cx="5943600" cy="3758757"/>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r>
        <w:br w:type="page"/>
      </w:r>
    </w:p>
    <w:p>
      <w:pPr>
        <w:pStyle w:val="CaptionedFigure"/>
      </w:pPr>
      <w:r>
        <w:drawing>
          <wp:inline>
            <wp:extent cx="5943600" cy="2584173"/>
            <wp:effectExtent b="0" l="0" r="0" t="0"/>
            <wp:docPr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title="" id="33" name="Picture"/>
            <a:graphic>
              <a:graphicData uri="http://schemas.openxmlformats.org/drawingml/2006/picture">
                <pic:pic>
                  <pic:nvPicPr>
                    <pic:cNvPr descr="Rep_Figures_files/figure-docx/unnamed-chunk-5-1.png" id="34" name="Picture"/>
                    <pic:cNvPicPr>
                      <a:picLocks noChangeArrowheads="1" noChangeAspect="1"/>
                    </pic:cNvPicPr>
                  </pic:nvPicPr>
                  <pic:blipFill>
                    <a:blip r:embed="rId32"/>
                    <a:stretch>
                      <a:fillRect/>
                    </a:stretch>
                  </pic:blipFill>
                  <pic:spPr bwMode="auto">
                    <a:xfrm>
                      <a:off x="0" y="0"/>
                      <a:ext cx="5943600" cy="2584173"/>
                    </a:xfrm>
                    <a:prstGeom prst="rect">
                      <a:avLst/>
                    </a:prstGeom>
                    <a:noFill/>
                    <a:ln w="9525">
                      <a:noFill/>
                      <a:headEnd/>
                      <a:tailEnd/>
                    </a:ln>
                  </pic:spPr>
                </pic:pic>
              </a:graphicData>
            </a:graphic>
          </wp:inline>
        </w:drawing>
      </w:r>
    </w:p>
    <w:p>
      <w:pPr>
        <w:pStyle w:val="ImageCaption"/>
      </w:pPr>
      <w:r>
        <w:rPr>
          <w:b/>
          <w:bCs/>
        </w:rPr>
        <w:t xml:space="preserve">Figure 5.</w:t>
      </w:r>
      <w:r>
        <w:t xml:space="preserve">-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r>
        <w:br w:type="page"/>
      </w:r>
    </w:p>
    <w:p>
      <w:pPr>
        <w:pStyle w:val="CaptionedFigure"/>
      </w:pPr>
      <w:r>
        <w:drawing>
          <wp:inline>
            <wp:extent cx="5943600" cy="4134678"/>
            <wp:effectExtent b="0" l="0" r="0" t="0"/>
            <wp:docPr descr="Figure 6.- SWHS harvest (left) and release (right) estimates from guided trips (x-axis) versus repoted harvests from charter logbooks (y-axis)." title="" id="36" name="Picture"/>
            <a:graphic>
              <a:graphicData uri="http://schemas.openxmlformats.org/drawingml/2006/picture">
                <pic:pic>
                  <pic:nvPicPr>
                    <pic:cNvPr descr="Rep_Figures_files/figure-docx/unnamed-chunk-6-1.png" id="37" name="Picture"/>
                    <pic:cNvPicPr>
                      <a:picLocks noChangeArrowheads="1" noChangeAspect="1"/>
                    </pic:cNvPicPr>
                  </pic:nvPicPr>
                  <pic:blipFill>
                    <a:blip r:embed="rId3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6.</w:t>
      </w:r>
      <w:r>
        <w:t xml:space="preserve">- SWHS harvest (left) and release (right) estimates from guided trips (x-axis) versus repoted harvests from charter logbooks (y-axis).</w:t>
      </w:r>
    </w:p>
    <w:p>
      <w:r>
        <w:br w:type="page"/>
      </w:r>
    </w:p>
    <w:p>
      <w:pPr>
        <w:pStyle w:val="SourceCode"/>
      </w:pPr>
      <w:r>
        <w:rPr>
          <w:rStyle w:val="VerbatimChar"/>
        </w:rPr>
        <w:t xml:space="preserve">## [1] "Don't forget to put this figure back in!!!!"</w:t>
      </w:r>
    </w:p>
    <w:p>
      <w:r>
        <w:br w:type="page"/>
      </w:r>
    </w:p>
    <w:p>
      <w:pPr>
        <w:pStyle w:val="CaptionedFigure"/>
      </w:pPr>
      <w:r>
        <w:drawing>
          <wp:inline>
            <wp:extent cx="5943600" cy="3566160"/>
            <wp:effectExtent b="0" l="0" r="0" t="0"/>
            <wp:docPr descr="Figure 8.- Residuals from SWHS harvests showing the difference between model estimates with the bias correction removed and observed values in the SWHS. The CV of the SWHS data is indicated by the grey scale." title="" id="39" name="Picture"/>
            <a:graphic>
              <a:graphicData uri="http://schemas.openxmlformats.org/drawingml/2006/picture">
                <pic:pic>
                  <pic:nvPicPr>
                    <pic:cNvPr descr="Rep_Figures_files/figure-docx/unnamed-chunk-8-1.png" id="40" name="Picture"/>
                    <pic:cNvPicPr>
                      <a:picLocks noChangeArrowheads="1" noChangeAspect="1"/>
                    </pic:cNvPicPr>
                  </pic:nvPicPr>
                  <pic:blipFill>
                    <a:blip r:embed="rId38"/>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bCs/>
        </w:rPr>
        <w:t xml:space="preserve">Figure 8.</w:t>
      </w:r>
      <w:r>
        <w:t xml:space="preserve">- Residuals from SWHS harvests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3566160"/>
            <wp:effectExtent b="0" l="0" r="0" t="0"/>
            <wp:docPr descr="Figure 9.- Residual of SWHS releases showing the difference between model estimates with the bias correction removed and observed values in the SWHS. The CV of the SWHS data is indicated by the grey scale." title="" id="42" name="Picture"/>
            <a:graphic>
              <a:graphicData uri="http://schemas.openxmlformats.org/drawingml/2006/picture">
                <pic:pic>
                  <pic:nvPicPr>
                    <pic:cNvPr descr="Rep_Figures_files/figure-docx/unnamed-chunk-9-1.png" id="43" name="Picture"/>
                    <pic:cNvPicPr>
                      <a:picLocks noChangeArrowheads="1" noChangeAspect="1"/>
                    </pic:cNvPicPr>
                  </pic:nvPicPr>
                  <pic:blipFill>
                    <a:blip r:embed="rId41"/>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bCs/>
        </w:rPr>
        <w:t xml:space="preserve">Figure 9.</w:t>
      </w:r>
      <w:r>
        <w:t xml:space="preserve">- Residual of SWHS releases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3566160"/>
            <wp:effectExtent b="0" l="0" r="0" t="0"/>
            <wp:docPr descr="Figure 10.- Residuals from logbook harvest and releases showing the residual relative to the logbook data." title="" id="45" name="Picture"/>
            <a:graphic>
              <a:graphicData uri="http://schemas.openxmlformats.org/drawingml/2006/picture">
                <pic:pic>
                  <pic:nvPicPr>
                    <pic:cNvPr descr="Rep_Figures_files/figure-docx/unnamed-chunk-10-1.png" id="46"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bCs/>
        </w:rPr>
        <w:t xml:space="preserve">Figure 10.</w:t>
      </w:r>
      <w:r>
        <w:t xml:space="preserve">- Residuals from logbook harvest and releases showing the residual relative to the logbook data.</w:t>
      </w:r>
    </w:p>
    <w:p>
      <w:r>
        <w:br w:type="page"/>
      </w:r>
    </w:p>
    <w:p>
      <w:pPr>
        <w:pStyle w:val="CaptionedFigure"/>
      </w:pPr>
      <w:r>
        <w:drawing>
          <wp:inline>
            <wp:extent cx="5943600" cy="4160520"/>
            <wp:effectExtent b="0" l="0" r="0" t="0"/>
            <wp:docPr descr="Figure 11.- Annual estimates of SWHS bias in harvests and releases for 16 commerical fishing manamgent areas, 1996-2023. Note that a bias &lt; 1 indicates that the SWHS underestimates the true value and bias &gt; 1 indicates the survey overestimates the true value." title="" id="48" name="Picture"/>
            <a:graphic>
              <a:graphicData uri="http://schemas.openxmlformats.org/drawingml/2006/picture">
                <pic:pic>
                  <pic:nvPicPr>
                    <pic:cNvPr descr="Rep_Figures_files/figure-docx/unnamed-chunk-11-1.png" id="49" name="Picture"/>
                    <pic:cNvPicPr>
                      <a:picLocks noChangeArrowheads="1" noChangeAspect="1"/>
                    </pic:cNvPicPr>
                  </pic:nvPicPr>
                  <pic:blipFill>
                    <a:blip r:embed="rId47"/>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rPr>
          <w:b/>
          <w:bCs/>
        </w:rPr>
        <w:t xml:space="preserve">Figure 11.</w:t>
      </w:r>
      <w:r>
        <w:t xml:space="preserve">- Annual estimates of SWHS bias in harvests and releases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2.- Mean SWHS bias for harvests and catches. Note that a bias &lt; 1 indicates that the SWHS underestimates the true value and bias &gt; 1 indicates the survey overestimates the true value." title="" id="51" name="Picture"/>
            <a:graphic>
              <a:graphicData uri="http://schemas.openxmlformats.org/drawingml/2006/picture">
                <pic:pic>
                  <pic:nvPicPr>
                    <pic:cNvPr descr="Rep_Figures_files/figure-docx/unnamed-chunk-12-1.png" id="52" name="Picture"/>
                    <pic:cNvPicPr>
                      <a:picLocks noChangeArrowheads="1" noChangeAspect="1"/>
                    </pic:cNvPicPr>
                  </pic:nvPicPr>
                  <pic:blipFill>
                    <a:blip r:embed="rId5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12.</w:t>
      </w:r>
      <w:r>
        <w:t xml:space="preserve">- Mean SWHS bias for harvests and catches.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3.- Annual proportion of pelagic rockfish catch that was harvested. Note that pre-1990 estimates are used to estimate catch in these years when catch estimates are not available." title="" id="54" name="Picture"/>
            <a:graphic>
              <a:graphicData uri="http://schemas.openxmlformats.org/drawingml/2006/picture">
                <pic:pic>
                  <pic:nvPicPr>
                    <pic:cNvPr descr="Rep_Figures_files/figure-docx/unnamed-chunk-13-1.png" id="55" name="Picture"/>
                    <pic:cNvPicPr>
                      <a:picLocks noChangeArrowheads="1" noChangeAspect="1"/>
                    </pic:cNvPicPr>
                  </pic:nvPicPr>
                  <pic:blipFill>
                    <a:blip r:embed="rId5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13.</w:t>
      </w:r>
      <w:r>
        <w:t xml:space="preserve">- Annual proportion of pelagic rockfish catch that was harvested. Note that pre-1990 estimates are used to estimate catch in these years when catch estimates are not available.</w:t>
      </w:r>
    </w:p>
    <w:p>
      <w:r>
        <w:br w:type="page"/>
      </w:r>
    </w:p>
    <w:p>
      <w:pPr>
        <w:pStyle w:val="CaptionedFigure"/>
      </w:pPr>
      <w:r>
        <w:drawing>
          <wp:inline>
            <wp:extent cx="5943600" cy="4754880"/>
            <wp:effectExtent b="0" l="0" r="0" t="0"/>
            <wp:docPr descr="Figure 14.- Annual proportion of yelloweye rockfish catch that was harvested. Note that pre-1990 estimates are used to estimate catch in these years when catch estimates are not available." title="" id="57" name="Picture"/>
            <a:graphic>
              <a:graphicData uri="http://schemas.openxmlformats.org/drawingml/2006/picture">
                <pic:pic>
                  <pic:nvPicPr>
                    <pic:cNvPr descr="Rep_Figures_files/figure-docx/unnamed-chunk-14-1.png" id="58" name="Picture"/>
                    <pic:cNvPicPr>
                      <a:picLocks noChangeArrowheads="1" noChangeAspect="1"/>
                    </pic:cNvPicPr>
                  </pic:nvPicPr>
                  <pic:blipFill>
                    <a:blip r:embed="rId5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14.</w:t>
      </w:r>
      <w:r>
        <w:t xml:space="preserve">- Annual proportion of yelloweye rockfish catch that was harvested. Note that pre-1990 estimates are used to estimate catch in these years when catch estimates are not available.</w:t>
      </w:r>
    </w:p>
    <w:p>
      <w:r>
        <w:br w:type="page"/>
      </w:r>
    </w:p>
    <w:p>
      <w:pPr>
        <w:pStyle w:val="CaptionedFigure"/>
      </w:pPr>
      <w:r>
        <w:drawing>
          <wp:inline>
            <wp:extent cx="5943600" cy="4754880"/>
            <wp:effectExtent b="0" l="0" r="0" t="0"/>
            <wp:docPr descr="Figure 15.- Annual proportion of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 title="" id="60" name="Picture"/>
            <a:graphic>
              <a:graphicData uri="http://schemas.openxmlformats.org/drawingml/2006/picture">
                <pic:pic>
                  <pic:nvPicPr>
                    <pic:cNvPr descr="Rep_Figures_files/figure-docx/unnamed-chunk-15-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15.</w:t>
      </w:r>
      <w:r>
        <w:t xml:space="preserve">- Annual proportion of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w:t>
      </w:r>
    </w:p>
    <w:p>
      <w:r>
        <w:br w:type="page"/>
      </w:r>
    </w:p>
    <w:p>
      <w:pPr>
        <w:pStyle w:val="CaptionedFigure"/>
      </w:pPr>
      <w:r>
        <w:drawing>
          <wp:inline>
            <wp:extent cx="5943600" cy="4134678"/>
            <wp:effectExtent b="0" l="0" r="0" t="0"/>
            <wp:docPr descr="Figure 16.- Annual estimates of the percent of the sport harvest that was pelagic rockfish for 16 commerical fishing manamgent areas, 1996-2023." title="" id="63" name="Picture"/>
            <a:graphic>
              <a:graphicData uri="http://schemas.openxmlformats.org/drawingml/2006/picture">
                <pic:pic>
                  <pic:nvPicPr>
                    <pic:cNvPr descr="Rep_Figures_files/figure-docx/unnamed-chunk-16-1.png" id="64" name="Picture"/>
                    <pic:cNvPicPr>
                      <a:picLocks noChangeArrowheads="1" noChangeAspect="1"/>
                    </pic:cNvPicPr>
                  </pic:nvPicPr>
                  <pic:blipFill>
                    <a:blip r:embed="rId62"/>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16.</w:t>
      </w:r>
      <w:r>
        <w:t xml:space="preserve">- Annual estimates of the percent of the sport harvest that was pelagic rockfish for 16 commerical fishing manamgent areas, 1996-2023.</w:t>
      </w:r>
    </w:p>
    <w:p>
      <w:r>
        <w:br w:type="page"/>
      </w:r>
    </w:p>
    <w:p>
      <w:pPr>
        <w:pStyle w:val="CaptionedFigure"/>
      </w:pPr>
      <w:r>
        <w:drawing>
          <wp:inline>
            <wp:extent cx="5943600" cy="4134678"/>
            <wp:effectExtent b="0" l="0" r="0" t="0"/>
            <wp:docPr descr="Figure 17.- Annual estimates of the percent of the sport harvest of pelagic rockfish that were black rockfish for 16 commerical fishing manamgent areas, 1996-2023. Kodiak panels include data from a hydroacoustic survey and the proportion of pelagic rockfish that are black in those areas (red) and the adjusted proportions based on obseved harvests for charter (blue) and private (cyan) users." title="" id="66" name="Picture"/>
            <a:graphic>
              <a:graphicData uri="http://schemas.openxmlformats.org/drawingml/2006/picture">
                <pic:pic>
                  <pic:nvPicPr>
                    <pic:cNvPr descr="Rep_Figures_files/figure-docx/unnamed-chunk-17-1.png" id="67" name="Picture"/>
                    <pic:cNvPicPr>
                      <a:picLocks noChangeArrowheads="1" noChangeAspect="1"/>
                    </pic:cNvPicPr>
                  </pic:nvPicPr>
                  <pic:blipFill>
                    <a:blip r:embed="rId6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17.</w:t>
      </w:r>
      <w:r>
        <w:t xml:space="preserve">- Annual estimates of the percent of the sport harvest of pelagic rockfish that were black rockfish for 16 commerical fishing manamgent areas, 1996-2023. Kodiak panels include data from a hydroacoustic survey and the proportion of pelagic rockfish that are black in those areas (red) and the adjusted proportions based on obseved harvests for charter (blue) and private (cyan) users.</w:t>
      </w:r>
    </w:p>
    <w:p>
      <w:r>
        <w:br w:type="page"/>
      </w:r>
    </w:p>
    <w:p>
      <w:pPr>
        <w:pStyle w:val="CaptionedFigure"/>
      </w:pPr>
      <w:r>
        <w:drawing>
          <wp:inline>
            <wp:extent cx="5943600" cy="4134678"/>
            <wp:effectExtent b="0" l="0" r="0" t="0"/>
            <wp:docPr descr="Figure 18.-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title="" id="69" name="Picture"/>
            <a:graphic>
              <a:graphicData uri="http://schemas.openxmlformats.org/drawingml/2006/picture">
                <pic:pic>
                  <pic:nvPicPr>
                    <pic:cNvPr descr="Rep_Figures_files/figure-docx/unnamed-chunk-18-1.png" id="70" name="Picture"/>
                    <pic:cNvPicPr>
                      <a:picLocks noChangeArrowheads="1" noChangeAspect="1"/>
                    </pic:cNvPicPr>
                  </pic:nvPicPr>
                  <pic:blipFill>
                    <a:blip r:embed="rId68"/>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18.</w:t>
      </w:r>
      <w:r>
        <w:t xml:space="preserve">-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19.- Annual estimates of the percent of the sport harvest of non-pelagic rockfish that were DSR rockfish for 6 Southeast commerical fishing manamgent areas, 1996-2023." title="" id="72" name="Picture"/>
            <a:graphic>
              <a:graphicData uri="http://schemas.openxmlformats.org/drawingml/2006/picture">
                <pic:pic>
                  <pic:nvPicPr>
                    <pic:cNvPr descr="Rep_Figures_files/figure-docx/unnamed-chunk-19-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19.</w:t>
      </w:r>
      <w:r>
        <w:t xml:space="preserve">- Annual estimates of the percent of the sport harvest of non-pelagic rockfish that were DSR rockfish for 6 Southeast commerical fishing manamgent areas, 1996-2023.</w:t>
      </w:r>
    </w:p>
    <w:p>
      <w:r>
        <w:br w:type="page"/>
      </w:r>
    </w:p>
    <w:p>
      <w:pPr>
        <w:pStyle w:val="CaptionedFigure"/>
      </w:pPr>
      <w:r>
        <w:drawing>
          <wp:inline>
            <wp:extent cx="5943600" cy="2971800"/>
            <wp:effectExtent b="0" l="0" r="0" t="0"/>
            <wp:docPr descr="Figure 20.-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title="" id="75" name="Picture"/>
            <a:graphic>
              <a:graphicData uri="http://schemas.openxmlformats.org/drawingml/2006/picture">
                <pic:pic>
                  <pic:nvPicPr>
                    <pic:cNvPr descr="Rep_Figures_files/figure-docx/unnamed-chunk-20-1.pn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20.</w:t>
      </w:r>
      <w:r>
        <w:t xml:space="preserve">-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1.- Annual estimates of the percent of the sport non-pelagic, non-yelloweye releases that were slope rockfish for 6 southeast commerical fishing manamgent areas, 1996-2023." title="" id="78" name="Picture"/>
            <a:graphic>
              <a:graphicData uri="http://schemas.openxmlformats.org/drawingml/2006/picture">
                <pic:pic>
                  <pic:nvPicPr>
                    <pic:cNvPr descr="Rep_Figures_files/figure-docx/unnamed-chunk-21-1.png" id="79" name="Picture"/>
                    <pic:cNvPicPr>
                      <a:picLocks noChangeArrowheads="1" noChangeAspect="1"/>
                    </pic:cNvPicPr>
                  </pic:nvPicPr>
                  <pic:blipFill>
                    <a:blip r:embed="rId7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21.</w:t>
      </w:r>
      <w:r>
        <w:t xml:space="preserve">- Annual estimates of the percent of the sport non-pelagic, non-yelloweye releases that were slope rockfish for 6 southeast commerical fishing manamgent areas, 1996-2023.</w:t>
      </w:r>
    </w:p>
    <w:p>
      <w:r>
        <w:br w:type="page"/>
      </w:r>
    </w:p>
    <w:bookmarkEnd w:id="80"/>
    <w:sectPr w:rsidR="00272DA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1" w:latentStyles="1" w:numberingStyles="0" w:stylesInUse="0" w:tableStyles="0" w:top3HeadingStyles="0" w:val="102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117323"/>
    <w:rsid w:val="00272DAC"/>
    <w:rsid w:val="00330D61"/>
    <w:rsid w:val="00336EAC"/>
    <w:rsid w:val="003F7ACB"/>
    <w:rsid w:val="00417D41"/>
    <w:rsid w:val="00514FB7"/>
    <w:rsid w:val="006A785E"/>
    <w:rsid w:val="00724899"/>
    <w:rsid w:val="00795A00"/>
    <w:rsid w:val="007D1086"/>
    <w:rsid w:val="008107A8"/>
    <w:rsid w:val="00902A8C"/>
    <w:rsid w:val="00A54E5B"/>
    <w:rsid w:val="00D94191"/>
    <w:rsid w:val="00F24098"/>
    <w:rsid w:val="00F800E4"/>
    <w:rsid w:val="00FA7A2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cs="Times New Roman" w:eastAsiaTheme="minorHAnsi" w:hAnsi="Times New Roman"/>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107A8"/>
  </w:style>
  <w:style w:styleId="Heading1" w:type="paragraph">
    <w:name w:val="heading 1"/>
    <w:basedOn w:val="Normal"/>
    <w:next w:val="Normal"/>
    <w:link w:val="Heading1Char"/>
    <w:uiPriority w:val="9"/>
    <w:qFormat/>
    <w:rsid w:val="00336EAC"/>
    <w:pPr>
      <w:keepNext/>
      <w:keepLines/>
      <w:spacing w:after="80" w:before="360"/>
      <w:jc w:val="center"/>
      <w:outlineLvl w:val="0"/>
    </w:pPr>
    <w:rPr>
      <w:rFonts w:cstheme="majorBidi" w:eastAsiaTheme="majorEastAsia"/>
      <w:color w:themeColor="text1" w:val="000000"/>
      <w:sz w:val="40"/>
      <w:szCs w:val="40"/>
    </w:rPr>
  </w:style>
  <w:style w:styleId="Heading2" w:type="paragraph">
    <w:name w:val="heading 2"/>
    <w:basedOn w:val="Normal"/>
    <w:next w:val="Normal"/>
    <w:link w:val="Heading2Char"/>
    <w:uiPriority w:val="9"/>
    <w:semiHidden/>
    <w:unhideWhenUsed/>
    <w:qFormat/>
    <w:rsid w:val="00336EAC"/>
    <w:pPr>
      <w:keepNext/>
      <w:keepLines/>
      <w:spacing w:after="80" w:before="160"/>
      <w:jc w:val="center"/>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8107A8"/>
    <w:pPr>
      <w:keepNext/>
      <w:keepLines/>
      <w:spacing w:after="80" w:before="160"/>
      <w:jc w:val="center"/>
      <w:outlineLvl w:val="2"/>
    </w:pPr>
    <w:rPr>
      <w:rFonts w:cstheme="majorBidi" w:eastAsiaTheme="majorEastAsia"/>
      <w:color w:themeColor="text1" w:val="000000"/>
      <w:sz w:val="28"/>
      <w:szCs w:val="28"/>
    </w:rPr>
  </w:style>
  <w:style w:styleId="Heading4" w:type="paragraph">
    <w:name w:val="heading 4"/>
    <w:basedOn w:val="Normal"/>
    <w:next w:val="Normal"/>
    <w:link w:val="Heading4Char"/>
    <w:uiPriority w:val="9"/>
    <w:semiHidden/>
    <w:unhideWhenUsed/>
    <w:qFormat/>
    <w:rsid w:val="00330D61"/>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330D61"/>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330D61"/>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330D61"/>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330D61"/>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330D61"/>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336EAC"/>
    <w:rPr>
      <w:rFonts w:cstheme="majorBidi" w:eastAsiaTheme="majorEastAsia"/>
      <w:color w:themeColor="text1" w:val="000000"/>
      <w:sz w:val="40"/>
      <w:szCs w:val="40"/>
    </w:rPr>
  </w:style>
  <w:style w:customStyle="1" w:styleId="Heading2Char" w:type="character">
    <w:name w:val="Heading 2 Char"/>
    <w:basedOn w:val="DefaultParagraphFont"/>
    <w:link w:val="Heading2"/>
    <w:uiPriority w:val="9"/>
    <w:semiHidden/>
    <w:rsid w:val="00336EAC"/>
    <w:rPr>
      <w:rFonts w:cstheme="majorBidi" w:eastAsiaTheme="majorEastAsia"/>
      <w:color w:themeColor="text1" w:val="000000"/>
      <w:sz w:val="32"/>
      <w:szCs w:val="32"/>
    </w:rPr>
  </w:style>
  <w:style w:customStyle="1" w:styleId="Heading3Char" w:type="character">
    <w:name w:val="Heading 3 Char"/>
    <w:basedOn w:val="DefaultParagraphFont"/>
    <w:link w:val="Heading3"/>
    <w:uiPriority w:val="9"/>
    <w:rsid w:val="008107A8"/>
    <w:rPr>
      <w:rFonts w:cstheme="majorBidi" w:eastAsiaTheme="majorEastAsia"/>
      <w:color w:themeColor="text1" w:val="000000"/>
      <w:sz w:val="28"/>
      <w:szCs w:val="28"/>
    </w:rPr>
  </w:style>
  <w:style w:customStyle="1" w:styleId="Heading4Char" w:type="character">
    <w:name w:val="Heading 4 Char"/>
    <w:basedOn w:val="DefaultParagraphFont"/>
    <w:link w:val="Heading4"/>
    <w:uiPriority w:val="9"/>
    <w:semiHidden/>
    <w:rsid w:val="00330D61"/>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330D61"/>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330D61"/>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330D61"/>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330D61"/>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330D61"/>
    <w:rPr>
      <w:rFonts w:cstheme="majorBidi" w:eastAsiaTheme="majorEastAsia"/>
      <w:color w:themeColor="text1" w:themeTint="D8" w:val="272727"/>
    </w:rPr>
  </w:style>
  <w:style w:styleId="Title" w:type="paragraph">
    <w:name w:val="Title"/>
    <w:basedOn w:val="Normal"/>
    <w:next w:val="Normal"/>
    <w:link w:val="TitleChar"/>
    <w:uiPriority w:val="10"/>
    <w:qFormat/>
    <w:rsid w:val="00336EAC"/>
    <w:pPr>
      <w:spacing w:after="80" w:line="240" w:lineRule="auto"/>
      <w:contextualSpacing/>
      <w:jc w:val="center"/>
    </w:pPr>
    <w:rPr>
      <w:rFonts w:cstheme="majorBidi" w:eastAsiaTheme="majorEastAsia"/>
      <w:spacing w:val="-10"/>
      <w:kern w:val="28"/>
      <w:sz w:val="44"/>
      <w:szCs w:val="56"/>
    </w:rPr>
  </w:style>
  <w:style w:customStyle="1" w:styleId="TitleChar" w:type="character">
    <w:name w:val="Title Char"/>
    <w:basedOn w:val="DefaultParagraphFont"/>
    <w:link w:val="Title"/>
    <w:uiPriority w:val="10"/>
    <w:rsid w:val="00336EAC"/>
    <w:rPr>
      <w:rFonts w:cstheme="majorBidi" w:eastAsiaTheme="majorEastAsia"/>
      <w:spacing w:val="-10"/>
      <w:kern w:val="28"/>
      <w:sz w:val="44"/>
      <w:szCs w:val="56"/>
    </w:rPr>
  </w:style>
  <w:style w:styleId="Subtitle" w:type="paragraph">
    <w:name w:val="Subtitle"/>
    <w:basedOn w:val="Normal"/>
    <w:next w:val="Normal"/>
    <w:link w:val="SubtitleChar"/>
    <w:uiPriority w:val="11"/>
    <w:qFormat/>
    <w:rsid w:val="00330D61"/>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330D61"/>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330D61"/>
    <w:pPr>
      <w:spacing w:before="160"/>
      <w:jc w:val="center"/>
    </w:pPr>
    <w:rPr>
      <w:i/>
      <w:iCs/>
      <w:color w:themeColor="text1" w:themeTint="BF" w:val="404040"/>
    </w:rPr>
  </w:style>
  <w:style w:customStyle="1" w:styleId="QuoteChar" w:type="character">
    <w:name w:val="Quote Char"/>
    <w:basedOn w:val="DefaultParagraphFont"/>
    <w:link w:val="Quote"/>
    <w:uiPriority w:val="29"/>
    <w:rsid w:val="00330D61"/>
    <w:rPr>
      <w:i/>
      <w:iCs/>
      <w:color w:themeColor="text1" w:themeTint="BF" w:val="404040"/>
    </w:rPr>
  </w:style>
  <w:style w:styleId="ListParagraph" w:type="paragraph">
    <w:name w:val="List Paragraph"/>
    <w:basedOn w:val="Normal"/>
    <w:uiPriority w:val="34"/>
    <w:qFormat/>
    <w:rsid w:val="00330D61"/>
    <w:pPr>
      <w:ind w:left="720"/>
      <w:contextualSpacing/>
    </w:pPr>
  </w:style>
  <w:style w:styleId="IntenseEmphasis" w:type="character">
    <w:name w:val="Intense Emphasis"/>
    <w:basedOn w:val="DefaultParagraphFont"/>
    <w:uiPriority w:val="21"/>
    <w:qFormat/>
    <w:rsid w:val="00330D61"/>
    <w:rPr>
      <w:i/>
      <w:iCs/>
      <w:color w:themeColor="accent1" w:themeShade="BF" w:val="0F4761"/>
    </w:rPr>
  </w:style>
  <w:style w:styleId="IntenseQuote" w:type="paragraph">
    <w:name w:val="Intense Quote"/>
    <w:basedOn w:val="Normal"/>
    <w:next w:val="Normal"/>
    <w:link w:val="IntenseQuoteChar"/>
    <w:uiPriority w:val="30"/>
    <w:qFormat/>
    <w:rsid w:val="00330D6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330D61"/>
    <w:rPr>
      <w:i/>
      <w:iCs/>
      <w:color w:themeColor="accent1" w:themeShade="BF" w:val="0F4761"/>
    </w:rPr>
  </w:style>
  <w:style w:styleId="IntenseReference" w:type="character">
    <w:name w:val="Intense Reference"/>
    <w:basedOn w:val="DefaultParagraphFont"/>
    <w:uiPriority w:val="32"/>
    <w:qFormat/>
    <w:rsid w:val="00330D61"/>
    <w:rPr>
      <w:b/>
      <w:bCs/>
      <w:smallCaps/>
      <w:color w:themeColor="accent1" w:themeShade="BF" w:val="0F4761"/>
      <w:spacing w:val="5"/>
    </w:rPr>
  </w:style>
  <w:style w:styleId="Caption" w:type="paragraph">
    <w:name w:val="caption"/>
    <w:basedOn w:val="Normal"/>
    <w:next w:val="Normal"/>
    <w:uiPriority w:val="35"/>
    <w:unhideWhenUsed/>
    <w:qFormat/>
    <w:rsid w:val="00FA7A2C"/>
    <w:pPr>
      <w:spacing w:after="200" w:line="240" w:lineRule="auto"/>
    </w:pPr>
    <w:rPr>
      <w:iCs/>
      <w:color w:themeColor="text2" w:val="0E2841"/>
      <w:szCs w:val="18"/>
    </w:rPr>
  </w:style>
  <w:style w:customStyle="1" w:styleId="Heading1Landscape" w:type="paragraph">
    <w:name w:val="Heading 1 Landscape"/>
    <w:basedOn w:val="Normal"/>
    <w:link w:val="Heading1LandscapeChar"/>
    <w:qFormat/>
    <w:rsid w:val="00272DAC"/>
    <w:rPr>
      <w:b/>
      <w:sz w:val="28"/>
    </w:rPr>
  </w:style>
  <w:style w:customStyle="1" w:styleId="Heading1LandscapeChar" w:type="character">
    <w:name w:val="Heading 1 Landscape Char"/>
    <w:basedOn w:val="DefaultParagraphFont"/>
    <w:link w:val="Heading1Landscape"/>
    <w:rsid w:val="00272DAC"/>
    <w:rPr>
      <w:b/>
      <w:sz w:val="28"/>
    </w:rPr>
  </w:style>
  <w:style w:customStyle="1" w:styleId="Author" w:type="paragraph">
    <w:name w:val="Author"/>
    <w:basedOn w:val="Normal"/>
    <w:link w:val="AuthorChar"/>
    <w:qFormat/>
    <w:rsid w:val="00902A8C"/>
    <w:pPr>
      <w:jc w:val="center"/>
    </w:pPr>
    <w:rPr>
      <w:sz w:val="28"/>
    </w:rPr>
  </w:style>
  <w:style w:customStyle="1" w:styleId="AuthorChar" w:type="character">
    <w:name w:val="Author Char"/>
    <w:basedOn w:val="DefaultParagraphFont"/>
    <w:link w:val="Author"/>
    <w:rsid w:val="00902A8C"/>
    <w:rPr>
      <w:sz w:val="2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Words>
  <Characters>23</Characters>
  <Application>Microsoft Office Word</Application>
  <DocSecurity>0</DocSecurity>
  <Lines>1</Lines>
  <Paragraphs>1</Paragraphs>
  <ScaleCrop>false</ScaleCrop>
  <Company>State of Alaska</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2025-06-04T23:20:24Z</dcterms:created>
  <dcterms:modified xsi:type="dcterms:W3CDTF">2025-06-04T23:20:24Z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