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AgentDebate MITRE Hosting Requirements</w:t>
      </w:r>
    </w:p>
    <w:p>
      <w:r>
        <w:t>Deployment request for internal organizational access</w:t>
        <w:br/>
        <w:t>Prepared October 19, 2026</w:t>
      </w:r>
    </w:p>
    <w:p>
      <w:pPr>
        <w:pStyle w:val="Heading2"/>
      </w:pPr>
      <w:r>
        <w:t>Request and intended audience</w:t>
      </w:r>
    </w:p>
    <w:p>
      <w:r>
        <w:t>Request an approved internal hosting environment for AgentDebate, accessible to eligible MITRE personnel through organizational sign-in. Hosting, identity, networking, and AIP service teams should identify the supported platform, integration requirements, service contacts, and approvals needed for a limited pilot followed by broader MITRE access.</w:t>
      </w:r>
    </w:p>
    <w:p>
      <w:r>
        <w:t>AgentDebate uses LLM-assisted SME debates to develop findings, compare decisions, verify supporting evidence, and record analyst conclusions. Preserve the single-analyst workflow: each person manages their own sessions. Shared preparation libraries should provide reusable SMEs, scenarios, and approved reference material without exposing private debates or notes.</w:t>
      </w:r>
    </w:p>
    <w:p>
      <w:pPr>
        <w:pStyle w:val="Heading2"/>
      </w:pPr>
      <w:r>
        <w:t>Requested decisions</w:t>
      </w:r>
    </w:p>
    <w:p>
      <w:pPr>
        <w:pStyle w:val="ListBullet"/>
      </w:pPr>
      <w:r>
        <w:t>Select an internal server or container platform and an internal DNS name with HTTPS. Confirm whether off-site access requires VPN or another approved access service.</w:t>
      </w:r>
    </w:p>
    <w:p>
      <w:pPr>
        <w:pStyle w:val="ListBullet"/>
      </w:pPr>
      <w:r>
        <w:t>Identify the organizational identity provider, application registration process, eligible access group, and account deactivation behavior.</w:t>
      </w:r>
    </w:p>
    <w:p>
      <w:pPr>
        <w:pStyle w:val="ListBullet"/>
      </w:pPr>
      <w:r>
        <w:t>Confirm AIP service connectivity, an application credential suitable for the intended audience, approved models, and usage quotas.</w:t>
      </w:r>
    </w:p>
    <w:p>
      <w:pPr>
        <w:pStyle w:val="ListBullet"/>
      </w:pPr>
      <w:r>
        <w:t>Assign operational support and confirm permitted data categories, retention, backup, and recovery requirements.</w:t>
      </w:r>
    </w:p>
    <w:p>
      <w:pPr>
        <w:pStyle w:val="Heading2"/>
      </w:pPr>
      <w:r>
        <w:t>Current application and remaining work</w:t>
      </w:r>
    </w:p>
    <w:tbl>
      <w:tblPr>
        <w:tblW w:type="auto" w:w="0"/>
        <w:tblLayout w:type="fixed"/>
        <w:tblLook w:firstColumn="1" w:firstRow="1" w:lastColumn="0" w:lastRow="0" w:noHBand="0" w:noVBand="1" w:val="04A0"/>
      </w:tblPr>
      <w:tblGrid>
        <w:gridCol w:w="4752"/>
        <w:gridCol w:w="5184"/>
      </w:tblGrid>
      <w:tr>
        <w:trPr>
          <w:tblHeader/>
          <w:cantSplit/>
        </w:trPr>
        <w:tc>
          <w:tcPr>
            <w:tcW w:type="dxa" w:w="4752"/>
            <w:shd w:fill="E8EDF2"/>
          </w:tcPr>
          <w:p>
            <w:pPr>
              <w:spacing w:after="100" w:before="80"/>
            </w:pPr>
            <w:r>
              <w:rPr>
                <w:b/>
                <w:sz w:val="20"/>
              </w:rPr>
              <w:t>Available today</w:t>
            </w:r>
          </w:p>
        </w:tc>
        <w:tc>
          <w:tcPr>
            <w:tcW w:type="dxa" w:w="5184"/>
            <w:shd w:fill="E8EDF2"/>
          </w:tcPr>
          <w:p>
            <w:pPr>
              <w:spacing w:after="100" w:before="80"/>
            </w:pPr>
            <w:r>
              <w:rPr>
                <w:b/>
                <w:sz w:val="20"/>
              </w:rPr>
              <w:t>Required before broader access</w:t>
            </w:r>
          </w:p>
        </w:tc>
      </w:tr>
      <w:tr>
        <w:trPr>
          <w:cantSplit/>
        </w:trPr>
        <w:tc>
          <w:tcPr>
            <w:tcW w:type="dxa" w:w="4752"/>
          </w:tcPr>
          <w:p>
            <w:pPr>
              <w:spacing w:after="100" w:before="80"/>
            </w:pPr>
            <w:r>
              <w:rPr>
                <w:sz w:val="20"/>
              </w:rPr>
              <w:t>React interface, Node server, PostgreSQL database, background analysis processing.</w:t>
            </w:r>
          </w:p>
        </w:tc>
        <w:tc>
          <w:tcPr>
            <w:tcW w:type="dxa" w:w="5184"/>
          </w:tcPr>
          <w:p>
            <w:pPr>
              <w:spacing w:after="100" w:before="80"/>
            </w:pPr>
            <w:r>
              <w:rPr>
                <w:sz w:val="20"/>
              </w:rPr>
              <w:t>Deploy and validate a complete production image; configure monitoring and recovery.</w:t>
            </w:r>
          </w:p>
        </w:tc>
      </w:tr>
      <w:tr>
        <w:trPr>
          <w:cantSplit/>
        </w:trPr>
        <w:tc>
          <w:tcPr>
            <w:tcW w:type="dxa" w:w="4752"/>
          </w:tcPr>
          <w:p>
            <w:pPr>
              <w:spacing w:after="100" w:before="80"/>
            </w:pPr>
            <w:r>
              <w:rPr>
                <w:sz w:val="20"/>
              </w:rPr>
              <w:t>Local password accounts and workspace membership checks. Signup creates a personal workspace.</w:t>
            </w:r>
          </w:p>
        </w:tc>
        <w:tc>
          <w:tcPr>
            <w:tcW w:type="dxa" w:w="5184"/>
          </w:tcPr>
          <w:p>
            <w:pPr>
              <w:spacing w:after="100" w:before="80"/>
            </w:pPr>
            <w:r>
              <w:rPr>
                <w:sz w:val="20"/>
              </w:rPr>
              <w:t>Integrate MITRE sign-in; restrict local signup; verify user provisioning and cross-user isolation.</w:t>
            </w:r>
          </w:p>
        </w:tc>
      </w:tr>
      <w:tr>
        <w:trPr>
          <w:cantSplit/>
        </w:trPr>
        <w:tc>
          <w:tcPr>
            <w:tcW w:type="dxa" w:w="4752"/>
          </w:tcPr>
          <w:p>
            <w:pPr>
              <w:spacing w:after="100" w:before="80"/>
            </w:pPr>
            <w:r>
              <w:rPr>
                <w:sz w:val="20"/>
              </w:rPr>
              <w:t>MITRE AIP integration and local SME, scenario, and knowledge libraries.</w:t>
            </w:r>
          </w:p>
        </w:tc>
        <w:tc>
          <w:tcPr>
            <w:tcW w:type="dxa" w:w="5184"/>
          </w:tcPr>
          <w:p>
            <w:pPr>
              <w:spacing w:after="100" w:before="80"/>
            </w:pPr>
            <w:r>
              <w:rPr>
                <w:sz w:val="20"/>
              </w:rPr>
              <w:t>Authorize shared AIP usage and implement controlled shared libraries with private session outputs.</w:t>
            </w:r>
          </w:p>
        </w:tc>
      </w:tr>
    </w:tbl>
    <w:p>
      <w:r>
        <w:t>Existing source repository: https://gitlab.mitre.org/mcorrao/agentdebatemitre. Deploy a reviewed release that includes the current local changes; the repository URL alone does not establish that those changes have been pushed.</w:t>
      </w:r>
    </w:p>
    <w:p>
      <w:r>
        <w:br w:type="page"/>
      </w:r>
    </w:p>
    <w:p>
      <w:pPr>
        <w:pStyle w:val="Heading1"/>
      </w:pPr>
      <w:r>
        <w:t>Hosting and network requirements</w:t>
      </w:r>
    </w:p>
    <w:p>
      <w:r>
        <w:t>Use one approved internal application service and a private PostgreSQL service for the pilot. Keep the database inaccessible to end-user browsers. The initial deployment should use one application and worker instance until concurrent worker behavior and duplicate-job protection have been validated.</w:t>
      </w:r>
    </w:p>
    <w:p>
      <w:pPr>
        <w:pStyle w:val="Heading2"/>
      </w:pPr>
      <w:r>
        <w:t>Request to the hosting team</w:t>
      </w:r>
    </w:p>
    <w:tbl>
      <w:tblPr>
        <w:tblW w:type="auto" w:w="0"/>
        <w:tblLayout w:type="fixed"/>
        <w:tblLook w:firstColumn="1" w:firstRow="1" w:lastColumn="0" w:lastRow="0" w:noHBand="0" w:noVBand="1" w:val="04A0"/>
      </w:tblPr>
      <w:tblGrid>
        <w:gridCol w:w="2016"/>
        <w:gridCol w:w="7920"/>
      </w:tblGrid>
      <w:tr>
        <w:trPr>
          <w:tblHeader/>
          <w:cantSplit/>
        </w:trPr>
        <w:tc>
          <w:tcPr>
            <w:tcW w:type="dxa" w:w="2016"/>
            <w:shd w:fill="E8EDF2"/>
          </w:tcPr>
          <w:p>
            <w:pPr>
              <w:spacing w:after="100" w:before="80"/>
            </w:pPr>
            <w:r>
              <w:rPr>
                <w:b/>
                <w:sz w:val="20"/>
              </w:rPr>
              <w:t>Resource</w:t>
            </w:r>
          </w:p>
        </w:tc>
        <w:tc>
          <w:tcPr>
            <w:tcW w:type="dxa" w:w="7920"/>
            <w:shd w:fill="E8EDF2"/>
          </w:tcPr>
          <w:p>
            <w:pPr>
              <w:spacing w:after="100" w:before="80"/>
            </w:pPr>
            <w:r>
              <w:rPr>
                <w:b/>
                <w:sz w:val="20"/>
              </w:rPr>
              <w:t>Proposed pilot allocation or requirement</w:t>
            </w:r>
          </w:p>
        </w:tc>
      </w:tr>
      <w:tr>
        <w:trPr>
          <w:cantSplit/>
        </w:trPr>
        <w:tc>
          <w:tcPr>
            <w:tcW w:type="dxa" w:w="2016"/>
          </w:tcPr>
          <w:p>
            <w:pPr>
              <w:spacing w:after="100" w:before="80"/>
            </w:pPr>
            <w:r>
              <w:rPr>
                <w:sz w:val="20"/>
              </w:rPr>
              <w:t>Application compute</w:t>
            </w:r>
          </w:p>
        </w:tc>
        <w:tc>
          <w:tcPr>
            <w:tcW w:type="dxa" w:w="7920"/>
          </w:tcPr>
          <w:p>
            <w:pPr>
              <w:spacing w:after="100" w:before="80"/>
            </w:pPr>
            <w:r>
              <w:rPr>
                <w:sz w:val="20"/>
              </w:rPr>
              <w:t>Planning estimate: 4 vCPU and 8 GB RAM; no application GPU. Inference is supplied by AIP. Confirm capacity through a representative pilot load test.</w:t>
            </w:r>
          </w:p>
        </w:tc>
      </w:tr>
      <w:tr>
        <w:trPr>
          <w:cantSplit/>
        </w:trPr>
        <w:tc>
          <w:tcPr>
            <w:tcW w:type="dxa" w:w="2016"/>
          </w:tcPr>
          <w:p>
            <w:pPr>
              <w:spacing w:after="100" w:before="80"/>
            </w:pPr>
            <w:r>
              <w:rPr>
                <w:sz w:val="20"/>
              </w:rPr>
              <w:t>Database</w:t>
            </w:r>
          </w:p>
        </w:tc>
        <w:tc>
          <w:tcPr>
            <w:tcW w:type="dxa" w:w="7920"/>
          </w:tcPr>
          <w:p>
            <w:pPr>
              <w:spacing w:after="100" w:before="80"/>
            </w:pPr>
            <w:r>
              <w:rPr>
                <w:sz w:val="20"/>
              </w:rPr>
              <w:t>PostgreSQL 17 compatible service. Planning estimate: 2 vCPU, 4 GB RAM, and 50 GB encrypted persistent storage with growth alerts. Managed database preferred if available.</w:t>
            </w:r>
          </w:p>
        </w:tc>
      </w:tr>
      <w:tr>
        <w:trPr>
          <w:cantSplit/>
        </w:trPr>
        <w:tc>
          <w:tcPr>
            <w:tcW w:type="dxa" w:w="2016"/>
          </w:tcPr>
          <w:p>
            <w:pPr>
              <w:spacing w:after="100" w:before="80"/>
            </w:pPr>
            <w:r>
              <w:rPr>
                <w:sz w:val="20"/>
              </w:rPr>
              <w:t>Deployment platform</w:t>
            </w:r>
          </w:p>
        </w:tc>
        <w:tc>
          <w:tcPr>
            <w:tcW w:type="dxa" w:w="7920"/>
          </w:tcPr>
          <w:p>
            <w:pPr>
              <w:spacing w:after="100" w:before="80"/>
            </w:pPr>
            <w:r>
              <w:rPr>
                <w:sz w:val="20"/>
              </w:rPr>
              <w:t>Approved Linux container host or equivalent VM. Existing image targets Node 24. Provide an internal image registry and repeatable release process.</w:t>
            </w:r>
          </w:p>
        </w:tc>
      </w:tr>
      <w:tr>
        <w:trPr>
          <w:cantSplit/>
        </w:trPr>
        <w:tc>
          <w:tcPr>
            <w:tcW w:type="dxa" w:w="2016"/>
          </w:tcPr>
          <w:p>
            <w:pPr>
              <w:spacing w:after="100" w:before="80"/>
            </w:pPr>
            <w:r>
              <w:rPr>
                <w:sz w:val="20"/>
              </w:rPr>
              <w:t>Web endpoint</w:t>
            </w:r>
          </w:p>
        </w:tc>
        <w:tc>
          <w:tcPr>
            <w:tcW w:type="dxa" w:w="7920"/>
          </w:tcPr>
          <w:p>
            <w:pPr>
              <w:spacing w:after="100" w:before="80"/>
            </w:pPr>
            <w:r>
              <w:rPr>
                <w:sz w:val="20"/>
              </w:rPr>
              <w:t>Internal DNS name and approved TLS certificate; HTTPS ingress to Node port 3000 through the hosting platform or reverse proxy.</w:t>
            </w:r>
          </w:p>
        </w:tc>
      </w:tr>
      <w:tr>
        <w:trPr>
          <w:cantSplit/>
        </w:trPr>
        <w:tc>
          <w:tcPr>
            <w:tcW w:type="dxa" w:w="2016"/>
          </w:tcPr>
          <w:p>
            <w:pPr>
              <w:spacing w:after="100" w:before="80"/>
            </w:pPr>
            <w:r>
              <w:rPr>
                <w:sz w:val="20"/>
              </w:rPr>
              <w:t>Secrets</w:t>
            </w:r>
          </w:p>
        </w:tc>
        <w:tc>
          <w:tcPr>
            <w:tcW w:type="dxa" w:w="7920"/>
          </w:tcPr>
          <w:p>
            <w:pPr>
              <w:spacing w:after="100" w:before="80"/>
            </w:pPr>
            <w:r>
              <w:rPr>
                <w:sz w:val="20"/>
              </w:rPr>
              <w:t>Approved secret store for database and AIP credentials and identity integration secrets. Establish rotation and service-account responsibility.</w:t>
            </w:r>
          </w:p>
        </w:tc>
      </w:tr>
      <w:tr>
        <w:trPr>
          <w:cantSplit/>
        </w:trPr>
        <w:tc>
          <w:tcPr>
            <w:tcW w:type="dxa" w:w="2016"/>
          </w:tcPr>
          <w:p>
            <w:pPr>
              <w:spacing w:after="100" w:before="80"/>
            </w:pPr>
            <w:r>
              <w:rPr>
                <w:sz w:val="20"/>
              </w:rPr>
              <w:t>Operations</w:t>
            </w:r>
          </w:p>
        </w:tc>
        <w:tc>
          <w:tcPr>
            <w:tcW w:type="dxa" w:w="7920"/>
          </w:tcPr>
          <w:p>
            <w:pPr>
              <w:spacing w:after="100" w:before="80"/>
            </w:pPr>
            <w:r>
              <w:rPr>
                <w:sz w:val="20"/>
              </w:rPr>
              <w:t>Automatic service restart, centralized logs, health checks, backup storage, and a named support contact.</w:t>
            </w:r>
          </w:p>
        </w:tc>
      </w:tr>
    </w:tbl>
    <w:p>
      <w:r>
        <w:t>These allocations are estimates for provisioning discussion, not measured capacity guarantees. Pilot assumptions: 10 to 25 analysts and no more than 2 simultaneous analyses, subject to AIP quotas. Confirm the actual audience and workload before procurement or organization-wide rollout.</w:t>
      </w:r>
    </w:p>
    <w:p>
      <w:pPr>
        <w:pStyle w:val="Heading2"/>
      </w:pPr>
      <w:r>
        <w:t>Required connectivity</w:t>
      </w:r>
    </w:p>
    <w:p>
      <w:pPr>
        <w:pStyle w:val="ListBullet"/>
      </w:pPr>
      <w:r>
        <w:t>Analyst browser to internal HTTPS endpoint on TCP 443. Terminate TLS at an approved ingress service; protect the backend route from direct client access.</w:t>
      </w:r>
    </w:p>
    <w:p>
      <w:pPr>
        <w:pStyle w:val="ListBullet"/>
      </w:pPr>
      <w:r>
        <w:t>Application to PostgreSQL on its configured private port, normally TCP 5432; restrict access to authorized application and operations services.</w:t>
      </w:r>
    </w:p>
    <w:p>
      <w:pPr>
        <w:pStyle w:val="ListBullet"/>
      </w:pPr>
      <w:r>
        <w:t>Application to the configured MITRE AIP endpoint over HTTPS. Confirm routing, DNS, trusted CA certificates, model entitlement, and egress restrictions with the AIP team.</w:t>
      </w:r>
    </w:p>
    <w:p>
      <w:pPr>
        <w:pStyle w:val="ListBullet"/>
      </w:pPr>
      <w:r>
        <w:t>Application and browser to the approved identity service as required by the selected sign-in protocol. Confirm any separate build-time package registry access.</w:t>
      </w:r>
    </w:p>
    <w:p>
      <w:pPr>
        <w:pStyle w:val="Heading2"/>
      </w:pPr>
      <w:r>
        <w:t>Production configuration</w:t>
      </w:r>
    </w:p>
    <w:p>
      <w:r>
        <w:t>Set NODE_ENV=production, APP_ORIGIN to the actual HTTPS origin, and COOKIE_SECURE=true. Inject DATABASE_URL and MITRE_AIP settings securely. The local Compose configuration binds published ports to loopback; adapt it to the approved ingress design rather than exposing the database. Do not carry workstation secrets into source control or the image.</w:t>
      </w:r>
    </w:p>
    <w:p>
      <w:r>
        <w:br w:type="page"/>
      </w:r>
    </w:p>
    <w:p>
      <w:pPr>
        <w:pStyle w:val="Heading1"/>
      </w:pPr>
      <w:r>
        <w:t>Identity data and application readiness</w:t>
      </w:r>
    </w:p>
    <w:p>
      <w:pPr>
        <w:pStyle w:val="Heading2"/>
      </w:pPr>
      <w:r>
        <w:t>Organizational sign in and analyst privacy</w:t>
      </w:r>
    </w:p>
    <w:p>
      <w:r>
        <w:t>Integrate the approved identity protocol, preferably OpenID Connect if supported by MITRE identity services. Match accounts to a stable identity subject rather than a user-entered email domain. Provision a personal workspace on first authorized sign-in and verify access eligibility on subsequent sign-ins. Disable unrestricted local signup in the hosted deployment and define any controlled emergency access separately.</w:t>
      </w:r>
    </w:p>
    <w:p>
      <w:r>
        <w:t>Keep each analyst’s debates, findings, uploaded evidence, and closeout notes private by default. Platform administration must be separate from analyst workspace privileges. Confirm how existing local material is migrated and which account receives it; do not make the current local workspace visible to everyone.</w:t>
      </w:r>
    </w:p>
    <w:p>
      <w:pPr>
        <w:pStyle w:val="Heading2"/>
      </w:pPr>
      <w:r>
        <w:t>Shared preparation libraries</w:t>
      </w:r>
    </w:p>
    <w:p>
      <w:r>
        <w:t>Implement a centrally maintained library of approved SME personas, scenario templates, and reference documents. Analysts should select or copy shared inputs into their private workflow. Only designated maintainers should change shared content. Preserve the version used by each analysis so later library edits do not silently change historical evidence. Shared-library access is proposed work, not a completed feature.</w:t>
      </w:r>
    </w:p>
    <w:p>
      <w:pPr>
        <w:pStyle w:val="Heading2"/>
      </w:pPr>
      <w:r>
        <w:t>Application work required before launch</w:t>
      </w:r>
    </w:p>
    <w:p>
      <w:pPr>
        <w:pStyle w:val="ListBullet"/>
      </w:pPr>
      <w:r>
        <w:t>Complete the production image. The current Dockerfile copies only one src/lib module even though server modules import additional src/lib files. Include the full required runtime dependency set and prove the image starts without a mounted source checkout.</w:t>
      </w:r>
    </w:p>
    <w:p>
      <w:pPr>
        <w:pStyle w:val="ListBullet"/>
      </w:pPr>
      <w:r>
        <w:t>Add identity integration, access-group enforcement, personal workspace provisioning, and hosted signup restrictions. Test API and database isolation using two distinct analyst accounts.</w:t>
      </w:r>
    </w:p>
    <w:p>
      <w:pPr>
        <w:pStyle w:val="ListBullet"/>
      </w:pPr>
      <w:r>
        <w:t>Introduce shared-library permissions and versioning without restoring assignment or ownership controls to the single-analyst interface.</w:t>
      </w:r>
    </w:p>
    <w:p>
      <w:pPr>
        <w:pStyle w:val="ListBullet"/>
      </w:pPr>
      <w:r>
        <w:t>Add per-analyst analysis quotas, a global concurrency limit, and clear queue feedback. Validate AIP throttling, failed-job recovery, cancellation, and restart behavior before enabling additional workers.</w:t>
      </w:r>
    </w:p>
    <w:p>
      <w:pPr>
        <w:pStyle w:val="ListBullet"/>
      </w:pPr>
      <w:r>
        <w:t>Review reverse-proxy behavior, session expiry and logout, origin validation, request size limits, and rate limiting under the chosen hosting topology.</w:t>
      </w:r>
    </w:p>
    <w:p>
      <w:pPr>
        <w:pStyle w:val="Heading2"/>
      </w:pPr>
      <w:r>
        <w:t>Data handling and operational controls</w:t>
      </w:r>
    </w:p>
    <w:p>
      <w:r>
        <w:t>Confirm permitted data categories with the responsible MITRE teams before importing production material. Apply the agreed rules to prompts, uploaded documents, retrieved evidence, model responses, exports, and logs. Establish retention and deletion periods, backup retention, and whether external source retrieval is allowed. Do not log credentials or full prompts by default.</w:t>
      </w:r>
    </w:p>
    <w:p>
      <w:r>
        <w:t>Use an application credential authorized for the pilot and eventual audience, rather than depending on a personal development key. Store it only server-side and rotate it through the approved secret process. Confirm AIP processing and retention terms with the service team; this request does not presume those terms.</w:t>
      </w:r>
    </w:p>
    <w:p>
      <w:r>
        <w:br w:type="page"/>
      </w:r>
    </w:p>
    <w:p>
      <w:pPr>
        <w:pStyle w:val="Heading1"/>
      </w:pPr>
      <w:r>
        <w:t>Pilot rollout and launch acceptance</w:t>
      </w:r>
    </w:p>
    <w:p>
      <w:pPr>
        <w:pStyle w:val="Heading2"/>
      </w:pPr>
      <w:r>
        <w:t>Proposed delivery sequence</w:t>
      </w:r>
    </w:p>
    <w:tbl>
      <w:tblPr>
        <w:tblW w:type="auto" w:w="0"/>
        <w:tblLayout w:type="fixed"/>
        <w:tblLook w:firstColumn="1" w:firstRow="1" w:lastColumn="0" w:lastRow="0" w:noHBand="0" w:noVBand="1" w:val="04A0"/>
      </w:tblPr>
      <w:tblGrid>
        <w:gridCol w:w="1800"/>
        <w:gridCol w:w="8136"/>
      </w:tblGrid>
      <w:tr>
        <w:trPr>
          <w:tblHeader/>
          <w:cantSplit/>
        </w:trPr>
        <w:tc>
          <w:tcPr>
            <w:tcW w:type="dxa" w:w="1800"/>
            <w:shd w:fill="E8EDF2"/>
          </w:tcPr>
          <w:p>
            <w:pPr>
              <w:spacing w:after="100" w:before="80"/>
            </w:pPr>
            <w:r>
              <w:rPr>
                <w:b/>
                <w:sz w:val="20"/>
              </w:rPr>
              <w:t>Stage</w:t>
            </w:r>
          </w:p>
        </w:tc>
        <w:tc>
          <w:tcPr>
            <w:tcW w:type="dxa" w:w="8136"/>
            <w:shd w:fill="E8EDF2"/>
          </w:tcPr>
          <w:p>
            <w:pPr>
              <w:spacing w:after="100" w:before="80"/>
            </w:pPr>
            <w:r>
              <w:rPr>
                <w:b/>
                <w:sz w:val="20"/>
              </w:rPr>
              <w:t>Work and completion evidence</w:t>
            </w:r>
          </w:p>
        </w:tc>
      </w:tr>
      <w:tr>
        <w:trPr>
          <w:cantSplit/>
        </w:trPr>
        <w:tc>
          <w:tcPr>
            <w:tcW w:type="dxa" w:w="1800"/>
          </w:tcPr>
          <w:p>
            <w:pPr>
              <w:spacing w:after="100" w:before="80"/>
            </w:pPr>
            <w:r>
              <w:rPr>
                <w:sz w:val="20"/>
              </w:rPr>
              <w:t>1 Provision</w:t>
            </w:r>
          </w:p>
        </w:tc>
        <w:tc>
          <w:tcPr>
            <w:tcW w:type="dxa" w:w="8136"/>
          </w:tcPr>
          <w:p>
            <w:pPr>
              <w:spacing w:after="100" w:before="80"/>
            </w:pPr>
            <w:r>
              <w:rPr>
                <w:sz w:val="20"/>
              </w:rPr>
              <w:t>Hosting team supplies platform, DNS, TLS, database, secrets, and monitoring. Identity and AIP teams confirm integration details and service access.</w:t>
            </w:r>
          </w:p>
        </w:tc>
      </w:tr>
      <w:tr>
        <w:trPr>
          <w:cantSplit/>
        </w:trPr>
        <w:tc>
          <w:tcPr>
            <w:tcW w:type="dxa" w:w="1800"/>
          </w:tcPr>
          <w:p>
            <w:pPr>
              <w:spacing w:after="100" w:before="80"/>
            </w:pPr>
            <w:r>
              <w:rPr>
                <w:sz w:val="20"/>
              </w:rPr>
              <w:t>2 Prepare release</w:t>
            </w:r>
          </w:p>
        </w:tc>
        <w:tc>
          <w:tcPr>
            <w:tcW w:type="dxa" w:w="8136"/>
          </w:tcPr>
          <w:p>
            <w:pPr>
              <w:spacing w:after="100" w:before="80"/>
            </w:pPr>
            <w:r>
              <w:rPr>
                <w:sz w:val="20"/>
              </w:rPr>
              <w:t>Application maintainer completes required changes, commits and reviews the release, builds an immutable image, and tests migrations and rollback against a restored database copy.</w:t>
            </w:r>
          </w:p>
        </w:tc>
      </w:tr>
      <w:tr>
        <w:trPr>
          <w:cantSplit/>
        </w:trPr>
        <w:tc>
          <w:tcPr>
            <w:tcW w:type="dxa" w:w="1800"/>
          </w:tcPr>
          <w:p>
            <w:pPr>
              <w:spacing w:after="100" w:before="80"/>
            </w:pPr>
            <w:r>
              <w:rPr>
                <w:sz w:val="20"/>
              </w:rPr>
              <w:t>3 Limited pilot</w:t>
            </w:r>
          </w:p>
        </w:tc>
        <w:tc>
          <w:tcPr>
            <w:tcW w:type="dxa" w:w="8136"/>
          </w:tcPr>
          <w:p>
            <w:pPr>
              <w:spacing w:after="100" w:before="80"/>
            </w:pPr>
            <w:r>
              <w:rPr>
                <w:sz w:val="20"/>
              </w:rPr>
              <w:t>Named pilot analysts validate sign-in, data isolation, library selection, debate execution, evidence review, and Session Tracker. Measure queue time, AIP use, errors, and storage growth.</w:t>
            </w:r>
          </w:p>
        </w:tc>
      </w:tr>
      <w:tr>
        <w:trPr>
          <w:cantSplit/>
        </w:trPr>
        <w:tc>
          <w:tcPr>
            <w:tcW w:type="dxa" w:w="1800"/>
          </w:tcPr>
          <w:p>
            <w:pPr>
              <w:spacing w:after="100" w:before="80"/>
            </w:pPr>
            <w:r>
              <w:rPr>
                <w:sz w:val="20"/>
              </w:rPr>
              <w:t>4 Broader access</w:t>
            </w:r>
          </w:p>
        </w:tc>
        <w:tc>
          <w:tcPr>
            <w:tcW w:type="dxa" w:w="8136"/>
          </w:tcPr>
          <w:p>
            <w:pPr>
              <w:spacing w:after="100" w:before="80"/>
            </w:pPr>
            <w:r>
              <w:rPr>
                <w:sz w:val="20"/>
              </w:rPr>
              <w:t>Resolve pilot defects, agree on supported load and service contacts, complete required organizational reviews, and enable the agreed MITRE access group.</w:t>
            </w:r>
          </w:p>
        </w:tc>
      </w:tr>
    </w:tbl>
    <w:p>
      <w:pPr>
        <w:pStyle w:val="Heading2"/>
      </w:pPr>
      <w:r>
        <w:t>Acceptance criteria</w:t>
      </w:r>
    </w:p>
    <w:p>
      <w:pPr>
        <w:pStyle w:val="ListBullet"/>
      </w:pPr>
      <w:r>
        <w:t>An eligible MITRE user can sign in from the supported network path; an ineligible or disabled identity cannot obtain new access. Session expiry and access revocation behave as agreed with the identity team.</w:t>
      </w:r>
    </w:p>
    <w:p>
      <w:pPr>
        <w:pStyle w:val="ListBullet"/>
      </w:pPr>
      <w:r>
        <w:t>Two analysts cannot retrieve or modify each other’s private records through the UI, direct API requests, searches, exports, or analysis job identifiers. Shared inputs remain available according to their permissions.</w:t>
      </w:r>
    </w:p>
    <w:p>
      <w:pPr>
        <w:pStyle w:val="ListBullet"/>
      </w:pPr>
      <w:r>
        <w:t>A complete debate runs against the approved AIP model and shows meaningful progress. Cancellation, restart, and failed-run recovery retain saved work without duplicate model work or duplicate findings.</w:t>
      </w:r>
    </w:p>
    <w:p>
      <w:pPr>
        <w:pStyle w:val="ListBullet"/>
      </w:pPr>
      <w:r>
        <w:t>A representative pilot workload stays within agreed quotas and response targets. Overload queues visibly or is rejected clearly rather than launching unbounded jobs.</w:t>
      </w:r>
    </w:p>
    <w:p>
      <w:pPr>
        <w:pStyle w:val="ListBullet"/>
      </w:pPr>
      <w:r>
        <w:t>A backup restores successfully into an isolated environment. The release rollback procedure is demonstrated, including a compatible database recovery approach.</w:t>
      </w:r>
    </w:p>
    <w:p>
      <w:pPr>
        <w:pStyle w:val="ListBullet"/>
      </w:pPr>
      <w:r>
        <w:t>Monitoring alerts the support contact for failed health checks, persistent job failures, AIP connectivity problems, and storage thresholds. Logs contain enough diagnostic detail without secrets.</w:t>
      </w:r>
    </w:p>
    <w:p>
      <w:pPr>
        <w:pStyle w:val="Heading2"/>
      </w:pPr>
      <w:r>
        <w:t>Information to return with the hosting response</w:t>
      </w:r>
    </w:p>
    <w:p>
      <w:r>
        <w:t>Provide the platform and environment name, proposed URL, service contacts, identity registration details, AIP access process, estimated provisioning date, operating cost if applicable, and any required security or data-handling review steps. Confirm pilot membership, expected concurrency, and whether centrally shared libraries are included in the first release.</w:t>
      </w:r>
    </w:p>
    <w:p>
      <w:r>
        <w:t>Proposed recovery objectives for discussion: recover service within one business day and lose no more than 24 hours of data during the pilot. Hosting and application stakeholders must agree on final objectives, backup schedules, retention periods, support hours, and the path to broader MITRE availability.</w:t>
      </w:r>
    </w:p>
    <w:p>
      <w:pPr>
        <w:pStyle w:val="Heading2"/>
      </w:pPr>
      <w:r>
        <w:t>Implementation references</w:t>
      </w:r>
    </w:p>
    <w:p>
      <w:r>
        <w:t>Repository areas supporting this request: compose.yaml and Dockerfile for deployment; server/index.js for listener, origins, and secure cookies; server/app.js for local accounts and workspace creation; server/analysisService.js for workspace-scoped analysis operations. Organizational hosting, identity, and data requirements must be supplied by the responsible MITRE services.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AgentDebate hosting request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AgentDebate MITRE Hosting Requirements</dc:title>
  <dc:subject>Request for internal hosting and organizational access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