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Services Agreement</w:t>
      </w:r>
    </w:p>
    <w:p>
      <w:r>
        <w:t>1. Governing Law: This agreement shall be governed by, construed, and enforced in accordance with the laws of Kerala, India.</w:t>
      </w:r>
    </w:p>
    <w:p>
      <w:r>
        <w:t>2. Termination for Convenience: Either party may terminate this agreement at any time by giving forty-five (45) days prior written notice to the other party.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Clause Terms</w:t>
            </w:r>
          </w:p>
        </w:tc>
      </w:tr>
      <w:tr>
        <w:tc>
          <w:tcPr>
            <w:tcW w:type="dxa" w:w="4320"/>
          </w:tcPr>
          <w:p>
            <w:r>
              <w:t>3. Liability</w:t>
            </w:r>
          </w:p>
        </w:tc>
        <w:tc>
          <w:tcPr>
            <w:tcW w:type="dxa" w:w="4320"/>
          </w:tcPr>
          <w:p>
            <w:r>
              <w:t>The aggregate maximum liability of either party arising out of or related to this agreement shall not exceed total fees paid.</w:t>
            </w:r>
          </w:p>
        </w:tc>
      </w:tr>
      <w:tr>
        <w:tc>
          <w:tcPr>
            <w:tcW w:type="dxa" w:w="4320"/>
          </w:tcPr>
          <w:p>
            <w:r>
              <w:t>4. Non-Compete</w:t>
            </w:r>
          </w:p>
        </w:tc>
        <w:tc>
          <w:tcPr>
            <w:tcW w:type="dxa" w:w="4320"/>
          </w:tcPr>
          <w:p>
            <w:r>
              <w:t>The service provider agrees not to engage in competing consulting services for a duration of two years following contract completion.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