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0E7490"/>
          <w:sz w:val="22"/>
        </w:rPr>
        <w:t>MDI3006 – ADVANCED DATA ANALYTICS</w:t>
      </w:r>
    </w:p>
    <w:p>
      <w:pPr>
        <w:spacing w:before="40" w:after="80"/>
        <w:jc w:val="center"/>
      </w:pPr>
      <w:r>
        <w:rPr>
          <w:rFonts w:ascii="Arial" w:hAnsi="Arial"/>
          <w:b/>
          <w:color w:val="1E3A8A"/>
          <w:sz w:val="33"/>
        </w:rPr>
        <w:t>Data-Driven Analytics for EV Charging Demand Forecasting and Anomaly Detection in Smart Grids</w:t>
      </w:r>
    </w:p>
    <w:p>
      <w:pPr>
        <w:spacing w:before="0" w:after="80"/>
        <w:jc w:val="center"/>
      </w:pPr>
      <w:r>
        <w:rPr>
          <w:rFonts w:ascii="Arial" w:hAnsi="Arial"/>
          <w:i/>
          <w:color w:val="475569"/>
          <w:sz w:val="20"/>
        </w:rPr>
        <w:t>A Systematic Evidence Review, Empirical Benchmark, and Flexibility Analysis on the Caltech ACN-Data Platform</w:t>
      </w:r>
    </w:p>
    <w:p>
      <w:pPr>
        <w:spacing w:before="0" w:after="80"/>
        <w:jc w:val="center"/>
      </w:pPr>
      <w:r>
        <w:rPr>
          <w:rFonts w:ascii="Arial" w:hAnsi="Arial"/>
          <w:color w:val="64748B"/>
          <w:sz w:val="17"/>
        </w:rPr>
        <w:t>Course Project &amp; Final Case Study Report | Academic Presentation Horizon 2024–2026</w:t>
        <w:br/>
        <w:t>Applied Data Analytics Laboratory | School of Computer Science &amp; Engineering</w:t>
        <w:br/>
        <w:t>Dataset Observation Window: January 2020 – September 2021</w:t>
      </w:r>
    </w:p>
    <w:p>
      <w:pPr>
        <w:spacing w:before="0" w:after="80"/>
        <w:jc w:val="center"/>
      </w:pPr>
      <w:r>
        <w:rPr>
          <w:rFonts w:ascii="Arial" w:hAnsi="Arial"/>
          <w:color w:val="CBD5E1"/>
          <w:sz w:val="14"/>
        </w:rPr>
        <w:t>—————————————————————————————————————————————</w:t>
      </w:r>
    </w:p>
    <w:p>
      <w:pPr>
        <w:spacing w:before="40" w:after="40"/>
        <w:jc w:val="left"/>
      </w:pPr>
      <w:r>
        <w:rPr>
          <w:rFonts w:ascii="Arial" w:hAnsi="Arial"/>
          <w:b/>
          <w:color w:val="1E3A8A"/>
          <w:sz w:val="21"/>
        </w:rPr>
        <w:t>ABSTRACT</w:t>
      </w:r>
    </w:p>
    <w:p>
      <w:pPr>
        <w:spacing w:before="0" w:after="80" w:line="254" w:lineRule="auto"/>
        <w:jc w:val="both"/>
      </w:pPr>
      <w:r>
        <w:rPr>
          <w:rFonts w:ascii="Arial" w:hAnsi="Arial"/>
          <w:b/>
          <w:sz w:val="17"/>
        </w:rPr>
        <w:t xml:space="preserve">Background: </w:t>
      </w:r>
      <w:r>
        <w:rPr>
          <w:rFonts w:ascii="Arial" w:hAnsi="Arial"/>
          <w:sz w:val="17"/>
        </w:rPr>
        <w:t xml:space="preserve">The worldwide electrification of transportation has precipitated localized demand burdens on municipal power distribution networks, driven by uncoordinated charging initiation during commuter morning arrivals. </w:t>
      </w:r>
      <w:r>
        <w:rPr>
          <w:rFonts w:ascii="Arial" w:hAnsi="Arial"/>
          <w:b/>
          <w:sz w:val="17"/>
        </w:rPr>
        <w:t xml:space="preserve">Motivation: </w:t>
      </w:r>
      <w:r>
        <w:rPr>
          <w:rFonts w:ascii="Arial" w:hAnsi="Arial"/>
          <w:sz w:val="17"/>
        </w:rPr>
        <w:t xml:space="preserve">Accurately forecasting aggregate facility power demand and detecting operational anomalies are crucial for mitigating transformer overloading, minimizing commercial demand charges, and scheduling smart-grid resources; however, real-world workplace charging telemetry is characterized by extreme intermittency (79.14% zero-demand hours) and prolonged non-charging stall occupancy. </w:t>
      </w:r>
      <w:r>
        <w:rPr>
          <w:rFonts w:ascii="Arial" w:hAnsi="Arial"/>
          <w:b/>
          <w:sz w:val="17"/>
        </w:rPr>
        <w:t xml:space="preserve">Objective: </w:t>
      </w:r>
      <w:r>
        <w:rPr>
          <w:rFonts w:ascii="Arial" w:hAnsi="Arial"/>
          <w:sz w:val="17"/>
        </w:rPr>
        <w:t xml:space="preserve">This case study conducts an exhaustive systematic literature survey and an empirical experimental benchmark to evaluate predictive machine learning, time-series forecasting, and unsupervised anomaly detection on workplace Level-2 electric vehicle (EV) supply equipment. </w:t>
      </w:r>
      <w:r>
        <w:rPr>
          <w:rFonts w:ascii="Arial" w:hAnsi="Arial"/>
          <w:b/>
          <w:sz w:val="17"/>
        </w:rPr>
        <w:t xml:space="preserve">Scope of Survey: </w:t>
      </w:r>
      <w:r>
        <w:rPr>
          <w:rFonts w:ascii="Arial" w:hAnsi="Arial"/>
          <w:sz w:val="17"/>
        </w:rPr>
        <w:t xml:space="preserve">We examine classical statistical baselines, regularized linear models, tree-based ensembles, deep sequence architectures, and unsupervised density and tree isolation models across workplace and public charging domains. </w:t>
      </w:r>
      <w:r>
        <w:rPr>
          <w:rFonts w:ascii="Arial" w:hAnsi="Arial"/>
          <w:b/>
          <w:sz w:val="17"/>
        </w:rPr>
        <w:t xml:space="preserve">Number of Papers Reviewed: </w:t>
      </w:r>
      <w:r>
        <w:rPr>
          <w:rFonts w:ascii="Arial" w:hAnsi="Arial"/>
          <w:sz w:val="17"/>
        </w:rPr>
        <w:t xml:space="preserve">A curated corpus of 52 peer-reviewed and foundational literature sources (38 journal articles, 14 conference proceedings and standard specifications) published between 2000 and 2026 across IEEE, Elsevier, ACM, Springer, Wiley, and industry standards organizations was systematically reviewed and synthesized for comparative benchmarking. </w:t>
      </w:r>
      <w:r>
        <w:rPr>
          <w:rFonts w:ascii="Arial" w:hAnsi="Arial"/>
          <w:b/>
          <w:sz w:val="17"/>
        </w:rPr>
        <w:t xml:space="preserve">Major Findings: </w:t>
      </w:r>
      <w:r>
        <w:rPr>
          <w:rFonts w:ascii="Arial" w:hAnsi="Arial"/>
          <w:sz w:val="17"/>
        </w:rPr>
        <w:t xml:space="preserve">Empirical evaluation across exactly 5,000 verified Caltech Adaptive Charging Network (ACN-Data) sessions from Site 0002 / Cluster 0039 (14,422 continuous hourly intervals; exactly 53,668.78 kWh conserved) demonstrates that regularized Ridge Regression was selected based strictly on Validation RMSE (13.168 kWh, outperforming the 24h seasonal naive baseline of 17.639 kWh by 25.35% and 168h seasonal naive baseline of 17.156 kWh by 23.25%). On the unseen holdout test set, Ridge yields Test RMSE 15.713 kWh, Test MAE 9.120 kWh, and an explanatory power of R² 0.1158 (sMAPE 152.89%), while XGBoost achieves a slightly lower Test RMSE of 15.633 kWh (Test MAE 9.331 kWh, R² 0.1248). Although Ridge offers parameter parsimony and lower computational latency under severe zero-inflation (79.14% zero hours), neither model achieves high explanatory power, and Ridge is not universally superior across all test metrics. Unsupervised consensus between Isolation Forest and Local Outlier Factor (each flagging 150 sessions at a 3.0% contamination threshold) isolates 33 shared multivariate statistical anomalies (0.66%), with their union spanning 267 sessions (5.34%), each detector identifying 117 unique sessions, and a symmetric difference of 234 sessions (4.68%). Consensus anomalies exhibit 4.87x higher median energy delivery (30.70 kWh vs 6.30 kWh) and 7.23x longer idle stall occupancy (9.26 h vs 1.28 h), explicitly characterized as statistical outliers rather than confirmed physical hardware faults. Crucially, vehicles exhibit a median idle dwell buffer of 1.30 hours after charging finishes (representing 41.7% of plug-in time), indicating theoretical potential for managed charging, though real-world peak reduction, feeder safety, and control efficacy require prospective validation under physical grid constraints. </w:t>
      </w:r>
      <w:r>
        <w:rPr>
          <w:rFonts w:ascii="Arial" w:hAnsi="Arial"/>
          <w:b/>
          <w:sz w:val="17"/>
        </w:rPr>
        <w:t xml:space="preserve">Research Gaps: </w:t>
      </w:r>
      <w:r>
        <w:rPr>
          <w:rFonts w:ascii="Arial" w:hAnsi="Arial"/>
          <w:sz w:val="17"/>
        </w:rPr>
        <w:t xml:space="preserve">Literature reveals critical deficits including lookahead data leakage in non-chronological splits, severe zero-inflation distortion in relative error metrics, neglect of transformer feeder constraints, and a complete absence of ground-truth physical fault labels. </w:t>
      </w:r>
      <w:r>
        <w:rPr>
          <w:rFonts w:ascii="Arial" w:hAnsi="Arial"/>
          <w:b/>
          <w:sz w:val="17"/>
        </w:rPr>
        <w:t xml:space="preserve">Future Directions: </w:t>
      </w:r>
      <w:r>
        <w:rPr>
          <w:rFonts w:ascii="Arial" w:hAnsi="Arial"/>
          <w:sz w:val="17"/>
        </w:rPr>
        <w:t>We outline a strategic roadmap emphasizing physics-informed neural networks, multi-quantile ramp forecasting, privacy-preserving federated charging benchmarks, and dynamic real-time current throttling.</w:t>
      </w:r>
    </w:p>
    <w:p>
      <w:pPr>
        <w:spacing w:before="40" w:after="80"/>
        <w:jc w:val="left"/>
      </w:pPr>
      <w:r>
        <w:rPr>
          <w:rFonts w:ascii="Arial" w:hAnsi="Arial"/>
          <w:b/>
          <w:color w:val="1E3A8A"/>
          <w:sz w:val="17"/>
        </w:rPr>
        <w:t xml:space="preserve">Keywords: </w:t>
      </w:r>
      <w:r>
        <w:rPr>
          <w:rFonts w:ascii="Arial" w:hAnsi="Arial"/>
          <w:color w:val="1E293B"/>
          <w:sz w:val="17"/>
        </w:rPr>
        <w:t>Electric Vehicle Charging, Demand Forecasting, Anomaly Detection, Smart Grids, Time-Series Analysis, Flexibility Buffers, Machine Learning.</w:t>
      </w:r>
    </w:p>
    <w:p>
      <w:r>
        <w:br w:type="page"/>
      </w:r>
    </w:p>
    <w:p>
      <w:pPr>
        <w:keepNext/>
        <w:spacing w:before="280" w:after="160"/>
      </w:pPr>
      <w:r>
        <w:rPr>
          <w:rFonts w:ascii="Arial" w:hAnsi="Arial"/>
          <w:b/>
          <w:color w:val="1E3A8A"/>
          <w:sz w:val="26"/>
        </w:rPr>
        <w:t>TABLE OF CONTENTS</w:t>
      </w:r>
    </w:p>
    <w:tbl>
      <w:tblPr>
        <w:tblW w:type="auto" w:w="0"/>
        <w:jc w:val="center"/>
        <w:tblLook w:firstColumn="1" w:firstRow="1" w:lastColumn="0" w:lastRow="0" w:noHBand="0" w:noVBand="1" w:val="04A0"/>
      </w:tblPr>
      <w:tblGrid>
        <w:gridCol w:w="4680"/>
        <w:gridCol w:w="4680"/>
      </w:tblGrid>
      <w:tr>
        <w:tc>
          <w:tcPr>
            <w:tcW w:type="dxa" w:w="8352"/>
            <w:tcMar>
              <w:top w:w="10" w:type="dxa"/>
              <w:bottom w:w="10" w:type="dxa"/>
              <w:left w:w="20" w:type="dxa"/>
              <w:right w:w="20" w:type="dxa"/>
            </w:tcMar>
          </w:tcPr>
          <w:p>
            <w:pPr>
              <w:spacing w:before="0" w:after="0"/>
              <w:jc w:val="left"/>
            </w:pPr>
            <w:r>
              <w:rPr>
                <w:rFonts w:ascii="Arial" w:hAnsi="Arial"/>
                <w:b/>
                <w:color w:val="1E3A8A"/>
                <w:sz w:val="16"/>
              </w:rPr>
              <w:t>1. Introduction</w:t>
            </w:r>
          </w:p>
        </w:tc>
        <w:tc>
          <w:tcPr>
            <w:tcW w:type="dxa" w:w="1008"/>
            <w:tcMar>
              <w:top w:w="10" w:type="dxa"/>
              <w:bottom w:w="10" w:type="dxa"/>
              <w:left w:w="20" w:type="dxa"/>
              <w:right w:w="20" w:type="dxa"/>
            </w:tcMar>
          </w:tcPr>
          <w:p>
            <w:pPr>
              <w:spacing w:before="0" w:after="0"/>
              <w:jc w:val="right"/>
            </w:pPr>
            <w:r>
              <w:rPr>
                <w:rFonts w:ascii="Arial" w:hAnsi="Arial"/>
                <w:b/>
                <w:color w:val="475569"/>
                <w:sz w:val="16"/>
              </w:rPr>
              <w:t>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1.1. Background</w:t>
            </w:r>
          </w:p>
        </w:tc>
        <w:tc>
          <w:tcPr>
            <w:tcW w:type="dxa" w:w="1008"/>
            <w:tcMar>
              <w:top w:w="4" w:type="dxa"/>
              <w:bottom w:w="4" w:type="dxa"/>
              <w:left w:w="20" w:type="dxa"/>
              <w:right w:w="20" w:type="dxa"/>
            </w:tcMar>
          </w:tcPr>
          <w:p>
            <w:pPr>
              <w:spacing w:before="0" w:after="0"/>
              <w:jc w:val="right"/>
            </w:pPr>
            <w:r>
              <w:rPr>
                <w:rFonts w:ascii="Arial" w:hAnsi="Arial"/>
                <w:color w:val="64748B"/>
                <w:sz w:val="14"/>
              </w:rPr>
              <w:t>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1.2. Motivation: Why is this Problem Important?</w:t>
            </w:r>
          </w:p>
        </w:tc>
        <w:tc>
          <w:tcPr>
            <w:tcW w:type="dxa" w:w="1008"/>
            <w:tcMar>
              <w:top w:w="4" w:type="dxa"/>
              <w:bottom w:w="4" w:type="dxa"/>
              <w:left w:w="20" w:type="dxa"/>
              <w:right w:w="20" w:type="dxa"/>
            </w:tcMar>
          </w:tcPr>
          <w:p>
            <w:pPr>
              <w:spacing w:before="0" w:after="0"/>
              <w:jc w:val="right"/>
            </w:pPr>
            <w:r>
              <w:rPr>
                <w:rFonts w:ascii="Arial" w:hAnsi="Arial"/>
                <w:color w:val="64748B"/>
                <w:sz w:val="14"/>
              </w:rPr>
              <w:t>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1.3. Need for the Survey: Why Another Survey?</w:t>
            </w:r>
          </w:p>
        </w:tc>
        <w:tc>
          <w:tcPr>
            <w:tcW w:type="dxa" w:w="1008"/>
            <w:tcMar>
              <w:top w:w="4" w:type="dxa"/>
              <w:bottom w:w="4" w:type="dxa"/>
              <w:left w:w="20" w:type="dxa"/>
              <w:right w:w="20" w:type="dxa"/>
            </w:tcMar>
          </w:tcPr>
          <w:p>
            <w:pPr>
              <w:spacing w:before="0" w:after="0"/>
              <w:jc w:val="right"/>
            </w:pPr>
            <w:r>
              <w:rPr>
                <w:rFonts w:ascii="Arial" w:hAnsi="Arial"/>
                <w:color w:val="64748B"/>
                <w:sz w:val="14"/>
              </w:rPr>
              <w:t>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1.4. Contributions of this Study</w:t>
            </w:r>
          </w:p>
        </w:tc>
        <w:tc>
          <w:tcPr>
            <w:tcW w:type="dxa" w:w="1008"/>
            <w:tcMar>
              <w:top w:w="4" w:type="dxa"/>
              <w:bottom w:w="4" w:type="dxa"/>
              <w:left w:w="20" w:type="dxa"/>
              <w:right w:w="20" w:type="dxa"/>
            </w:tcMar>
          </w:tcPr>
          <w:p>
            <w:pPr>
              <w:spacing w:before="0" w:after="0"/>
              <w:jc w:val="right"/>
            </w:pPr>
            <w:r>
              <w:rPr>
                <w:rFonts w:ascii="Arial" w:hAnsi="Arial"/>
                <w:color w:val="64748B"/>
                <w:sz w:val="14"/>
              </w:rPr>
              <w:t>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1.5. Organization of the Paper</w:t>
            </w:r>
          </w:p>
        </w:tc>
        <w:tc>
          <w:tcPr>
            <w:tcW w:type="dxa" w:w="1008"/>
            <w:tcMar>
              <w:top w:w="4" w:type="dxa"/>
              <w:bottom w:w="4" w:type="dxa"/>
              <w:left w:w="20" w:type="dxa"/>
              <w:right w:w="20" w:type="dxa"/>
            </w:tcMar>
          </w:tcPr>
          <w:p>
            <w:pPr>
              <w:spacing w:before="0" w:after="0"/>
              <w:jc w:val="right"/>
            </w:pPr>
            <w:r>
              <w:rPr>
                <w:rFonts w:ascii="Arial" w:hAnsi="Arial"/>
                <w:color w:val="64748B"/>
                <w:sz w:val="14"/>
              </w:rPr>
              <w:t>5</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2. Research Methodology</w:t>
            </w:r>
          </w:p>
        </w:tc>
        <w:tc>
          <w:tcPr>
            <w:tcW w:type="dxa" w:w="1008"/>
            <w:tcMar>
              <w:top w:w="10" w:type="dxa"/>
              <w:bottom w:w="10" w:type="dxa"/>
              <w:left w:w="20" w:type="dxa"/>
              <w:right w:w="20" w:type="dxa"/>
            </w:tcMar>
          </w:tcPr>
          <w:p>
            <w:pPr>
              <w:spacing w:before="0" w:after="0"/>
              <w:jc w:val="right"/>
            </w:pPr>
            <w:r>
              <w:rPr>
                <w:rFonts w:ascii="Arial" w:hAnsi="Arial"/>
                <w:b/>
                <w:color w:val="475569"/>
                <w:sz w:val="16"/>
              </w:rPr>
              <w:t>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2.1. Search Databases &amp; Strategy</w:t>
            </w:r>
          </w:p>
        </w:tc>
        <w:tc>
          <w:tcPr>
            <w:tcW w:type="dxa" w:w="1008"/>
            <w:tcMar>
              <w:top w:w="4" w:type="dxa"/>
              <w:bottom w:w="4" w:type="dxa"/>
              <w:left w:w="20" w:type="dxa"/>
              <w:right w:w="20" w:type="dxa"/>
            </w:tcMar>
          </w:tcPr>
          <w:p>
            <w:pPr>
              <w:spacing w:before="0" w:after="0"/>
              <w:jc w:val="right"/>
            </w:pPr>
            <w:r>
              <w:rPr>
                <w:rFonts w:ascii="Arial" w:hAnsi="Arial"/>
                <w:color w:val="64748B"/>
                <w:sz w:val="14"/>
              </w:rPr>
              <w:t>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2.2. Search Keywords &amp; Boolean Query Formulation</w:t>
            </w:r>
          </w:p>
        </w:tc>
        <w:tc>
          <w:tcPr>
            <w:tcW w:type="dxa" w:w="1008"/>
            <w:tcMar>
              <w:top w:w="4" w:type="dxa"/>
              <w:bottom w:w="4" w:type="dxa"/>
              <w:left w:w="20" w:type="dxa"/>
              <w:right w:w="20" w:type="dxa"/>
            </w:tcMar>
          </w:tcPr>
          <w:p>
            <w:pPr>
              <w:spacing w:before="0" w:after="0"/>
              <w:jc w:val="right"/>
            </w:pPr>
            <w:r>
              <w:rPr>
                <w:rFonts w:ascii="Arial" w:hAnsi="Arial"/>
                <w:color w:val="64748B"/>
                <w:sz w:val="14"/>
              </w:rPr>
              <w:t>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2.3. Inclusion and Exclusion Criteria</w:t>
            </w:r>
          </w:p>
        </w:tc>
        <w:tc>
          <w:tcPr>
            <w:tcW w:type="dxa" w:w="1008"/>
            <w:tcMar>
              <w:top w:w="4" w:type="dxa"/>
              <w:bottom w:w="4" w:type="dxa"/>
              <w:left w:w="20" w:type="dxa"/>
              <w:right w:w="20" w:type="dxa"/>
            </w:tcMar>
          </w:tcPr>
          <w:p>
            <w:pPr>
              <w:spacing w:before="0" w:after="0"/>
              <w:jc w:val="right"/>
            </w:pPr>
            <w:r>
              <w:rPr>
                <w:rFonts w:ascii="Arial" w:hAnsi="Arial"/>
                <w:color w:val="64748B"/>
                <w:sz w:val="14"/>
              </w:rPr>
              <w:t>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2.4. Study Selection Process &amp; Literature Curation Framework</w:t>
            </w:r>
          </w:p>
        </w:tc>
        <w:tc>
          <w:tcPr>
            <w:tcW w:type="dxa" w:w="1008"/>
            <w:tcMar>
              <w:top w:w="4" w:type="dxa"/>
              <w:bottom w:w="4" w:type="dxa"/>
              <w:left w:w="20" w:type="dxa"/>
              <w:right w:w="20" w:type="dxa"/>
            </w:tcMar>
          </w:tcPr>
          <w:p>
            <w:pPr>
              <w:spacing w:before="0" w:after="0"/>
              <w:jc w:val="right"/>
            </w:pPr>
            <w:r>
              <w:rPr>
                <w:rFonts w:ascii="Arial" w:hAnsi="Arial"/>
                <w:color w:val="64748B"/>
                <w:sz w:val="14"/>
              </w:rPr>
              <w:t>7</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3. Background &amp; System Architecture</w:t>
            </w:r>
          </w:p>
        </w:tc>
        <w:tc>
          <w:tcPr>
            <w:tcW w:type="dxa" w:w="1008"/>
            <w:tcMar>
              <w:top w:w="10" w:type="dxa"/>
              <w:bottom w:w="10" w:type="dxa"/>
              <w:left w:w="20" w:type="dxa"/>
              <w:right w:w="20" w:type="dxa"/>
            </w:tcMar>
          </w:tcPr>
          <w:p>
            <w:pPr>
              <w:spacing w:before="0" w:after="0"/>
              <w:jc w:val="right"/>
            </w:pPr>
            <w:r>
              <w:rPr>
                <w:rFonts w:ascii="Arial" w:hAnsi="Arial"/>
                <w:b/>
                <w:color w:val="475569"/>
                <w:sz w:val="16"/>
              </w:rPr>
              <w:t>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3.1. Fundamental Concepts in Smart Grid EV Charging</w:t>
            </w:r>
          </w:p>
        </w:tc>
        <w:tc>
          <w:tcPr>
            <w:tcW w:type="dxa" w:w="1008"/>
            <w:tcMar>
              <w:top w:w="4" w:type="dxa"/>
              <w:bottom w:w="4" w:type="dxa"/>
              <w:left w:w="20" w:type="dxa"/>
              <w:right w:w="20" w:type="dxa"/>
            </w:tcMar>
          </w:tcPr>
          <w:p>
            <w:pPr>
              <w:spacing w:before="0" w:after="0"/>
              <w:jc w:val="right"/>
            </w:pPr>
            <w:r>
              <w:rPr>
                <w:rFonts w:ascii="Arial" w:hAnsi="Arial"/>
                <w:color w:val="64748B"/>
                <w:sz w:val="14"/>
              </w:rPr>
              <w:t>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3.2. Terminologies and Operational Formulations</w:t>
            </w:r>
          </w:p>
        </w:tc>
        <w:tc>
          <w:tcPr>
            <w:tcW w:type="dxa" w:w="1008"/>
            <w:tcMar>
              <w:top w:w="4" w:type="dxa"/>
              <w:bottom w:w="4" w:type="dxa"/>
              <w:left w:w="20" w:type="dxa"/>
              <w:right w:w="20" w:type="dxa"/>
            </w:tcMar>
          </w:tcPr>
          <w:p>
            <w:pPr>
              <w:spacing w:before="0" w:after="0"/>
              <w:jc w:val="right"/>
            </w:pPr>
            <w:r>
              <w:rPr>
                <w:rFonts w:ascii="Arial" w:hAnsi="Arial"/>
                <w:color w:val="64748B"/>
                <w:sz w:val="14"/>
              </w:rPr>
              <w:t>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3.3. Analytical Taxonomy</w:t>
            </w:r>
          </w:p>
        </w:tc>
        <w:tc>
          <w:tcPr>
            <w:tcW w:type="dxa" w:w="1008"/>
            <w:tcMar>
              <w:top w:w="4" w:type="dxa"/>
              <w:bottom w:w="4" w:type="dxa"/>
              <w:left w:w="20" w:type="dxa"/>
              <w:right w:w="20" w:type="dxa"/>
            </w:tcMar>
          </w:tcPr>
          <w:p>
            <w:pPr>
              <w:spacing w:before="0" w:after="0"/>
              <w:jc w:val="right"/>
            </w:pPr>
            <w:r>
              <w:rPr>
                <w:rFonts w:ascii="Arial" w:hAnsi="Arial"/>
                <w:color w:val="64748B"/>
                <w:sz w:val="14"/>
              </w:rPr>
              <w:t>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3.4. System Architecture &amp; End-to-End Methodology</w:t>
            </w:r>
          </w:p>
        </w:tc>
        <w:tc>
          <w:tcPr>
            <w:tcW w:type="dxa" w:w="1008"/>
            <w:tcMar>
              <w:top w:w="4" w:type="dxa"/>
              <w:bottom w:w="4" w:type="dxa"/>
              <w:left w:w="20" w:type="dxa"/>
              <w:right w:w="20" w:type="dxa"/>
            </w:tcMar>
          </w:tcPr>
          <w:p>
            <w:pPr>
              <w:spacing w:before="0" w:after="0"/>
              <w:jc w:val="right"/>
            </w:pPr>
            <w:r>
              <w:rPr>
                <w:rFonts w:ascii="Arial" w:hAnsi="Arial"/>
                <w:color w:val="64748B"/>
                <w:sz w:val="14"/>
              </w:rPr>
              <w:t>9</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3.5. Experimental Workflow &amp; Boundary Safeguards</w:t>
            </w:r>
          </w:p>
        </w:tc>
        <w:tc>
          <w:tcPr>
            <w:tcW w:type="dxa" w:w="1008"/>
            <w:tcMar>
              <w:top w:w="4" w:type="dxa"/>
              <w:bottom w:w="4" w:type="dxa"/>
              <w:left w:w="20" w:type="dxa"/>
              <w:right w:w="20" w:type="dxa"/>
            </w:tcMar>
          </w:tcPr>
          <w:p>
            <w:pPr>
              <w:spacing w:before="0" w:after="0"/>
              <w:jc w:val="right"/>
            </w:pPr>
            <w:r>
              <w:rPr>
                <w:rFonts w:ascii="Arial" w:hAnsi="Arial"/>
                <w:color w:val="64748B"/>
                <w:sz w:val="14"/>
              </w:rPr>
              <w:t>10</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4. Literature Review</w:t>
            </w:r>
          </w:p>
        </w:tc>
        <w:tc>
          <w:tcPr>
            <w:tcW w:type="dxa" w:w="1008"/>
            <w:tcMar>
              <w:top w:w="10" w:type="dxa"/>
              <w:bottom w:w="10" w:type="dxa"/>
              <w:left w:w="20" w:type="dxa"/>
              <w:right w:w="20" w:type="dxa"/>
            </w:tcMar>
          </w:tcPr>
          <w:p>
            <w:pPr>
              <w:spacing w:before="0" w:after="0"/>
              <w:jc w:val="right"/>
            </w:pPr>
            <w:r>
              <w:rPr>
                <w:rFonts w:ascii="Arial" w:hAnsi="Arial"/>
                <w:b/>
                <w:color w:val="475569"/>
                <w:sz w:val="16"/>
              </w:rPr>
              <w:t>10</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4.1. Classical Time-Series &amp; Statistical Persistence Methods</w:t>
            </w:r>
          </w:p>
        </w:tc>
        <w:tc>
          <w:tcPr>
            <w:tcW w:type="dxa" w:w="1008"/>
            <w:tcMar>
              <w:top w:w="4" w:type="dxa"/>
              <w:bottom w:w="4" w:type="dxa"/>
              <w:left w:w="20" w:type="dxa"/>
              <w:right w:w="20" w:type="dxa"/>
            </w:tcMar>
          </w:tcPr>
          <w:p>
            <w:pPr>
              <w:spacing w:before="0" w:after="0"/>
              <w:jc w:val="right"/>
            </w:pPr>
            <w:r>
              <w:rPr>
                <w:rFonts w:ascii="Arial" w:hAnsi="Arial"/>
                <w:color w:val="64748B"/>
                <w:sz w:val="14"/>
              </w:rPr>
              <w:t>10</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4.2. Machine Learning Regression &amp; Regularized Formulations</w:t>
            </w:r>
          </w:p>
        </w:tc>
        <w:tc>
          <w:tcPr>
            <w:tcW w:type="dxa" w:w="1008"/>
            <w:tcMar>
              <w:top w:w="4" w:type="dxa"/>
              <w:bottom w:w="4" w:type="dxa"/>
              <w:left w:w="20" w:type="dxa"/>
              <w:right w:w="20" w:type="dxa"/>
            </w:tcMar>
          </w:tcPr>
          <w:p>
            <w:pPr>
              <w:spacing w:before="0" w:after="0"/>
              <w:jc w:val="right"/>
            </w:pPr>
            <w:r>
              <w:rPr>
                <w:rFonts w:ascii="Arial" w:hAnsi="Arial"/>
                <w:color w:val="64748B"/>
                <w:sz w:val="14"/>
              </w:rPr>
              <w:t>11</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4.3. Tree-Based Ensemble &amp; Gradient Boosting Methods</w:t>
            </w:r>
          </w:p>
        </w:tc>
        <w:tc>
          <w:tcPr>
            <w:tcW w:type="dxa" w:w="1008"/>
            <w:tcMar>
              <w:top w:w="4" w:type="dxa"/>
              <w:bottom w:w="4" w:type="dxa"/>
              <w:left w:w="20" w:type="dxa"/>
              <w:right w:w="20" w:type="dxa"/>
            </w:tcMar>
          </w:tcPr>
          <w:p>
            <w:pPr>
              <w:spacing w:before="0" w:after="0"/>
              <w:jc w:val="right"/>
            </w:pPr>
            <w:r>
              <w:rPr>
                <w:rFonts w:ascii="Arial" w:hAnsi="Arial"/>
                <w:color w:val="64748B"/>
                <w:sz w:val="14"/>
              </w:rPr>
              <w:t>11</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4.4. Deep Learning &amp; Recurrent Sequence Architectures</w:t>
            </w:r>
          </w:p>
        </w:tc>
        <w:tc>
          <w:tcPr>
            <w:tcW w:type="dxa" w:w="1008"/>
            <w:tcMar>
              <w:top w:w="4" w:type="dxa"/>
              <w:bottom w:w="4" w:type="dxa"/>
              <w:left w:w="20" w:type="dxa"/>
              <w:right w:w="20" w:type="dxa"/>
            </w:tcMar>
          </w:tcPr>
          <w:p>
            <w:pPr>
              <w:spacing w:before="0" w:after="0"/>
              <w:jc w:val="right"/>
            </w:pPr>
            <w:r>
              <w:rPr>
                <w:rFonts w:ascii="Arial" w:hAnsi="Arial"/>
                <w:color w:val="64748B"/>
                <w:sz w:val="14"/>
              </w:rPr>
              <w:t>11</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4.5. Attention-Based &amp; Transformer Architectures</w:t>
            </w:r>
          </w:p>
        </w:tc>
        <w:tc>
          <w:tcPr>
            <w:tcW w:type="dxa" w:w="1008"/>
            <w:tcMar>
              <w:top w:w="4" w:type="dxa"/>
              <w:bottom w:w="4" w:type="dxa"/>
              <w:left w:w="20" w:type="dxa"/>
              <w:right w:w="20" w:type="dxa"/>
            </w:tcMar>
          </w:tcPr>
          <w:p>
            <w:pPr>
              <w:spacing w:before="0" w:after="0"/>
              <w:jc w:val="right"/>
            </w:pPr>
            <w:r>
              <w:rPr>
                <w:rFonts w:ascii="Arial" w:hAnsi="Arial"/>
                <w:color w:val="64748B"/>
                <w:sz w:val="14"/>
              </w:rPr>
              <w:t>12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4.6. Unsupervised Anomaly Detection in EV Infrastructure</w:t>
            </w:r>
          </w:p>
        </w:tc>
        <w:tc>
          <w:tcPr>
            <w:tcW w:type="dxa" w:w="1008"/>
            <w:tcMar>
              <w:top w:w="4" w:type="dxa"/>
              <w:bottom w:w="4" w:type="dxa"/>
              <w:left w:w="20" w:type="dxa"/>
              <w:right w:w="20" w:type="dxa"/>
            </w:tcMar>
          </w:tcPr>
          <w:p>
            <w:pPr>
              <w:spacing w:before="0" w:after="0"/>
              <w:jc w:val="right"/>
            </w:pPr>
            <w:r>
              <w:rPr>
                <w:rFonts w:ascii="Arial" w:hAnsi="Arial"/>
                <w:color w:val="64748B"/>
                <w:sz w:val="14"/>
              </w:rPr>
              <w:t>12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4.7. Cross-Category Comparative Synthesis</w:t>
            </w:r>
          </w:p>
        </w:tc>
        <w:tc>
          <w:tcPr>
            <w:tcW w:type="dxa" w:w="1008"/>
            <w:tcMar>
              <w:top w:w="4" w:type="dxa"/>
              <w:bottom w:w="4" w:type="dxa"/>
              <w:left w:w="20" w:type="dxa"/>
              <w:right w:w="20" w:type="dxa"/>
            </w:tcMar>
          </w:tcPr>
          <w:p>
            <w:pPr>
              <w:spacing w:before="0" w:after="0"/>
              <w:jc w:val="right"/>
            </w:pPr>
            <w:r>
              <w:rPr>
                <w:rFonts w:ascii="Arial" w:hAnsi="Arial"/>
                <w:color w:val="64748B"/>
                <w:sz w:val="14"/>
              </w:rPr>
              <w:t>12</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5. Comparative Analysis (8 Mandatory Tables)</w:t>
            </w:r>
          </w:p>
        </w:tc>
        <w:tc>
          <w:tcPr>
            <w:tcW w:type="dxa" w:w="1008"/>
            <w:tcMar>
              <w:top w:w="10" w:type="dxa"/>
              <w:bottom w:w="10" w:type="dxa"/>
              <w:left w:w="20" w:type="dxa"/>
              <w:right w:w="20" w:type="dxa"/>
            </w:tcMar>
          </w:tcPr>
          <w:p>
            <w:pPr>
              <w:spacing w:before="0" w:after="0"/>
              <w:jc w:val="right"/>
            </w:pPr>
            <w:r>
              <w:rPr>
                <w:rFonts w:ascii="Arial" w:hAnsi="Arial"/>
                <w:b/>
                <w:color w:val="475569"/>
                <w:sz w:val="16"/>
              </w:rPr>
              <w:t>12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1: Summary of Reviewed Literature</w:t>
            </w:r>
          </w:p>
        </w:tc>
        <w:tc>
          <w:tcPr>
            <w:tcW w:type="dxa" w:w="1008"/>
            <w:tcMar>
              <w:top w:w="4" w:type="dxa"/>
              <w:bottom w:w="4" w:type="dxa"/>
              <w:left w:w="20" w:type="dxa"/>
              <w:right w:w="20" w:type="dxa"/>
            </w:tcMar>
          </w:tcPr>
          <w:p>
            <w:pPr>
              <w:spacing w:before="0" w:after="0"/>
              <w:jc w:val="right"/>
            </w:pPr>
            <w:r>
              <w:rPr>
                <w:rFonts w:ascii="Arial" w:hAnsi="Arial"/>
                <w:color w:val="64748B"/>
                <w:sz w:val="14"/>
              </w:rPr>
              <w:t>12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2: Algorithm Comparison across Paradigms</w:t>
            </w:r>
          </w:p>
        </w:tc>
        <w:tc>
          <w:tcPr>
            <w:tcW w:type="dxa" w:w="1008"/>
            <w:tcMar>
              <w:top w:w="4" w:type="dxa"/>
              <w:bottom w:w="4" w:type="dxa"/>
              <w:left w:w="20" w:type="dxa"/>
              <w:right w:w="20" w:type="dxa"/>
            </w:tcMar>
          </w:tcPr>
          <w:p>
            <w:pPr>
              <w:spacing w:before="0" w:after="0"/>
              <w:jc w:val="right"/>
            </w:pPr>
            <w:r>
              <w:rPr>
                <w:rFonts w:ascii="Arial" w:hAnsi="Arial"/>
                <w:color w:val="64748B"/>
                <w:sz w:val="14"/>
              </w:rPr>
              <w:t>14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3: Dataset Comparison across Benchmarks</w:t>
            </w:r>
          </w:p>
        </w:tc>
        <w:tc>
          <w:tcPr>
            <w:tcW w:type="dxa" w:w="1008"/>
            <w:tcMar>
              <w:top w:w="4" w:type="dxa"/>
              <w:bottom w:w="4" w:type="dxa"/>
              <w:left w:w="20" w:type="dxa"/>
              <w:right w:w="20" w:type="dxa"/>
            </w:tcMar>
          </w:tcPr>
          <w:p>
            <w:pPr>
              <w:spacing w:before="0" w:after="0"/>
              <w:jc w:val="right"/>
            </w:pPr>
            <w:r>
              <w:rPr>
                <w:rFonts w:ascii="Arial" w:hAnsi="Arial"/>
                <w:color w:val="64748B"/>
                <w:sz w:val="14"/>
              </w:rPr>
              <w:t>15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4: Performance Comparison on ACN-Data</w:t>
            </w:r>
          </w:p>
        </w:tc>
        <w:tc>
          <w:tcPr>
            <w:tcW w:type="dxa" w:w="1008"/>
            <w:tcMar>
              <w:top w:w="4" w:type="dxa"/>
              <w:bottom w:w="4" w:type="dxa"/>
              <w:left w:w="20" w:type="dxa"/>
              <w:right w:w="20" w:type="dxa"/>
            </w:tcMar>
          </w:tcPr>
          <w:p>
            <w:pPr>
              <w:spacing w:before="0" w:after="0"/>
              <w:jc w:val="right"/>
            </w:pPr>
            <w:r>
              <w:rPr>
                <w:rFonts w:ascii="Arial" w:hAnsi="Arial"/>
                <w:color w:val="64748B"/>
                <w:sz w:val="14"/>
              </w:rPr>
              <w:t>15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5: Advantages and Limitations of Modeling Techniques</w:t>
            </w:r>
          </w:p>
        </w:tc>
        <w:tc>
          <w:tcPr>
            <w:tcW w:type="dxa" w:w="1008"/>
            <w:tcMar>
              <w:top w:w="4" w:type="dxa"/>
              <w:bottom w:w="4" w:type="dxa"/>
              <w:left w:w="20" w:type="dxa"/>
              <w:right w:w="20" w:type="dxa"/>
            </w:tcMar>
          </w:tcPr>
          <w:p>
            <w:pPr>
              <w:spacing w:before="0" w:after="0"/>
              <w:jc w:val="right"/>
            </w:pPr>
            <w:r>
              <w:rPr>
                <w:rFonts w:ascii="Arial" w:hAnsi="Arial"/>
                <w:color w:val="64748B"/>
                <w:sz w:val="14"/>
              </w:rPr>
              <w:t>16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6: Research Trends by Time Period</w:t>
            </w:r>
          </w:p>
        </w:tc>
        <w:tc>
          <w:tcPr>
            <w:tcW w:type="dxa" w:w="1008"/>
            <w:tcMar>
              <w:top w:w="4" w:type="dxa"/>
              <w:bottom w:w="4" w:type="dxa"/>
              <w:left w:w="20" w:type="dxa"/>
              <w:right w:w="20" w:type="dxa"/>
            </w:tcMar>
          </w:tcPr>
          <w:p>
            <w:pPr>
              <w:spacing w:before="0" w:after="0"/>
              <w:jc w:val="right"/>
            </w:pPr>
            <w:r>
              <w:rPr>
                <w:rFonts w:ascii="Arial" w:hAnsi="Arial"/>
                <w:color w:val="64748B"/>
                <w:sz w:val="14"/>
              </w:rPr>
              <w:t>17</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7: Research Gap Analysis across Dimensions</w:t>
            </w:r>
          </w:p>
        </w:tc>
        <w:tc>
          <w:tcPr>
            <w:tcW w:type="dxa" w:w="1008"/>
            <w:tcMar>
              <w:top w:w="4" w:type="dxa"/>
              <w:bottom w:w="4" w:type="dxa"/>
              <w:left w:w="20" w:type="dxa"/>
              <w:right w:w="20" w:type="dxa"/>
            </w:tcMar>
          </w:tcPr>
          <w:p>
            <w:pPr>
              <w:spacing w:before="0" w:after="0"/>
              <w:jc w:val="right"/>
            </w:pPr>
            <w:r>
              <w:rPr>
                <w:rFonts w:ascii="Arial" w:hAnsi="Arial"/>
                <w:color w:val="64748B"/>
                <w:sz w:val="14"/>
              </w:rPr>
              <w:t>17</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Table 8: Future Research Opportunities and Enablers</w:t>
            </w:r>
          </w:p>
        </w:tc>
        <w:tc>
          <w:tcPr>
            <w:tcW w:type="dxa" w:w="1008"/>
            <w:tcMar>
              <w:top w:w="4" w:type="dxa"/>
              <w:bottom w:w="4" w:type="dxa"/>
              <w:left w:w="20" w:type="dxa"/>
              <w:right w:w="20" w:type="dxa"/>
            </w:tcMar>
          </w:tcPr>
          <w:p>
            <w:pPr>
              <w:spacing w:before="0" w:after="0"/>
              <w:jc w:val="right"/>
            </w:pPr>
            <w:r>
              <w:rPr>
                <w:rFonts w:ascii="Arial" w:hAnsi="Arial"/>
                <w:color w:val="64748B"/>
                <w:sz w:val="14"/>
              </w:rPr>
              <w:t>18</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6. Performance Analysis</w:t>
            </w:r>
          </w:p>
        </w:tc>
        <w:tc>
          <w:tcPr>
            <w:tcW w:type="dxa" w:w="1008"/>
            <w:tcMar>
              <w:top w:w="10" w:type="dxa"/>
              <w:bottom w:w="10" w:type="dxa"/>
              <w:left w:w="20" w:type="dxa"/>
              <w:right w:w="20" w:type="dxa"/>
            </w:tcMar>
          </w:tcPr>
          <w:p>
            <w:pPr>
              <w:spacing w:before="0" w:after="0"/>
              <w:jc w:val="right"/>
            </w:pPr>
            <w:r>
              <w:rPr>
                <w:rFonts w:ascii="Arial" w:hAnsi="Arial"/>
                <w:b/>
                <w:color w:val="475569"/>
                <w:sz w:val="16"/>
              </w:rPr>
              <w:t>19</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6.1. Empirical Evaluation Protocol &amp; Chronological Splitting</w:t>
            </w:r>
          </w:p>
        </w:tc>
        <w:tc>
          <w:tcPr>
            <w:tcW w:type="dxa" w:w="1008"/>
            <w:tcMar>
              <w:top w:w="4" w:type="dxa"/>
              <w:bottom w:w="4" w:type="dxa"/>
              <w:left w:w="20" w:type="dxa"/>
              <w:right w:w="20" w:type="dxa"/>
            </w:tcMar>
          </w:tcPr>
          <w:p>
            <w:pPr>
              <w:spacing w:before="0" w:after="0"/>
              <w:jc w:val="right"/>
            </w:pPr>
            <w:r>
              <w:rPr>
                <w:rFonts w:ascii="Arial" w:hAnsi="Arial"/>
                <w:color w:val="64748B"/>
                <w:sz w:val="14"/>
              </w:rPr>
              <w:t>19</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6.2. Mathematical Evaluation Metrics</w:t>
            </w:r>
          </w:p>
        </w:tc>
        <w:tc>
          <w:tcPr>
            <w:tcW w:type="dxa" w:w="1008"/>
            <w:tcMar>
              <w:top w:w="4" w:type="dxa"/>
              <w:bottom w:w="4" w:type="dxa"/>
              <w:left w:w="20" w:type="dxa"/>
              <w:right w:w="20" w:type="dxa"/>
            </w:tcMar>
          </w:tcPr>
          <w:p>
            <w:pPr>
              <w:spacing w:before="0" w:after="0"/>
              <w:jc w:val="right"/>
            </w:pPr>
            <w:r>
              <w:rPr>
                <w:rFonts w:ascii="Arial" w:hAnsi="Arial"/>
                <w:color w:val="64748B"/>
                <w:sz w:val="14"/>
              </w:rPr>
              <w:t>19</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6.3. Validated Experimental Results &amp; Model Benchmark</w:t>
            </w:r>
          </w:p>
        </w:tc>
        <w:tc>
          <w:tcPr>
            <w:tcW w:type="dxa" w:w="1008"/>
            <w:tcMar>
              <w:top w:w="4" w:type="dxa"/>
              <w:bottom w:w="4" w:type="dxa"/>
              <w:left w:w="20" w:type="dxa"/>
              <w:right w:w="20" w:type="dxa"/>
            </w:tcMar>
          </w:tcPr>
          <w:p>
            <w:pPr>
              <w:spacing w:before="0" w:after="0"/>
              <w:jc w:val="right"/>
            </w:pPr>
            <w:r>
              <w:rPr>
                <w:rFonts w:ascii="Arial" w:hAnsi="Arial"/>
                <w:color w:val="64748B"/>
                <w:sz w:val="14"/>
              </w:rPr>
              <w:t>19</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6.4. Why Regularized Linear Models Excel on Sparse Demand</w:t>
            </w:r>
          </w:p>
        </w:tc>
        <w:tc>
          <w:tcPr>
            <w:tcW w:type="dxa" w:w="1008"/>
            <w:tcMar>
              <w:top w:w="4" w:type="dxa"/>
              <w:bottom w:w="4" w:type="dxa"/>
              <w:left w:w="20" w:type="dxa"/>
              <w:right w:w="20" w:type="dxa"/>
            </w:tcMar>
          </w:tcPr>
          <w:p>
            <w:pPr>
              <w:spacing w:before="0" w:after="0"/>
              <w:jc w:val="right"/>
            </w:pPr>
            <w:r>
              <w:rPr>
                <w:rFonts w:ascii="Arial" w:hAnsi="Arial"/>
                <w:color w:val="64748B"/>
                <w:sz w:val="14"/>
              </w:rPr>
              <w:t>20</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6.5. Anomaly Detection Empirical Results &amp; Consensus Separation</w:t>
            </w:r>
          </w:p>
        </w:tc>
        <w:tc>
          <w:tcPr>
            <w:tcW w:type="dxa" w:w="1008"/>
            <w:tcMar>
              <w:top w:w="4" w:type="dxa"/>
              <w:bottom w:w="4" w:type="dxa"/>
              <w:left w:w="20" w:type="dxa"/>
              <w:right w:w="20" w:type="dxa"/>
            </w:tcMar>
          </w:tcPr>
          <w:p>
            <w:pPr>
              <w:spacing w:before="0" w:after="0"/>
              <w:jc w:val="right"/>
            </w:pPr>
            <w:r>
              <w:rPr>
                <w:rFonts w:ascii="Arial" w:hAnsi="Arial"/>
                <w:color w:val="64748B"/>
                <w:sz w:val="14"/>
              </w:rPr>
              <w:t>20</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6.6. Computational Complexity, Training Latency, and Scalability</w:t>
            </w:r>
          </w:p>
        </w:tc>
        <w:tc>
          <w:tcPr>
            <w:tcW w:type="dxa" w:w="1008"/>
            <w:tcMar>
              <w:top w:w="4" w:type="dxa"/>
              <w:bottom w:w="4" w:type="dxa"/>
              <w:left w:w="20" w:type="dxa"/>
              <w:right w:w="20" w:type="dxa"/>
            </w:tcMar>
          </w:tcPr>
          <w:p>
            <w:pPr>
              <w:spacing w:before="0" w:after="0"/>
              <w:jc w:val="right"/>
            </w:pPr>
            <w:r>
              <w:rPr>
                <w:rFonts w:ascii="Arial" w:hAnsi="Arial"/>
                <w:color w:val="64748B"/>
                <w:sz w:val="14"/>
              </w:rPr>
              <w:t>21</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6.7. Methodological Boundaries &amp; Limitations of Setup</w:t>
            </w:r>
          </w:p>
        </w:tc>
        <w:tc>
          <w:tcPr>
            <w:tcW w:type="dxa" w:w="1008"/>
            <w:tcMar>
              <w:top w:w="4" w:type="dxa"/>
              <w:bottom w:w="4" w:type="dxa"/>
              <w:left w:w="20" w:type="dxa"/>
              <w:right w:w="20" w:type="dxa"/>
            </w:tcMar>
          </w:tcPr>
          <w:p>
            <w:pPr>
              <w:spacing w:before="0" w:after="0"/>
              <w:jc w:val="right"/>
            </w:pPr>
            <w:r>
              <w:rPr>
                <w:rFonts w:ascii="Arial" w:hAnsi="Arial"/>
                <w:color w:val="64748B"/>
                <w:sz w:val="14"/>
              </w:rPr>
              <w:t>22</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7. Research Trends</w:t>
            </w:r>
          </w:p>
        </w:tc>
        <w:tc>
          <w:tcPr>
            <w:tcW w:type="dxa" w:w="1008"/>
            <w:tcMar>
              <w:top w:w="10" w:type="dxa"/>
              <w:bottom w:w="10" w:type="dxa"/>
              <w:left w:w="20" w:type="dxa"/>
              <w:right w:w="20" w:type="dxa"/>
            </w:tcMar>
          </w:tcPr>
          <w:p>
            <w:pPr>
              <w:spacing w:before="0" w:after="0"/>
              <w:jc w:val="right"/>
            </w:pPr>
            <w:r>
              <w:rPr>
                <w:rFonts w:ascii="Arial" w:hAnsi="Arial"/>
                <w:b/>
                <w:color w:val="475569"/>
                <w:sz w:val="16"/>
              </w:rPr>
              <w:t>22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7.1. Most Popular Machine Learning Algorithms</w:t>
            </w:r>
          </w:p>
        </w:tc>
        <w:tc>
          <w:tcPr>
            <w:tcW w:type="dxa" w:w="1008"/>
            <w:tcMar>
              <w:top w:w="4" w:type="dxa"/>
              <w:bottom w:w="4" w:type="dxa"/>
              <w:left w:w="20" w:type="dxa"/>
              <w:right w:w="20" w:type="dxa"/>
            </w:tcMar>
          </w:tcPr>
          <w:p>
            <w:pPr>
              <w:spacing w:before="0" w:after="0"/>
              <w:jc w:val="right"/>
            </w:pPr>
            <w:r>
              <w:rPr>
                <w:rFonts w:ascii="Arial" w:hAnsi="Arial"/>
                <w:color w:val="64748B"/>
                <w:sz w:val="14"/>
              </w:rPr>
              <w:t>22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7.2. Prominent Public &amp; Private Datasets</w:t>
            </w:r>
          </w:p>
        </w:tc>
        <w:tc>
          <w:tcPr>
            <w:tcW w:type="dxa" w:w="1008"/>
            <w:tcMar>
              <w:top w:w="4" w:type="dxa"/>
              <w:bottom w:w="4" w:type="dxa"/>
              <w:left w:w="20" w:type="dxa"/>
              <w:right w:w="20" w:type="dxa"/>
            </w:tcMar>
          </w:tcPr>
          <w:p>
            <w:pPr>
              <w:spacing w:before="0" w:after="0"/>
              <w:jc w:val="right"/>
            </w:pPr>
            <w:r>
              <w:rPr>
                <w:rFonts w:ascii="Arial" w:hAnsi="Arial"/>
                <w:color w:val="64748B"/>
                <w:sz w:val="14"/>
              </w:rPr>
              <w:t>22</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7.3. Recent Methodological Advancements</w:t>
            </w:r>
          </w:p>
        </w:tc>
        <w:tc>
          <w:tcPr>
            <w:tcW w:type="dxa" w:w="1008"/>
            <w:tcMar>
              <w:top w:w="4" w:type="dxa"/>
              <w:bottom w:w="4" w:type="dxa"/>
              <w:left w:w="20" w:type="dxa"/>
              <w:right w:w="20" w:type="dxa"/>
            </w:tcMar>
          </w:tcPr>
          <w:p>
            <w:pPr>
              <w:spacing w:before="0" w:after="0"/>
              <w:jc w:val="right"/>
            </w:pPr>
            <w:r>
              <w:rPr>
                <w:rFonts w:ascii="Arial" w:hAnsi="Arial"/>
                <w:color w:val="64748B"/>
                <w:sz w:val="14"/>
              </w:rPr>
              <w:t>23</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7.4. Publication Trends &amp; Geographic Distribution</w:t>
            </w:r>
          </w:p>
        </w:tc>
        <w:tc>
          <w:tcPr>
            <w:tcW w:type="dxa" w:w="1008"/>
            <w:tcMar>
              <w:top w:w="4" w:type="dxa"/>
              <w:bottom w:w="4" w:type="dxa"/>
              <w:left w:w="20" w:type="dxa"/>
              <w:right w:w="20" w:type="dxa"/>
            </w:tcMar>
          </w:tcPr>
          <w:p>
            <w:pPr>
              <w:spacing w:before="0" w:after="0"/>
              <w:jc w:val="right"/>
            </w:pPr>
            <w:r>
              <w:rPr>
                <w:rFonts w:ascii="Arial" w:hAnsi="Arial"/>
                <w:color w:val="64748B"/>
                <w:sz w:val="14"/>
              </w:rPr>
              <w:t>23</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8. Research Gap Analysis</w:t>
            </w:r>
          </w:p>
        </w:tc>
        <w:tc>
          <w:tcPr>
            <w:tcW w:type="dxa" w:w="1008"/>
            <w:tcMar>
              <w:top w:w="10" w:type="dxa"/>
              <w:bottom w:w="10" w:type="dxa"/>
              <w:left w:w="20" w:type="dxa"/>
              <w:right w:w="20" w:type="dxa"/>
            </w:tcMar>
          </w:tcPr>
          <w:p>
            <w:pPr>
              <w:spacing w:before="0" w:after="0"/>
              <w:jc w:val="right"/>
            </w:pPr>
            <w:r>
              <w:rPr>
                <w:rFonts w:ascii="Arial" w:hAnsi="Arial"/>
                <w:b/>
                <w:color w:val="475569"/>
                <w:sz w:val="16"/>
              </w:rPr>
              <w:t>24</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8.1. Data-Related Gaps</w:t>
            </w:r>
          </w:p>
        </w:tc>
        <w:tc>
          <w:tcPr>
            <w:tcW w:type="dxa" w:w="1008"/>
            <w:tcMar>
              <w:top w:w="4" w:type="dxa"/>
              <w:bottom w:w="4" w:type="dxa"/>
              <w:left w:w="20" w:type="dxa"/>
              <w:right w:w="20" w:type="dxa"/>
            </w:tcMar>
          </w:tcPr>
          <w:p>
            <w:pPr>
              <w:spacing w:before="0" w:after="0"/>
              <w:jc w:val="right"/>
            </w:pPr>
            <w:r>
              <w:rPr>
                <w:rFonts w:ascii="Arial" w:hAnsi="Arial"/>
                <w:color w:val="64748B"/>
                <w:sz w:val="14"/>
              </w:rPr>
              <w:t>25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8.2. Model-Related Gaps</w:t>
            </w:r>
          </w:p>
        </w:tc>
        <w:tc>
          <w:tcPr>
            <w:tcW w:type="dxa" w:w="1008"/>
            <w:tcMar>
              <w:top w:w="4" w:type="dxa"/>
              <w:bottom w:w="4" w:type="dxa"/>
              <w:left w:w="20" w:type="dxa"/>
              <w:right w:w="20" w:type="dxa"/>
            </w:tcMar>
          </w:tcPr>
          <w:p>
            <w:pPr>
              <w:spacing w:before="0" w:after="0"/>
              <w:jc w:val="right"/>
            </w:pPr>
            <w:r>
              <w:rPr>
                <w:rFonts w:ascii="Arial" w:hAnsi="Arial"/>
                <w:color w:val="64748B"/>
                <w:sz w:val="14"/>
              </w:rPr>
              <w:t>25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8.3. Methodological and Evaluation Gaps</w:t>
            </w:r>
          </w:p>
        </w:tc>
        <w:tc>
          <w:tcPr>
            <w:tcW w:type="dxa" w:w="1008"/>
            <w:tcMar>
              <w:top w:w="4" w:type="dxa"/>
              <w:bottom w:w="4" w:type="dxa"/>
              <w:left w:w="20" w:type="dxa"/>
              <w:right w:w="20" w:type="dxa"/>
            </w:tcMar>
          </w:tcPr>
          <w:p>
            <w:pPr>
              <w:spacing w:before="0" w:after="0"/>
              <w:jc w:val="right"/>
            </w:pPr>
            <w:r>
              <w:rPr>
                <w:rFonts w:ascii="Arial" w:hAnsi="Arial"/>
                <w:color w:val="64748B"/>
                <w:sz w:val="14"/>
              </w:rPr>
              <w:t>25</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8.4. Application, Security, and Hardware Gaps</w:t>
            </w:r>
          </w:p>
        </w:tc>
        <w:tc>
          <w:tcPr>
            <w:tcW w:type="dxa" w:w="1008"/>
            <w:tcMar>
              <w:top w:w="4" w:type="dxa"/>
              <w:bottom w:w="4" w:type="dxa"/>
              <w:left w:w="20" w:type="dxa"/>
              <w:right w:w="20" w:type="dxa"/>
            </w:tcMar>
          </w:tcPr>
          <w:p>
            <w:pPr>
              <w:spacing w:before="0" w:after="0"/>
              <w:jc w:val="right"/>
            </w:pPr>
            <w:r>
              <w:rPr>
                <w:rFonts w:ascii="Arial" w:hAnsi="Arial"/>
                <w:color w:val="64748B"/>
                <w:sz w:val="14"/>
              </w:rPr>
              <w:t>26</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9. Future Research Directions</w:t>
            </w:r>
          </w:p>
        </w:tc>
        <w:tc>
          <w:tcPr>
            <w:tcW w:type="dxa" w:w="1008"/>
            <w:tcMar>
              <w:top w:w="10" w:type="dxa"/>
              <w:bottom w:w="10" w:type="dxa"/>
              <w:left w:w="20" w:type="dxa"/>
              <w:right w:w="20" w:type="dxa"/>
            </w:tcMar>
          </w:tcPr>
          <w:p>
            <w:pPr>
              <w:spacing w:before="0" w:after="0"/>
              <w:jc w:val="right"/>
            </w:pPr>
            <w:r>
              <w:rPr>
                <w:rFonts w:ascii="Arial" w:hAnsi="Arial"/>
                <w:b/>
                <w:color w:val="475569"/>
                <w:sz w:val="16"/>
              </w:rPr>
              <w:t>26</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9.1. Physics-Informed Neural Networks (PINNs)</w:t>
            </w:r>
          </w:p>
        </w:tc>
        <w:tc>
          <w:tcPr>
            <w:tcW w:type="dxa" w:w="1008"/>
            <w:tcMar>
              <w:top w:w="4" w:type="dxa"/>
              <w:bottom w:w="4" w:type="dxa"/>
              <w:left w:w="20" w:type="dxa"/>
              <w:right w:w="20" w:type="dxa"/>
            </w:tcMar>
          </w:tcPr>
          <w:p>
            <w:pPr>
              <w:spacing w:before="0" w:after="0"/>
              <w:jc w:val="right"/>
            </w:pPr>
            <w:r>
              <w:rPr>
                <w:rFonts w:ascii="Arial" w:hAnsi="Arial"/>
                <w:color w:val="64748B"/>
                <w:sz w:val="14"/>
              </w:rPr>
              <w:t>27</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9.2. Conformal Prediction &amp; Ramp Risk</w:t>
            </w:r>
          </w:p>
        </w:tc>
        <w:tc>
          <w:tcPr>
            <w:tcW w:type="dxa" w:w="1008"/>
            <w:tcMar>
              <w:top w:w="4" w:type="dxa"/>
              <w:bottom w:w="4" w:type="dxa"/>
              <w:left w:w="20" w:type="dxa"/>
              <w:right w:w="20" w:type="dxa"/>
            </w:tcMar>
          </w:tcPr>
          <w:p>
            <w:pPr>
              <w:spacing w:before="0" w:after="0"/>
              <w:jc w:val="right"/>
            </w:pPr>
            <w:r>
              <w:rPr>
                <w:rFonts w:ascii="Arial" w:hAnsi="Arial"/>
                <w:color w:val="64748B"/>
                <w:sz w:val="14"/>
              </w:rPr>
              <w:t>27</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9.3. Privacy-Preserving Federated Multi-Site Learning</w:t>
            </w:r>
          </w:p>
        </w:tc>
        <w:tc>
          <w:tcPr>
            <w:tcW w:type="dxa" w:w="1008"/>
            <w:tcMar>
              <w:top w:w="4" w:type="dxa"/>
              <w:bottom w:w="4" w:type="dxa"/>
              <w:left w:w="20" w:type="dxa"/>
              <w:right w:w="20" w:type="dxa"/>
            </w:tcMar>
          </w:tcPr>
          <w:p>
            <w:pPr>
              <w:spacing w:before="0" w:after="0"/>
              <w:jc w:val="right"/>
            </w:pPr>
            <w:r>
              <w:rPr>
                <w:rFonts w:ascii="Arial" w:hAnsi="Arial"/>
                <w:color w:val="64748B"/>
                <w:sz w:val="14"/>
              </w:rPr>
              <w:t>27</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9.4. Exploiting the 1.30-Hour Dwell Buffer for Dynamic Throttling</w:t>
            </w:r>
          </w:p>
        </w:tc>
        <w:tc>
          <w:tcPr>
            <w:tcW w:type="dxa" w:w="1008"/>
            <w:tcMar>
              <w:top w:w="4" w:type="dxa"/>
              <w:bottom w:w="4" w:type="dxa"/>
              <w:left w:w="20" w:type="dxa"/>
              <w:right w:w="20" w:type="dxa"/>
            </w:tcMar>
          </w:tcPr>
          <w:p>
            <w:pPr>
              <w:spacing w:before="0" w:after="0"/>
              <w:jc w:val="right"/>
            </w:pPr>
            <w:r>
              <w:rPr>
                <w:rFonts w:ascii="Arial" w:hAnsi="Arial"/>
                <w:color w:val="64748B"/>
                <w:sz w:val="14"/>
              </w:rPr>
              <w:t>27</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10. Discussion</w:t>
            </w:r>
          </w:p>
        </w:tc>
        <w:tc>
          <w:tcPr>
            <w:tcW w:type="dxa" w:w="1008"/>
            <w:tcMar>
              <w:top w:w="10" w:type="dxa"/>
              <w:bottom w:w="10" w:type="dxa"/>
              <w:left w:w="20" w:type="dxa"/>
              <w:right w:w="20" w:type="dxa"/>
            </w:tcMar>
          </w:tcPr>
          <w:p>
            <w:pPr>
              <w:spacing w:before="0" w:after="0"/>
              <w:jc w:val="right"/>
            </w:pPr>
            <w:r>
              <w:rPr>
                <w:rFonts w:ascii="Arial" w:hAnsi="Arial"/>
                <w:b/>
                <w:color w:val="475569"/>
                <w:sz w:val="16"/>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10.1. What is Working Well?</w:t>
            </w:r>
          </w:p>
        </w:tc>
        <w:tc>
          <w:tcPr>
            <w:tcW w:type="dxa" w:w="1008"/>
            <w:tcMar>
              <w:top w:w="4" w:type="dxa"/>
              <w:bottom w:w="4" w:type="dxa"/>
              <w:left w:w="20" w:type="dxa"/>
              <w:right w:w="20" w:type="dxa"/>
            </w:tcMar>
          </w:tcPr>
          <w:p>
            <w:pPr>
              <w:spacing w:before="0" w:after="0"/>
              <w:jc w:val="right"/>
            </w:pPr>
            <w:r>
              <w:rPr>
                <w:rFonts w:ascii="Arial" w:hAnsi="Arial"/>
                <w:color w:val="64748B"/>
                <w:sz w:val="14"/>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10.2. What is Crucially Missing?</w:t>
            </w:r>
          </w:p>
        </w:tc>
        <w:tc>
          <w:tcPr>
            <w:tcW w:type="dxa" w:w="1008"/>
            <w:tcMar>
              <w:top w:w="4" w:type="dxa"/>
              <w:bottom w:w="4" w:type="dxa"/>
              <w:left w:w="20" w:type="dxa"/>
              <w:right w:w="20" w:type="dxa"/>
            </w:tcMar>
          </w:tcPr>
          <w:p>
            <w:pPr>
              <w:spacing w:before="0" w:after="0"/>
              <w:jc w:val="right"/>
            </w:pPr>
            <w:r>
              <w:rPr>
                <w:rFonts w:ascii="Arial" w:hAnsi="Arial"/>
                <w:color w:val="64748B"/>
                <w:sz w:val="14"/>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10.3. Algorithmic Dominance vs Operational Utility</w:t>
            </w:r>
          </w:p>
        </w:tc>
        <w:tc>
          <w:tcPr>
            <w:tcW w:type="dxa" w:w="1008"/>
            <w:tcMar>
              <w:top w:w="4" w:type="dxa"/>
              <w:bottom w:w="4" w:type="dxa"/>
              <w:left w:w="20" w:type="dxa"/>
              <w:right w:w="20" w:type="dxa"/>
            </w:tcMar>
          </w:tcPr>
          <w:p>
            <w:pPr>
              <w:spacing w:before="0" w:after="0"/>
              <w:jc w:val="right"/>
            </w:pPr>
            <w:r>
              <w:rPr>
                <w:rFonts w:ascii="Arial" w:hAnsi="Arial"/>
                <w:color w:val="64748B"/>
                <w:sz w:val="14"/>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10.4. Dataset Overreliance &amp; The ACN-Data Monoculture</w:t>
            </w:r>
          </w:p>
        </w:tc>
        <w:tc>
          <w:tcPr>
            <w:tcW w:type="dxa" w:w="1008"/>
            <w:tcMar>
              <w:top w:w="4" w:type="dxa"/>
              <w:bottom w:w="4" w:type="dxa"/>
              <w:left w:w="20" w:type="dxa"/>
              <w:right w:w="20" w:type="dxa"/>
            </w:tcMar>
          </w:tcPr>
          <w:p>
            <w:pPr>
              <w:spacing w:before="0" w:after="0"/>
              <w:jc w:val="right"/>
            </w:pPr>
            <w:r>
              <w:rPr>
                <w:rFonts w:ascii="Arial" w:hAnsi="Arial"/>
                <w:color w:val="64748B"/>
                <w:sz w:val="14"/>
              </w:rPr>
              <w:t>28</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11. Conclusion</w:t>
            </w:r>
          </w:p>
        </w:tc>
        <w:tc>
          <w:tcPr>
            <w:tcW w:type="dxa" w:w="1008"/>
            <w:tcMar>
              <w:top w:w="10" w:type="dxa"/>
              <w:bottom w:w="10" w:type="dxa"/>
              <w:left w:w="20" w:type="dxa"/>
              <w:right w:w="20" w:type="dxa"/>
            </w:tcMar>
          </w:tcPr>
          <w:p>
            <w:pPr>
              <w:spacing w:before="0" w:after="0"/>
              <w:jc w:val="right"/>
            </w:pPr>
            <w:r>
              <w:rPr>
                <w:rFonts w:ascii="Arial" w:hAnsi="Arial"/>
                <w:b/>
                <w:color w:val="475569"/>
                <w:sz w:val="16"/>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11.1. Summary of Major Empirical Findings</w:t>
            </w:r>
          </w:p>
        </w:tc>
        <w:tc>
          <w:tcPr>
            <w:tcW w:type="dxa" w:w="1008"/>
            <w:tcMar>
              <w:top w:w="4" w:type="dxa"/>
              <w:bottom w:w="4" w:type="dxa"/>
              <w:left w:w="20" w:type="dxa"/>
              <w:right w:w="20" w:type="dxa"/>
            </w:tcMar>
          </w:tcPr>
          <w:p>
            <w:pPr>
              <w:spacing w:before="0" w:after="0"/>
              <w:jc w:val="right"/>
            </w:pPr>
            <w:r>
              <w:rPr>
                <w:rFonts w:ascii="Arial" w:hAnsi="Arial"/>
                <w:color w:val="64748B"/>
                <w:sz w:val="14"/>
              </w:rPr>
              <w:t>28</w:t>
            </w:r>
          </w:p>
        </w:tc>
      </w:tr>
      <w:tr>
        <w:tc>
          <w:tcPr>
            <w:tcW w:type="dxa" w:w="8352"/>
            <w:tcMar>
              <w:top w:w="4" w:type="dxa"/>
              <w:bottom w:w="4" w:type="dxa"/>
              <w:left w:w="20" w:type="dxa"/>
              <w:right w:w="20" w:type="dxa"/>
            </w:tcMar>
          </w:tcPr>
          <w:p>
            <w:pPr>
              <w:spacing w:before="0" w:after="0"/>
              <w:jc w:val="left"/>
            </w:pPr>
            <w:r>
              <w:rPr>
                <w:rFonts w:ascii="Arial" w:hAnsi="Arial"/>
                <w:color w:val="334155"/>
                <w:sz w:val="14"/>
              </w:rPr>
              <w:t xml:space="preserve">    11.2. Actionable Engineering &amp; Policy Recommendations</w:t>
            </w:r>
          </w:p>
        </w:tc>
        <w:tc>
          <w:tcPr>
            <w:tcW w:type="dxa" w:w="1008"/>
            <w:tcMar>
              <w:top w:w="4" w:type="dxa"/>
              <w:bottom w:w="4" w:type="dxa"/>
              <w:left w:w="20" w:type="dxa"/>
              <w:right w:w="20" w:type="dxa"/>
            </w:tcMar>
          </w:tcPr>
          <w:p>
            <w:pPr>
              <w:spacing w:before="0" w:after="0"/>
              <w:jc w:val="right"/>
            </w:pPr>
            <w:r>
              <w:rPr>
                <w:rFonts w:ascii="Arial" w:hAnsi="Arial"/>
                <w:color w:val="64748B"/>
                <w:sz w:val="14"/>
              </w:rPr>
              <w:t>29</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12. Visual Artifacts and Figures</w:t>
            </w:r>
          </w:p>
        </w:tc>
        <w:tc>
          <w:tcPr>
            <w:tcW w:type="dxa" w:w="1008"/>
            <w:tcMar>
              <w:top w:w="10" w:type="dxa"/>
              <w:bottom w:w="10" w:type="dxa"/>
              <w:left w:w="20" w:type="dxa"/>
              <w:right w:w="20" w:type="dxa"/>
            </w:tcMar>
          </w:tcPr>
          <w:p>
            <w:pPr>
              <w:spacing w:before="0" w:after="0"/>
              <w:jc w:val="right"/>
            </w:pPr>
            <w:r>
              <w:rPr>
                <w:rFonts w:ascii="Arial" w:hAnsi="Arial"/>
                <w:b/>
                <w:color w:val="475569"/>
                <w:sz w:val="16"/>
              </w:rPr>
              <w:t>29</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13. References (IEEE Style)</w:t>
            </w:r>
          </w:p>
        </w:tc>
        <w:tc>
          <w:tcPr>
            <w:tcW w:type="dxa" w:w="1008"/>
            <w:tcMar>
              <w:top w:w="10" w:type="dxa"/>
              <w:bottom w:w="10" w:type="dxa"/>
              <w:left w:w="20" w:type="dxa"/>
              <w:right w:w="20" w:type="dxa"/>
            </w:tcMar>
          </w:tcPr>
          <w:p>
            <w:pPr>
              <w:spacing w:before="0" w:after="0"/>
              <w:jc w:val="right"/>
            </w:pPr>
            <w:r>
              <w:rPr>
                <w:rFonts w:ascii="Arial" w:hAnsi="Arial"/>
                <w:b/>
                <w:color w:val="475569"/>
                <w:sz w:val="16"/>
              </w:rPr>
              <w:t>31</w:t>
            </w:r>
          </w:p>
        </w:tc>
      </w:tr>
      <w:tr>
        <w:tc>
          <w:tcPr>
            <w:tcW w:type="dxa" w:w="8352"/>
            <w:tcMar>
              <w:top w:w="10" w:type="dxa"/>
              <w:bottom w:w="10" w:type="dxa"/>
              <w:left w:w="20" w:type="dxa"/>
              <w:right w:w="20" w:type="dxa"/>
            </w:tcMar>
          </w:tcPr>
          <w:p>
            <w:pPr>
              <w:spacing w:before="0" w:after="0"/>
              <w:jc w:val="left"/>
            </w:pPr>
            <w:r>
              <w:rPr>
                <w:rFonts w:ascii="Arial" w:hAnsi="Arial"/>
                <w:b/>
                <w:color w:val="1E3A8A"/>
                <w:sz w:val="16"/>
              </w:rPr>
              <w:t>Appendices (A: Abbreviations, B: Datasets, C: Formulations)</w:t>
            </w:r>
          </w:p>
        </w:tc>
        <w:tc>
          <w:tcPr>
            <w:tcW w:type="dxa" w:w="1008"/>
            <w:tcMar>
              <w:top w:w="10" w:type="dxa"/>
              <w:bottom w:w="10" w:type="dxa"/>
              <w:left w:w="20" w:type="dxa"/>
              <w:right w:w="20" w:type="dxa"/>
            </w:tcMar>
          </w:tcPr>
          <w:p>
            <w:pPr>
              <w:spacing w:before="0" w:after="0"/>
              <w:jc w:val="right"/>
            </w:pPr>
            <w:r>
              <w:rPr>
                <w:rFonts w:ascii="Arial" w:hAnsi="Arial"/>
                <w:b/>
                <w:color w:val="475569"/>
                <w:sz w:val="16"/>
              </w:rPr>
              <w:t>33</w:t>
            </w:r>
          </w:p>
        </w:tc>
      </w:tr>
    </w:tbl>
    <w:p>
      <w:r>
        <w:br w:type="page"/>
      </w:r>
    </w:p>
    <w:p>
      <w:pPr>
        <w:pStyle w:val="Heading1"/>
        <w:keepNext/>
        <w:spacing w:before="320" w:after="120"/>
        <w:jc w:val="left"/>
      </w:pPr>
      <w:r>
        <w:t>1. Introduction</w:t>
      </w:r>
    </w:p>
    <w:p>
      <w:pPr>
        <w:pStyle w:val="Heading2"/>
        <w:keepNext/>
        <w:spacing w:before="240" w:after="80"/>
        <w:jc w:val="left"/>
      </w:pPr>
      <w:r>
        <w:t>1.1. Background</w:t>
      </w:r>
    </w:p>
    <w:p>
      <w:pPr>
        <w:spacing w:before="40" w:after="100" w:line="276" w:lineRule="auto"/>
        <w:jc w:val="both"/>
      </w:pPr>
      <w:r>
        <w:t>The widespread transition toward electrified transportation represents one of the most critical decarbonization pillars in modern energy policy [1]. However, the integration of high-power Electric Vehicle Supply Equipment (EVSE) into existing commercial and institutional electrical infrastructures presents acute operational challenges for electrical distribution utilities and facility microgrid managers [2]. Uncontrolled, coincident vehicle plug-ins create sharp load ramping spikes that severely degrade distribution transformer lifespans, trigger voltage sag instabilities, and amplify costly peak-demand utility charges [3]. To navigate these challenges, smart charging infrastructure relies fundamentally on advanced data analytics, predictive load forecasting, and automated anomaly detection to optimize power dispatch and safeguard system health [4].</w:t>
      </w:r>
    </w:p>
    <w:p>
      <w:pPr>
        <w:pStyle w:val="Heading2"/>
        <w:keepNext/>
        <w:spacing w:before="240" w:after="80"/>
        <w:jc w:val="left"/>
      </w:pPr>
      <w:r>
        <w:t>1.2. Motivation: Why is this Problem Important?</w:t>
      </w:r>
    </w:p>
    <w:p>
      <w:pPr>
        <w:spacing w:before="40" w:after="100" w:line="276" w:lineRule="auto"/>
        <w:jc w:val="both"/>
      </w:pPr>
      <w:r>
        <w:t>Workplace and campus charging facilities represent an archetype of diurnal demand concentration [5]. Drivers predominantly arrive within an acute morning commuter window between 08:00 and 10:00 PST/PDT, initiating uncoordinated Level-2 charging simultaneously upon arrival [6]. At the Caltech Adaptive Charging Network (ACN-Data) garage facility, this simultaneous morning connection ramp drives facility-level hourly demand to an empirical peak of 22.45 kWh/hr at 10:00 AM on typical business days, whereas weekend demand collapses by over 80% to near-zero levels [7]. If unmanaged, this acute morning surge coincides with building heating, ventilation, and air-conditioning (HVAC) startup loads, multiplying coincident demand charges under commercial time-of-use (TOU) tariffs [8].</w:t>
      </w:r>
    </w:p>
    <w:p>
      <w:pPr>
        <w:spacing w:before="40" w:after="100" w:line="276" w:lineRule="auto"/>
        <w:jc w:val="both"/>
      </w:pPr>
      <w:r>
        <w:t>Concurrently, electrical vehicle telemetry streams are susceptible to hardware faults, communication loss, firmware logging corruptions, and driver behavioral abuses [9]. Without automated, unsupervised anomaly detection, abnormal conditions—such as erroneous telemetry records logging physically impossible 688 kW rates on Level-2 infrastructure, or vehicles occupying charging stalls for over 24 hours with negligible power draw—go undetected, deteriorating stall availability and distorting grid capacity planning [10].</w:t>
      </w:r>
    </w:p>
    <w:p>
      <w:pPr>
        <w:pStyle w:val="Heading2"/>
        <w:keepNext/>
        <w:spacing w:before="240" w:after="80"/>
        <w:jc w:val="left"/>
      </w:pPr>
      <w:r>
        <w:t>1.3. Need for the Survey: Why Another Survey?</w:t>
      </w:r>
    </w:p>
    <w:p>
      <w:pPr>
        <w:spacing w:before="40" w:after="100" w:line="276" w:lineRule="auto"/>
        <w:jc w:val="both"/>
      </w:pPr>
      <w:r>
        <w:t>While numerous general reviews on energy forecasting exist in the smart-grid literature [11], [12], existing surveys present substantial methodological limitations when applied to real-world EV charging telemetry:</w:t>
      </w:r>
    </w:p>
    <w:p>
      <w:pPr>
        <w:pStyle w:val="ListBullet"/>
        <w:spacing w:before="40" w:after="60" w:line="276" w:lineRule="auto"/>
        <w:jc w:val="both"/>
      </w:pPr>
      <w:r>
        <w:rPr>
          <w:b/>
        </w:rPr>
        <w:t xml:space="preserve">Overreliance on Synthetic Load Profiles: </w:t>
      </w:r>
      <w:r>
        <w:t>A majority of published surveys evaluate algorithms using idealized synthetic load curves that assume continuous, smooth distributions, masking the extreme zero-inflation (79.14% zero-demand intervals) inherent to real-world facility charging [13].</w:t>
      </w:r>
    </w:p>
    <w:p>
      <w:pPr>
        <w:pStyle w:val="ListBullet"/>
        <w:spacing w:before="40" w:after="60" w:line="276" w:lineRule="auto"/>
        <w:jc w:val="both"/>
      </w:pPr>
      <w:r>
        <w:rPr>
          <w:b/>
        </w:rPr>
        <w:t xml:space="preserve">Neglect of Data Leakage in Validation Protocols: </w:t>
      </w:r>
      <w:r>
        <w:t>Many existing surveys report inflated accuracy figures from studies that utilized randomized train/test cross-validation rather than strictly chronological splits, introducing severe lookahead data leakage into time-series benchmarks [14].</w:t>
      </w:r>
    </w:p>
    <w:p>
      <w:pPr>
        <w:pStyle w:val="ListBullet"/>
        <w:spacing w:before="40" w:after="60" w:line="276" w:lineRule="auto"/>
        <w:jc w:val="both"/>
      </w:pPr>
      <w:r>
        <w:rPr>
          <w:b/>
        </w:rPr>
        <w:t xml:space="preserve">Conflation of Active Charging and Dwell Time: </w:t>
      </w:r>
      <w:r>
        <w:t>Prior surveys rarely decouple active charging duration from total plug-in dwell time, failing to quantify the operational idle dwell buffer that serves as the foundational physical slack for managed charging [15].</w:t>
      </w:r>
    </w:p>
    <w:p>
      <w:pPr>
        <w:pStyle w:val="ListBullet"/>
        <w:spacing w:before="40" w:after="60" w:line="276" w:lineRule="auto"/>
        <w:jc w:val="both"/>
      </w:pPr>
      <w:r>
        <w:rPr>
          <w:b/>
        </w:rPr>
        <w:t xml:space="preserve">Absence of Anomaly Ground Truth Disclosures: </w:t>
      </w:r>
      <w:r>
        <w:t>Surveys in anomaly detection frequently treat unsupervised statistical outliers as confirmed hardware faults or security breaches without acknowledging the critical absence of physical ground truth maintenance logs [16].</w:t>
      </w:r>
    </w:p>
    <w:p>
      <w:pPr>
        <w:pStyle w:val="Heading2"/>
        <w:keepNext/>
        <w:spacing w:before="240" w:after="80"/>
        <w:jc w:val="left"/>
      </w:pPr>
      <w:r>
        <w:t>1.4. Contributions of this Study</w:t>
      </w:r>
    </w:p>
    <w:p>
      <w:pPr>
        <w:spacing w:before="40" w:after="100" w:line="276" w:lineRule="auto"/>
        <w:jc w:val="both"/>
      </w:pPr>
      <w:r>
        <w:t>To address these critical gaps, this case study provides a rigorous, multi-faceted academic investigation combining a systematic literature review with an end-to-end empirical benchmark. The primary contributions include:</w:t>
      </w:r>
    </w:p>
    <w:p>
      <w:pPr>
        <w:pStyle w:val="ListBullet"/>
        <w:spacing w:before="40" w:after="60" w:line="276" w:lineRule="auto"/>
        <w:jc w:val="both"/>
      </w:pPr>
      <w:r>
        <w:rPr>
          <w:b/>
        </w:rPr>
        <w:t xml:space="preserve">Structured Literature Synthesis: </w:t>
      </w:r>
      <w:r>
        <w:t>We conduct a structured review and critical synthesis of 52 peer-reviewed studies and authoritative technical standards from recognized publisher repositories (IEEE, Elsevier, ACM, Springer, Wiley, SAE, OCPP), establishing eight comprehensive comparative tables and multi-pillar taxonomic categorizations grounded in the cited bibliography.</w:t>
      </w:r>
    </w:p>
    <w:p>
      <w:pPr>
        <w:pStyle w:val="ListBullet"/>
        <w:spacing w:before="40" w:after="60" w:line="276" w:lineRule="auto"/>
        <w:jc w:val="both"/>
      </w:pPr>
      <w:r>
        <w:rPr>
          <w:b/>
        </w:rPr>
        <w:t xml:space="preserve">Canonical Experimental Grounding on ACN-Data: </w:t>
      </w:r>
      <w:r>
        <w:t>All comparative claims are grounded in exactly 5,000 verified real-world sessions (January 2020 to September 2021) from Caltech Garage Site 0002 (Cluster 0039), with mathematical conservation verified at exactly 53,668.78 kWh across both session and hourly series.</w:t>
      </w:r>
    </w:p>
    <w:p>
      <w:pPr>
        <w:pStyle w:val="ListBullet"/>
        <w:spacing w:before="40" w:after="60" w:line="276" w:lineRule="auto"/>
        <w:jc w:val="both"/>
      </w:pPr>
      <w:r>
        <w:rPr>
          <w:b/>
        </w:rPr>
        <w:t xml:space="preserve">Zero-Leakage Chronological Benchmark: </w:t>
      </w:r>
      <w:r>
        <w:t>We benchmark Seasonal Naive baselines, regularized linear models (Ridge), and tree ensembles (Random Forest, XGBoost) under strict chronological calendar partitioning (10,995 train hours, 1,464 validation hours, 1,795 test hours), demonstrating that regularized Ridge Regression selected strictly on validation RMSE achieves parameter parsimony and competitive performance on zero-inflated demand, while XGBoost achieves a slightly lower test RMSE.</w:t>
      </w:r>
    </w:p>
    <w:p>
      <w:pPr>
        <w:pStyle w:val="ListBullet"/>
        <w:spacing w:before="40" w:after="60" w:line="276" w:lineRule="auto"/>
        <w:jc w:val="both"/>
      </w:pPr>
      <w:r>
        <w:rPr>
          <w:b/>
        </w:rPr>
        <w:t xml:space="preserve">Dual-Detector Anomaly Consensus: </w:t>
      </w:r>
      <w:r>
        <w:t>We deploy Isolation Forest and Local Outlier Factor (LOF) at 3.0% contamination (150 flags each), identifying an intersection of 33 consensus outliers (0.66%), a union of 267 sessions (5.34%), 117 unique flags per detector, and a symmetric difference of 234 sessions, while explicitly distinguishing multivariate statistical outliers from unverified hardware faults.</w:t>
      </w:r>
    </w:p>
    <w:p>
      <w:pPr>
        <w:pStyle w:val="ListBullet"/>
        <w:spacing w:before="40" w:after="60" w:line="276" w:lineRule="auto"/>
        <w:jc w:val="both"/>
      </w:pPr>
      <w:r>
        <w:rPr>
          <w:b/>
        </w:rPr>
        <w:t xml:space="preserve">Operational Flexibility Quantification: </w:t>
      </w:r>
      <w:r>
        <w:t>We empirically quantify a 1.30-hour median idle dwell buffer (41.7% idle ratio), indicating potential operational flexibility that could theoretically allow future smart charging algorithms to shift uncoordinated morning load; however, actual feeder load reduction, transformer loading impacts, and driver departure satisfaction were not measured experimentally and require prospective closed-loop validation.</w:t>
      </w:r>
    </w:p>
    <w:p>
      <w:pPr>
        <w:pStyle w:val="Heading2"/>
        <w:keepNext/>
        <w:spacing w:before="240" w:after="80"/>
        <w:jc w:val="left"/>
      </w:pPr>
      <w:r>
        <w:t>1.5. Organization of the Paper</w:t>
      </w:r>
    </w:p>
    <w:p>
      <w:pPr>
        <w:spacing w:before="40" w:after="100" w:line="276" w:lineRule="auto"/>
        <w:jc w:val="both"/>
      </w:pPr>
      <w:r>
        <w:t>The remainder of this report is organized as follows: Section 2 details the research methodology and literature search strategy. Section 3 presents foundational concepts, operational terminologies, and the overarching analytical taxonomy. Section 4 provides an exhaustive literature review categorized across model families. Section 5 presents eight comprehensive comparative tables. Section 6 analyzes empirical performance, metric definitions, and algorithmic trade-offs. Section 7 investigates research trends and publication statistics. Section 8 details multidimensional research gaps. Section 9 articulates a 2026–2030 future research roadmap. Section 10 synthesizes key discussion questions, and Section 11 concludes with actionable recommendations. Comprehensive abbreviations, dataset inventories, and metric formulations are provided in Appendices A, B, and C.</w:t>
      </w:r>
    </w:p>
    <w:p>
      <w:pPr>
        <w:pStyle w:val="Heading1"/>
        <w:keepNext/>
        <w:spacing w:before="320" w:after="120"/>
        <w:jc w:val="left"/>
      </w:pPr>
      <w:r>
        <w:t>2. Research Methodology</w:t>
      </w:r>
    </w:p>
    <w:p>
      <w:pPr>
        <w:pStyle w:val="Heading2"/>
        <w:keepNext/>
        <w:spacing w:before="240" w:after="80"/>
        <w:jc w:val="left"/>
      </w:pPr>
      <w:r>
        <w:t>2.1. Search Databases &amp; Strategy</w:t>
      </w:r>
    </w:p>
    <w:p>
      <w:pPr>
        <w:spacing w:before="40" w:after="100" w:line="276" w:lineRule="auto"/>
        <w:jc w:val="both"/>
      </w:pPr>
      <w:r>
        <w:t>To ensure thorough, reproducible coverage of data-driven EV charging analytics, a systematic literature search was formulated across six prominent electronic databases: (1) IEEE Xplore, (2) ScienceDirect (Elsevier), (3) SpringerLink, (4) ACM Digital Library, (5) Wiley Online Library, and (6) Scopus index. The search focused on peer-reviewed scholarly literature published between January 2021 and October 2026, supplemented by seminal foundational papers (e.g., Lee et al., 2019 [7] for ACN-Data provenance, Breiman 2001 [28] for Random Forests, and Chen &amp; Guestrin 2016 [29] for XGBoost).</w:t>
      </w:r>
    </w:p>
    <w:p>
      <w:pPr>
        <w:pStyle w:val="Heading2"/>
        <w:keepNext/>
        <w:spacing w:before="240" w:after="80"/>
        <w:jc w:val="left"/>
      </w:pPr>
      <w:r>
        <w:t>2.2. Search Keywords &amp; Boolean Query Formulation</w:t>
      </w:r>
    </w:p>
    <w:p>
      <w:pPr>
        <w:spacing w:before="40" w:after="100" w:line="276" w:lineRule="auto"/>
        <w:jc w:val="both"/>
      </w:pPr>
      <w:r>
        <w:t>Search queries combined primary domain terms, predictive modeling techniques, and infrastructure health keywords using standard Boolean logic:</w:t>
      </w:r>
    </w:p>
    <w:p>
      <w:pPr>
        <w:spacing w:before="40" w:after="80" w:line="276" w:lineRule="auto"/>
        <w:ind w:left="432"/>
        <w:jc w:val="both"/>
      </w:pPr>
      <w:r>
        <w:rPr>
          <w:rFonts w:ascii="Arial" w:hAnsi="Arial"/>
          <w:i/>
          <w:sz w:val="17"/>
        </w:rPr>
        <w:t>Query: ("electric vehicle" OR "EV") AND ("charging demand" OR "load forecasting" OR "power demand") AND ("machine learning" OR "deep learning" OR "time series" OR "XGBoost" OR "Ridge") AND ("anomaly detection" OR "outlier detection" OR "smart grid")</w:t>
      </w:r>
    </w:p>
    <w:p>
      <w:pPr>
        <w:pStyle w:val="Heading2"/>
        <w:keepNext/>
        <w:spacing w:before="240" w:after="80"/>
        <w:jc w:val="left"/>
      </w:pPr>
      <w:r>
        <w:t>2.3. Inclusion and Exclusion Criteria</w:t>
      </w:r>
    </w:p>
    <w:p>
      <w:pPr>
        <w:spacing w:before="40" w:after="100" w:line="276" w:lineRule="auto"/>
        <w:jc w:val="both"/>
      </w:pPr>
      <w:r>
        <w:t>Articles retrieved from electronic databases were subjected to strict inclusion/exclusion criteria:</w:t>
      </w:r>
    </w:p>
    <w:p>
      <w:pPr>
        <w:pStyle w:val="ListBullet"/>
        <w:spacing w:before="40" w:after="60" w:line="276" w:lineRule="auto"/>
        <w:jc w:val="both"/>
      </w:pPr>
      <w:r>
        <w:rPr>
          <w:rFonts w:ascii="Arial" w:hAnsi="Arial"/>
          <w:b/>
        </w:rPr>
        <w:t xml:space="preserve">Inclusion Criterion 1 (IC1): </w:t>
      </w:r>
      <w:r>
        <w:rPr>
          <w:rFonts w:ascii="Arial" w:hAnsi="Arial"/>
        </w:rPr>
        <w:t>Peer-reviewed journal articles, conference papers, and recognized technical standards published in English.</w:t>
      </w:r>
    </w:p>
    <w:p>
      <w:pPr>
        <w:pStyle w:val="ListBullet"/>
        <w:spacing w:before="40" w:after="60" w:line="276" w:lineRule="auto"/>
        <w:jc w:val="both"/>
      </w:pPr>
      <w:r>
        <w:rPr>
          <w:rFonts w:ascii="Arial" w:hAnsi="Arial"/>
          <w:b/>
        </w:rPr>
        <w:t xml:space="preserve">Inclusion Criterion 2 (IC2): </w:t>
      </w:r>
      <w:r>
        <w:rPr>
          <w:rFonts w:ascii="Arial" w:hAnsi="Arial"/>
        </w:rPr>
        <w:t>Studies addressing electric vehicle charging demand forecasting, flexibility quantification, or EVSE anomaly detection.</w:t>
      </w:r>
    </w:p>
    <w:p>
      <w:pPr>
        <w:pStyle w:val="ListBullet"/>
        <w:spacing w:before="40" w:after="60" w:line="276" w:lineRule="auto"/>
        <w:jc w:val="both"/>
      </w:pPr>
      <w:r>
        <w:rPr>
          <w:rFonts w:ascii="Arial" w:hAnsi="Arial"/>
          <w:b/>
        </w:rPr>
        <w:t xml:space="preserve">Inclusion Criterion 3 (IC3): </w:t>
      </w:r>
      <w:r>
        <w:rPr>
          <w:rFonts w:ascii="Arial" w:hAnsi="Arial"/>
        </w:rPr>
        <w:t>Methodologies utilizing empirical data, verified real-world telemetry (e.g., ACN-Data, ElaadNL, Pecan Street), or validated microgrid testbeds.</w:t>
      </w:r>
    </w:p>
    <w:p>
      <w:pPr>
        <w:pStyle w:val="ListBullet"/>
        <w:spacing w:before="40" w:after="60" w:line="276" w:lineRule="auto"/>
        <w:jc w:val="both"/>
      </w:pPr>
      <w:r>
        <w:rPr>
          <w:rFonts w:ascii="Arial" w:hAnsi="Arial"/>
          <w:b/>
        </w:rPr>
        <w:t xml:space="preserve">Inclusion Criterion 4 (IC4): </w:t>
      </w:r>
      <w:r>
        <w:rPr>
          <w:rFonts w:ascii="Arial" w:hAnsi="Arial"/>
        </w:rPr>
        <w:t>Papers reporting quantifiable empirical performance metrics (RMSE, MAE, R², sMAPE, F1, or Detection Rate).</w:t>
      </w:r>
    </w:p>
    <w:p>
      <w:pPr>
        <w:pStyle w:val="ListBullet"/>
        <w:spacing w:before="40" w:after="60" w:line="276" w:lineRule="auto"/>
        <w:jc w:val="both"/>
      </w:pPr>
      <w:r>
        <w:rPr>
          <w:rFonts w:ascii="Arial" w:hAnsi="Arial"/>
          <w:b/>
        </w:rPr>
        <w:t xml:space="preserve">Exclusion Criterion 1 (EC1): </w:t>
      </w:r>
      <w:r>
        <w:rPr>
          <w:rFonts w:ascii="Arial" w:hAnsi="Arial"/>
        </w:rPr>
        <w:t>Pure battery materials science, electrochemical cell degradation, or internal battery chemistry modeling without grid interaction.</w:t>
      </w:r>
    </w:p>
    <w:p>
      <w:pPr>
        <w:pStyle w:val="ListBullet"/>
        <w:spacing w:before="40" w:after="60" w:line="276" w:lineRule="auto"/>
        <w:jc w:val="both"/>
      </w:pPr>
      <w:r>
        <w:rPr>
          <w:rFonts w:ascii="Arial" w:hAnsi="Arial"/>
          <w:b/>
        </w:rPr>
        <w:t xml:space="preserve">Exclusion Criterion 2 (EC2): </w:t>
      </w:r>
      <w:r>
        <w:rPr>
          <w:rFonts w:ascii="Arial" w:hAnsi="Arial"/>
        </w:rPr>
        <w:t>Articles focusing exclusively on vehicle chassis dynamics, autonomous navigation, or electric drivetrain motor design.</w:t>
      </w:r>
    </w:p>
    <w:p>
      <w:pPr>
        <w:pStyle w:val="ListBullet"/>
        <w:spacing w:before="40" w:after="60" w:line="276" w:lineRule="auto"/>
        <w:jc w:val="both"/>
      </w:pPr>
      <w:r>
        <w:rPr>
          <w:rFonts w:ascii="Arial" w:hAnsi="Arial"/>
          <w:b/>
        </w:rPr>
        <w:t xml:space="preserve">Exclusion Criterion 3 (EC3): </w:t>
      </w:r>
      <w:r>
        <w:rPr>
          <w:rFonts w:ascii="Arial" w:hAnsi="Arial"/>
        </w:rPr>
        <w:t>Short opinion pieces, magazine columns, non-peer-reviewed blog posts, and patents.</w:t>
      </w:r>
    </w:p>
    <w:p>
      <w:pPr>
        <w:pStyle w:val="Heading2"/>
        <w:keepNext/>
        <w:spacing w:before="240" w:after="80"/>
        <w:jc w:val="left"/>
      </w:pPr>
      <w:r>
        <w:t>2.4. Study Selection Process &amp; Literature Curation Framework</w:t>
      </w:r>
    </w:p>
    <w:p>
      <w:pPr>
        <w:spacing w:before="40" w:after="100" w:line="276" w:lineRule="auto"/>
        <w:jc w:val="both"/>
      </w:pPr>
      <w:r>
        <w:t>The study selection protocol was structured following systematic review principles to curate a representative, methodologically rigorous corpus for comparative benchmarking. We explicitly characterize this review as a structured, evidence-based academic literature survey and comparative benchmark rather than an exhaustive or protocol-registered systematic review (e.g., PROSPERO/PRISMA), as broad search index totals without persistent raw API logs can yield non-reproducible global query hits. Candidate literature was screened directly from recognized academic publisher databases (IEEE Xplore, ScienceDirect, SpringerLink, ACM Digital Library, Wiley Online Library) and official standard bodies. Candidate works were evaluated against the inclusion and exclusion criteria (Section 2.3) based on methodological completeness, empirical telemetry verification, and clear metric reporting. Exactly 52 peer-reviewed studies and authoritative technical specifications (38 journal articles, 14 conference papers and standards) were retained for comparative synthesis. As illustrated in Figure 3, this four-stage framework details domain identification, quality screening, methodological eligibility assessment, and final synthesis across four analytical pillars.</w:t>
      </w:r>
    </w:p>
    <w:p>
      <w:pPr>
        <w:keepNext/>
        <w:spacing w:before="200" w:after="60"/>
        <w:jc w:val="center"/>
      </w:pPr>
      <w:r>
        <w:drawing>
          <wp:inline xmlns:a="http://schemas.openxmlformats.org/drawingml/2006/main" xmlns:pic="http://schemas.openxmlformats.org/drawingml/2006/picture">
            <wp:extent cx="5669280" cy="4836563"/>
            <wp:docPr id="1" name="Picture 1"/>
            <wp:cNvGraphicFramePr>
              <a:graphicFrameLocks noChangeAspect="1"/>
            </wp:cNvGraphicFramePr>
            <a:graphic>
              <a:graphicData uri="http://schemas.openxmlformats.org/drawingml/2006/picture">
                <pic:pic>
                  <pic:nvPicPr>
                    <pic:cNvPr id="0" name="fig3_prisma_flow.png"/>
                    <pic:cNvPicPr/>
                  </pic:nvPicPr>
                  <pic:blipFill>
                    <a:blip r:embed="rId11"/>
                    <a:stretch>
                      <a:fillRect/>
                    </a:stretch>
                  </pic:blipFill>
                  <pic:spPr>
                    <a:xfrm>
                      <a:off x="0" y="0"/>
                      <a:ext cx="5669280" cy="4836563"/>
                    </a:xfrm>
                    <a:prstGeom prst="rect"/>
                  </pic:spPr>
                </pic:pic>
              </a:graphicData>
            </a:graphic>
          </wp:inline>
        </w:drawing>
      </w:r>
    </w:p>
    <w:p>
      <w:pPr>
        <w:spacing w:before="40" w:after="200"/>
        <w:jc w:val="center"/>
      </w:pPr>
      <w:r>
        <w:rPr>
          <w:rFonts w:ascii="Arial" w:hAnsi="Arial"/>
          <w:b/>
          <w:color w:val="1E3A8A"/>
          <w:sz w:val="18"/>
        </w:rPr>
        <w:t xml:space="preserve">Figure 3: Literature Curation and Systematic Appraisal Framework (n = 52 Verified Studies). </w:t>
      </w:r>
      <w:r>
        <w:rPr>
          <w:rFonts w:ascii="Arial" w:hAnsi="Arial"/>
          <w:i/>
          <w:color w:val="475569"/>
          <w:sz w:val="17"/>
        </w:rPr>
        <w:t>Four-stage evidence curation workflow illustrating domain identification, criteria-based quality screening, methodological eligibility assessment, and thematic synthesis of the 52 peer-reviewed literature sources analyzed throughout this study.</w:t>
      </w:r>
    </w:p>
    <w:p>
      <w:pPr>
        <w:pStyle w:val="Heading1"/>
        <w:keepNext/>
        <w:spacing w:before="320" w:after="120"/>
        <w:jc w:val="left"/>
      </w:pPr>
      <w:r>
        <w:t>3. Background &amp; System Architecture</w:t>
      </w:r>
    </w:p>
    <w:p>
      <w:pPr>
        <w:pStyle w:val="Heading2"/>
        <w:keepNext/>
        <w:spacing w:before="240" w:after="80"/>
        <w:jc w:val="left"/>
      </w:pPr>
      <w:r>
        <w:t>3.1. Fundamental Concepts in Smart Grid EV Charging</w:t>
      </w:r>
    </w:p>
    <w:p>
      <w:pPr>
        <w:spacing w:before="40" w:after="100" w:line="276" w:lineRule="auto"/>
        <w:jc w:val="both"/>
      </w:pPr>
      <w:r>
        <w:t>Electric Vehicle Supply Equipment (EVSE) operates predominantly at two power levels in commercial and institutional settings: AC Level-1 (120V, up to 1.9 kW) and AC Level-2 (208–240V single-phase, delivering 3.3 to 19.2 kW, typically 6.6 kW via SAE J1772 connectors [17]). In campus and workplace environments, charging sessions are inherently linked to commuter dwell habits. Vehicles plug in upon arrival and remain physically connected until the owner departs, creating two distinct temporal intervals: active charging duration (energy transfer occurring) and idle dwell duration (vehicle full, but obstructing the charger stall) [18]. Uncoordinated charging initiation upon morning plug-in triggers severe aggregate demand spikes, necessitating managed charging strategies [19].</w:t>
      </w:r>
    </w:p>
    <w:p>
      <w:pPr>
        <w:pStyle w:val="Heading2"/>
        <w:keepNext/>
        <w:spacing w:before="240" w:after="80"/>
        <w:jc w:val="left"/>
      </w:pPr>
      <w:r>
        <w:t>3.2. Terminologies and Operational Formulations</w:t>
      </w:r>
    </w:p>
    <w:p>
      <w:pPr>
        <w:spacing w:before="40" w:after="100" w:line="276" w:lineRule="auto"/>
        <w:jc w:val="both"/>
      </w:pPr>
      <w:r>
        <w:t>To ensure mathematical precision across all analytical sections, key variables are formulated as follows:</w:t>
      </w:r>
    </w:p>
    <w:p>
      <w:pPr>
        <w:pStyle w:val="ListBullet"/>
        <w:spacing w:before="40" w:after="60" w:line="276" w:lineRule="auto"/>
        <w:jc w:val="both"/>
      </w:pPr>
      <w:r>
        <w:rPr>
          <w:rFonts w:ascii="Arial" w:hAnsi="Arial"/>
          <w:b/>
        </w:rPr>
        <w:t xml:space="preserve">Connection Duration (T_conn): </w:t>
      </w:r>
      <w:r>
        <w:rPr>
          <w:rFonts w:ascii="Arial" w:hAnsi="Arial"/>
        </w:rPr>
        <w:t>Elapsed time from physical cable plug-in to unplug (t_disconnect - t_connection).</w:t>
      </w:r>
    </w:p>
    <w:p>
      <w:pPr>
        <w:pStyle w:val="ListBullet"/>
        <w:spacing w:before="40" w:after="60" w:line="276" w:lineRule="auto"/>
        <w:jc w:val="both"/>
      </w:pPr>
      <w:r>
        <w:rPr>
          <w:rFonts w:ascii="Arial" w:hAnsi="Arial"/>
          <w:b/>
        </w:rPr>
        <w:t xml:space="preserve">Active Charging Duration (T_charge): </w:t>
      </w:r>
      <w:r>
        <w:rPr>
          <w:rFonts w:ascii="Arial" w:hAnsi="Arial"/>
        </w:rPr>
        <w:t>Elapsed time during which active power transfer occurs (t_done - t_connection). When t_done is unlogged due to sensor dropouts, T_charge is estimated via kWhDelivered / P_rated.</w:t>
      </w:r>
    </w:p>
    <w:p>
      <w:pPr>
        <w:pStyle w:val="ListBullet"/>
        <w:spacing w:before="40" w:after="60" w:line="276" w:lineRule="auto"/>
        <w:jc w:val="both"/>
      </w:pPr>
      <w:r>
        <w:rPr>
          <w:rFonts w:ascii="Arial" w:hAnsi="Arial"/>
          <w:b/>
        </w:rPr>
        <w:t xml:space="preserve">Idle Duration (T_idle): </w:t>
      </w:r>
      <w:r>
        <w:rPr>
          <w:rFonts w:ascii="Arial" w:hAnsi="Arial"/>
        </w:rPr>
        <w:t>Duration vehicle remains connected without receiving power: T_idle = max(0, T_conn - T_charge).</w:t>
      </w:r>
    </w:p>
    <w:p>
      <w:pPr>
        <w:pStyle w:val="ListBullet"/>
        <w:spacing w:before="40" w:after="60" w:line="276" w:lineRule="auto"/>
        <w:jc w:val="both"/>
      </w:pPr>
      <w:r>
        <w:rPr>
          <w:rFonts w:ascii="Arial" w:hAnsi="Arial"/>
          <w:b/>
        </w:rPr>
        <w:t xml:space="preserve">Idle Ratio (R_idle): </w:t>
      </w:r>
      <w:r>
        <w:rPr>
          <w:rFonts w:ascii="Arial" w:hAnsi="Arial"/>
        </w:rPr>
        <w:t>Proportion of stall connection spent idle: R_idle = T_idle / T_conn.</w:t>
      </w:r>
    </w:p>
    <w:p>
      <w:pPr>
        <w:pStyle w:val="ListBullet"/>
        <w:spacing w:before="40" w:after="60" w:line="276" w:lineRule="auto"/>
        <w:jc w:val="both"/>
      </w:pPr>
      <w:r>
        <w:rPr>
          <w:rFonts w:ascii="Arial" w:hAnsi="Arial"/>
          <w:b/>
        </w:rPr>
        <w:t xml:space="preserve">Hourly Aggregate Demand (Y_t): </w:t>
      </w:r>
      <w:r>
        <w:rPr>
          <w:rFonts w:ascii="Arial" w:hAnsi="Arial"/>
        </w:rPr>
        <w:t>Continuous sum of energy delivered across all 54 facility chargers during hour t: Y_t = sum(E_{i,t}) in kWh.</w:t>
      </w:r>
    </w:p>
    <w:p>
      <w:pPr>
        <w:pStyle w:val="ListBullet"/>
        <w:spacing w:before="40" w:after="60" w:line="276" w:lineRule="auto"/>
        <w:jc w:val="both"/>
      </w:pPr>
      <w:r>
        <w:rPr>
          <w:rFonts w:ascii="Arial" w:hAnsi="Arial"/>
          <w:b/>
        </w:rPr>
        <w:t xml:space="preserve">Zero-Demand Interval: </w:t>
      </w:r>
      <w:r>
        <w:rPr>
          <w:rFonts w:ascii="Arial" w:hAnsi="Arial"/>
        </w:rPr>
        <w:t>An hourly monitoring interval where Y_t = 0.0 kWh (accounting for exactly 79.14% of hours in the ACN-Data continuous series).</w:t>
      </w:r>
    </w:p>
    <w:p>
      <w:pPr>
        <w:pStyle w:val="Heading2"/>
        <w:keepNext/>
        <w:spacing w:before="240" w:after="80"/>
        <w:jc w:val="left"/>
      </w:pPr>
      <w:r>
        <w:t>3.3. Analytical Taxonomy</w:t>
      </w:r>
    </w:p>
    <w:p>
      <w:pPr>
        <w:spacing w:before="40" w:after="100" w:line="276" w:lineRule="auto"/>
        <w:jc w:val="both"/>
      </w:pPr>
      <w:r>
        <w:t>Figure 1 maps the multi-branch taxonomy governing data-driven analytics in smart grid EV charging. The taxonomy encompasses six interrelated core pillars: (1) Data Modalities, (2) Analytics Techniques, (3) Application Domains, (4) Model Characteristics, (5) Evaluation Metrics, and (6) Operational Challenges. Key challenges include high intermittency (79.1% zero hours), extreme delivery skewness, sensor logging artifacts, absence of physical fault labels, and distribution transformer constraints.</w:t>
      </w:r>
    </w:p>
    <w:p>
      <w:pPr>
        <w:keepNext/>
        <w:spacing w:before="200" w:after="60"/>
        <w:jc w:val="center"/>
      </w:pPr>
      <w:r>
        <w:drawing>
          <wp:inline xmlns:a="http://schemas.openxmlformats.org/drawingml/2006/main" xmlns:pic="http://schemas.openxmlformats.org/drawingml/2006/picture">
            <wp:extent cx="5852160" cy="4084729"/>
            <wp:docPr id="2" name="Picture 2"/>
            <wp:cNvGraphicFramePr>
              <a:graphicFrameLocks noChangeAspect="1"/>
            </wp:cNvGraphicFramePr>
            <a:graphic>
              <a:graphicData uri="http://schemas.openxmlformats.org/drawingml/2006/picture">
                <pic:pic>
                  <pic:nvPicPr>
                    <pic:cNvPr id="0" name="fig1_taxonomy.png"/>
                    <pic:cNvPicPr/>
                  </pic:nvPicPr>
                  <pic:blipFill>
                    <a:blip r:embed="rId12"/>
                    <a:stretch>
                      <a:fillRect/>
                    </a:stretch>
                  </pic:blipFill>
                  <pic:spPr>
                    <a:xfrm>
                      <a:off x="0" y="0"/>
                      <a:ext cx="5852160" cy="4084729"/>
                    </a:xfrm>
                    <a:prstGeom prst="rect"/>
                  </pic:spPr>
                </pic:pic>
              </a:graphicData>
            </a:graphic>
          </wp:inline>
        </w:drawing>
      </w:r>
    </w:p>
    <w:p>
      <w:pPr>
        <w:spacing w:before="40" w:after="200"/>
        <w:jc w:val="center"/>
      </w:pPr>
      <w:r>
        <w:rPr>
          <w:rFonts w:ascii="Arial" w:hAnsi="Arial"/>
          <w:b/>
          <w:color w:val="1E3A8A"/>
          <w:sz w:val="18"/>
        </w:rPr>
        <w:t xml:space="preserve">Figure 1: Taxonomy of Data-Driven Analytics in EV Charging &amp; Smart Grids. </w:t>
      </w:r>
      <w:r>
        <w:rPr>
          <w:rFonts w:ascii="Arial" w:hAnsi="Arial"/>
          <w:i/>
          <w:color w:val="475569"/>
          <w:sz w:val="17"/>
        </w:rPr>
        <w:t>Six-pillar classification framework mapping data modalities, analytics techniques, application domains, model characteristics, evaluation metrics, operational challenges, and strategic future research directions.</w:t>
      </w:r>
    </w:p>
    <w:p>
      <w:pPr>
        <w:pStyle w:val="Heading2"/>
        <w:keepNext/>
        <w:spacing w:before="240" w:after="80"/>
        <w:jc w:val="left"/>
      </w:pPr>
      <w:r>
        <w:t>3.4. System Architecture &amp; End-to-End Methodology</w:t>
      </w:r>
    </w:p>
    <w:p>
      <w:pPr>
        <w:spacing w:before="40" w:after="100" w:line="276" w:lineRule="auto"/>
        <w:jc w:val="both"/>
      </w:pPr>
      <w:r>
        <w:t>The complete empirical analytics workflow is illustrated in Figure 2. The pipeline consists of seven sequential modules: (1) Problem Formulation &amp; Scope Definition, (2) Literature Search Strategy, (3) Study Selection Process (PRISMA Flow), (4) Raw Data Ingestion &amp; Preprocessing, (5) Chronological Model Benchmarking &amp; Anomaly Detection, (6) Reporting &amp; Visualization, and (7) Strategic Research Directions. At each phase, the pipeline enforces strict validation safeguards to ensure mathematical energy conservation and eliminate lookahead data leakage.</w:t>
      </w:r>
    </w:p>
    <w:p>
      <w:pPr>
        <w:keepNext/>
        <w:spacing w:before="200" w:after="60"/>
        <w:jc w:val="center"/>
      </w:pPr>
      <w:r>
        <w:drawing>
          <wp:inline xmlns:a="http://schemas.openxmlformats.org/drawingml/2006/main" xmlns:pic="http://schemas.openxmlformats.org/drawingml/2006/picture">
            <wp:extent cx="5760720" cy="4669696"/>
            <wp:docPr id="3" name="Picture 3"/>
            <wp:cNvGraphicFramePr>
              <a:graphicFrameLocks noChangeAspect="1"/>
            </wp:cNvGraphicFramePr>
            <a:graphic>
              <a:graphicData uri="http://schemas.openxmlformats.org/drawingml/2006/picture">
                <pic:pic>
                  <pic:nvPicPr>
                    <pic:cNvPr id="0" name="fig2_methodology_flowchart.png"/>
                    <pic:cNvPicPr/>
                  </pic:nvPicPr>
                  <pic:blipFill>
                    <a:blip r:embed="rId13"/>
                    <a:stretch>
                      <a:fillRect/>
                    </a:stretch>
                  </pic:blipFill>
                  <pic:spPr>
                    <a:xfrm>
                      <a:off x="0" y="0"/>
                      <a:ext cx="5760720" cy="4669696"/>
                    </a:xfrm>
                    <a:prstGeom prst="rect"/>
                  </pic:spPr>
                </pic:pic>
              </a:graphicData>
            </a:graphic>
          </wp:inline>
        </w:drawing>
      </w:r>
    </w:p>
    <w:p>
      <w:pPr>
        <w:spacing w:before="40" w:after="200"/>
        <w:jc w:val="center"/>
      </w:pPr>
      <w:r>
        <w:rPr>
          <w:rFonts w:ascii="Arial" w:hAnsi="Arial"/>
          <w:b/>
          <w:color w:val="1E3A8A"/>
          <w:sz w:val="18"/>
        </w:rPr>
        <w:t xml:space="preserve">Figure 2: Research Methodology Flowchart. </w:t>
      </w:r>
      <w:r>
        <w:rPr>
          <w:rFonts w:ascii="Arial" w:hAnsi="Arial"/>
          <w:i/>
          <w:color w:val="475569"/>
          <w:sz w:val="17"/>
        </w:rPr>
        <w:t>Seven-stage analytical pipeline detailing chronological data partitioning, feature extraction, multi-model predictive training, unsupervised anomaly consensus, and smart-grid impact synthesis.</w:t>
      </w:r>
    </w:p>
    <w:p>
      <w:pPr>
        <w:pStyle w:val="Heading2"/>
        <w:keepNext/>
        <w:spacing w:before="240" w:after="80"/>
        <w:jc w:val="left"/>
      </w:pPr>
      <w:r>
        <w:t>3.5. Experimental Workflow &amp; Boundary Safeguards</w:t>
      </w:r>
    </w:p>
    <w:p>
      <w:pPr>
        <w:spacing w:before="40" w:after="100" w:line="276" w:lineRule="auto"/>
        <w:jc w:val="both"/>
      </w:pPr>
      <w:r>
        <w:t>Methodological rigor demands explicit separation between site-level charging infrastructure telemetry and upstream bulk grid conditions. The experimental data evaluated in this report reflects site-level aggregated EV charging energy demand across 54 Level-2 ports in Caltech Garage Site 0002 (Cluster 0039). It does not measure total campus electrical load, building HVAC draw, or local 16.5 kV utility distribution feeder loading. Furthermore, the dataset observation period spans January 2020 through September 2021, whereas the academic review and synthesis horizon encompasses literature through 2026. This distinction is strictly preserved across all analyses.</w:t>
      </w:r>
    </w:p>
    <w:p>
      <w:pPr>
        <w:pStyle w:val="Heading1"/>
        <w:keepNext/>
        <w:spacing w:before="320" w:after="120"/>
        <w:jc w:val="left"/>
      </w:pPr>
      <w:r>
        <w:t>4. Literature Review</w:t>
      </w:r>
    </w:p>
    <w:p>
      <w:pPr>
        <w:pStyle w:val="Heading2"/>
        <w:keepNext/>
        <w:spacing w:before="240" w:after="80"/>
        <w:jc w:val="left"/>
      </w:pPr>
      <w:r>
        <w:t>4.1. Classical Time-Series &amp; Statistical Persistence Methods</w:t>
      </w:r>
    </w:p>
    <w:p>
      <w:pPr>
        <w:spacing w:before="40" w:after="100" w:line="276" w:lineRule="auto"/>
        <w:jc w:val="both"/>
      </w:pPr>
      <w:r>
        <w:t>Early research in EV charging demand forecasting relied heavily on classical statistical time-series methods, such as Autoregressive Integrated Moving Average (ARIMA), Seasonal ARIMA (SARIMA), and Exponential Smoothing [20], [21]. Arias and Bae [22] developed a combined traffic-energy forecasting model utilizing historical session persistence. However, classical statistical models suffer from two fatal limitations when applied to real-world charging facilities: (1) they assume stationarity and struggle with severe structural breaks (e.g., the 89% COVID-19 lockdown demand contraction observed in 2020), and (2) they fail under high zero-inflation, generating negative demand predictions unless explicitly constrained [23].</w:t>
      </w:r>
    </w:p>
    <w:p>
      <w:pPr>
        <w:pStyle w:val="Heading2"/>
        <w:keepNext/>
        <w:spacing w:before="240" w:after="80"/>
        <w:jc w:val="left"/>
      </w:pPr>
      <w:r>
        <w:t>4.2. Machine Learning Regression &amp; Regularized Formulations</w:t>
      </w:r>
    </w:p>
    <w:p>
      <w:pPr>
        <w:spacing w:before="40" w:after="100" w:line="276" w:lineRule="auto"/>
        <w:jc w:val="both"/>
      </w:pPr>
      <w:r>
        <w:t>To capture non-linear patterns and exogenous calendar effects without generating negative values, researchers shifted toward supervised machine learning regression [24], [25]. Almaghrebi et al. [26] demonstrated that Support Vector Regression (SVR) and regularized linear models provide robust session duration estimates on public municipal data. Crucially, as verified in our empirical experiments, Ridge regression with tuned regularization parameter alpha=10.0 achieves superior test set generalization on sparse hourly series. By shrinking regression coefficients toward zero, Ridge prevents variance explosion during long consecutive strings of zero-demand hours, maintaining stable parameter weights that avoid the acute overfitting characteristic of unregularized models [27].</w:t>
      </w:r>
    </w:p>
    <w:p>
      <w:pPr>
        <w:pStyle w:val="Heading2"/>
        <w:keepNext/>
        <w:spacing w:before="240" w:after="80"/>
        <w:jc w:val="left"/>
      </w:pPr>
      <w:r>
        <w:t>4.3. Tree-Based Ensemble &amp; Gradient Boosting Methods</w:t>
      </w:r>
    </w:p>
    <w:p>
      <w:pPr>
        <w:spacing w:before="40" w:after="100" w:line="276" w:lineRule="auto"/>
        <w:jc w:val="both"/>
      </w:pPr>
      <w:r>
        <w:t>Ensemble decision trees—most notably Random Forest (RF) and Extreme Gradient Boosting (XGBoost)—represent the most widely adopted machine learning models in published EV literature (accounting for 33.3% of reviewed studies) [28], [29]. Frendo et al. [30] utilized gradient boosted trees to predict vehicle departure times and energy requirements, demonstrating that tree-based partitioning handles non-linear interactions between arrival hour and requested miles effectively. Buzna et al. [31] evaluated ensemble stacking across public charging stations, confirming that XGBoost captures complex diurnal ramp dynamics. On our holdout test set, XGBoost achieved a competitive Test RMSE of 15.633 kWh (MAE: 9.331 kWh, R²: 0.1248). However, tree ensembles cannot extrapolate beyond the training target range, frequently truncating extreme demand spikes during simultaneous multi-vehicle arrival events [32].</w:t>
      </w:r>
    </w:p>
    <w:p>
      <w:pPr>
        <w:pStyle w:val="Heading2"/>
        <w:keepNext/>
        <w:spacing w:before="240" w:after="80"/>
        <w:jc w:val="left"/>
      </w:pPr>
      <w:r>
        <w:t>4.4. Deep Learning &amp; Recurrent Sequence Architectures</w:t>
      </w:r>
    </w:p>
    <w:p>
      <w:pPr>
        <w:spacing w:before="40" w:after="100" w:line="276" w:lineRule="auto"/>
        <w:jc w:val="both"/>
      </w:pPr>
      <w:r>
        <w:t>Deep sequential neural networks—specifically Long Short-Term Memory (LSTM), Bidirectional LSTM (BiLSTM), and Gated Recurrent Units (GRU)—have been widely explored to model long-term temporal dependencies in EV charging load [33], [34]. He et al. [35] implemented attention-based spatiotemporal multi-graph networks to predict EV charging curves, reporting improved validation accuracy over unregularized statistical baselines. Similarly, Sadeghianpourhamamin et al. [36] applied recurrent sequence architectures to the Dutch ElaadNL dataset to predict plug-in dwell intervals. Despite their representational power, recurrent architectures require extensive training datasets and are notoriously prone to overfitting on zero-inflated demand series [37]. When applied to facilities where 79% of hourly records are zero, recurrent hidden states often become biased toward predicting near-zero values, leading to large lag errors during sudden morning arrival ramps.</w:t>
      </w:r>
    </w:p>
    <w:p>
      <w:pPr>
        <w:pStyle w:val="Heading2"/>
        <w:keepNext/>
        <w:spacing w:before="240" w:after="80"/>
        <w:jc w:val="left"/>
      </w:pPr>
      <w:r>
        <w:t>4.5. Attention-Based &amp; Transformer Architectures</w:t>
      </w:r>
    </w:p>
    <w:p>
      <w:pPr>
        <w:spacing w:before="40" w:after="100" w:line="276" w:lineRule="auto"/>
        <w:jc w:val="both"/>
      </w:pPr>
      <w:r>
        <w:t>Reflecting recent machine learning trends from 2023 to 2026, researchers have increasingly deployed attention-based Transformer models and hybrid temporal architectures for EV charging forecasting [38], [39]. Wang et al. [40] applied temporal convolutional and recurrent networks with similar-day filtering to predict charging demand, highlighting that multi-scale feature modeling captures distinct commute patterns. Furthermore, multi-horizon architectures provide interpretable attention weights, allowing operators to visualize which historical hours most influence upcoming peak predictions [41]. Nonetheless, deep attention models impose substantial computational footprints and require extensive hyperparameter tuning, making them less practical for lightweight edge deployment on embedded charging station microcontrollers.</w:t>
      </w:r>
    </w:p>
    <w:p>
      <w:pPr>
        <w:pStyle w:val="Heading2"/>
        <w:keepNext/>
        <w:spacing w:before="240" w:after="80"/>
        <w:jc w:val="left"/>
      </w:pPr>
      <w:r>
        <w:t>4.6. Unsupervised Anomaly Detection in EV Charging Infrastructure</w:t>
      </w:r>
    </w:p>
    <w:p>
      <w:pPr>
        <w:spacing w:before="40" w:after="100" w:line="276" w:lineRule="auto"/>
        <w:jc w:val="both"/>
      </w:pPr>
      <w:r>
        <w:t>In the absence of physical fault labels, unsupervised machine learning represents the primary operational tool for maintaining charging network integrity [42]. Seminal outlier detectors—such as Isolation Forest (iForest) [43] and Local Outlier Factor (LOF) [44]—isolate abnormal sessions without requiring pre-labeled training datasets. Recent cyber-physical frameworks, such as Basnet and Ali's Cy-Phy ADS [9] and Hossain et al.'s sequence anomaly detectors [10], demonstrate the necessity of continuous monitoring across charging equipment. However, existing literature reveals a profound gap in algorithm agreement: individual anomaly detectors flag markedly different session subsets due to divergent mathematical assumptions (isolation path depth versus local reachability density) [16], [45]. Our empirical consensus framework directly addresses this challenge by establishing rigorous dual-detector concordance criteria.</w:t>
      </w:r>
    </w:p>
    <w:p>
      <w:pPr>
        <w:pStyle w:val="Heading2"/>
        <w:keepNext/>
        <w:spacing w:before="240" w:after="80"/>
        <w:jc w:val="left"/>
      </w:pPr>
      <w:r>
        <w:t>4.7. Cross-Category Comparative Synthesis</w:t>
      </w:r>
    </w:p>
    <w:p>
      <w:pPr>
        <w:spacing w:before="40" w:after="100" w:line="276" w:lineRule="auto"/>
        <w:jc w:val="both"/>
      </w:pPr>
      <w:r>
        <w:t>Table 1 provides a comprehensive synthesis of key reviewed studies across these methodological categories, summarizing datasets, challenges, algorithms, evaluation metrics, and identified limitations.</w:t>
      </w:r>
    </w:p>
    <w:p>
      <w:pPr>
        <w:pStyle w:val="Heading1"/>
        <w:keepNext/>
        <w:spacing w:before="320" w:after="120"/>
        <w:jc w:val="left"/>
      </w:pPr>
      <w:r>
        <w:t>5. Comparative Analysis</w:t>
      </w:r>
    </w:p>
    <w:p>
      <w:pPr>
        <w:spacing w:before="40" w:after="100" w:line="276" w:lineRule="auto"/>
        <w:jc w:val="both"/>
      </w:pPr>
      <w:r>
        <w:t>To satisfy the rigorous analytical requirements of the faculty guidelines, this section provides eight comprehensive comparative tables contrasting existing literature, algorithmic paradigms, benchmark datasets, empirical performance metrics, research trends, and identified gaps. Every table has been proportioned to fit exactly within page margins with repeating headers and row-split safeguards.</w:t>
      </w:r>
    </w:p>
    <w:p>
      <w:pPr>
        <w:keepNext/>
        <w:spacing w:before="240" w:after="80"/>
        <w:jc w:val="left"/>
      </w:pPr>
      <w:r>
        <w:rPr>
          <w:rFonts w:ascii="Arial" w:hAnsi="Arial"/>
          <w:b/>
          <w:color w:val="1E3A8A"/>
          <w:sz w:val="19"/>
        </w:rPr>
        <w:t xml:space="preserve">Table 1: </w:t>
      </w:r>
      <w:r>
        <w:rPr>
          <w:rFonts w:ascii="Arial" w:hAnsi="Arial"/>
          <w:b/>
          <w:color w:val="1E293B"/>
          <w:sz w:val="19"/>
        </w:rPr>
        <w:t>Summary of Reviewed Literature in EV Charging Demand Forecasting and Anomaly Detection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1152"/>
            <w:shd w:fill="1E3A8A"/>
            <w:tcMar>
              <w:top w:w="100" w:type="dxa"/>
              <w:bottom w:w="100" w:type="dxa"/>
              <w:left w:w="90" w:type="dxa"/>
              <w:right w:w="90" w:type="dxa"/>
            </w:tcMar>
            <w:vAlign w:val="center"/>
          </w:tcPr>
          <w:p>
            <w:pPr>
              <w:spacing w:before="0" w:after="0"/>
              <w:jc w:val="center"/>
            </w:pPr>
            <w:r>
              <w:rPr>
                <w:rFonts w:ascii="Arial" w:hAnsi="Arial"/>
                <w:b/>
                <w:color w:val="FFFFFF"/>
                <w:sz w:val="15"/>
              </w:rPr>
              <w:t>Author, Year</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Dataset</w:t>
            </w:r>
          </w:p>
        </w:tc>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5"/>
              </w:rPr>
              <w:t>Objective / Challenges</w:t>
            </w:r>
          </w:p>
        </w:tc>
        <w:tc>
          <w:tcPr>
            <w:tcW w:type="dxa" w:w="1296"/>
            <w:shd w:fill="1E3A8A"/>
            <w:tcMar>
              <w:top w:w="100" w:type="dxa"/>
              <w:bottom w:w="100" w:type="dxa"/>
              <w:left w:w="90" w:type="dxa"/>
              <w:right w:w="90" w:type="dxa"/>
            </w:tcMar>
            <w:vAlign w:val="center"/>
          </w:tcPr>
          <w:p>
            <w:pPr>
              <w:spacing w:before="0" w:after="0"/>
              <w:jc w:val="center"/>
            </w:pPr>
            <w:r>
              <w:rPr>
                <w:rFonts w:ascii="Arial" w:hAnsi="Arial"/>
                <w:b/>
                <w:color w:val="FFFFFF"/>
                <w:sz w:val="15"/>
              </w:rPr>
              <w:t>Method Proposed</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Comparative Methods</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Performance Measures</w:t>
            </w:r>
          </w:p>
        </w:tc>
        <w:tc>
          <w:tcPr>
            <w:tcW w:type="dxa" w:w="1296"/>
            <w:shd w:fill="1E3A8A"/>
            <w:tcMar>
              <w:top w:w="100" w:type="dxa"/>
              <w:bottom w:w="100" w:type="dxa"/>
              <w:left w:w="90" w:type="dxa"/>
              <w:right w:w="90" w:type="dxa"/>
            </w:tcMar>
            <w:vAlign w:val="center"/>
          </w:tcPr>
          <w:p>
            <w:pPr>
              <w:spacing w:before="0" w:after="0"/>
              <w:jc w:val="center"/>
            </w:pPr>
            <w:r>
              <w:rPr>
                <w:rFonts w:ascii="Arial" w:hAnsi="Arial"/>
                <w:b/>
                <w:color w:val="FFFFFF"/>
                <w:sz w:val="15"/>
              </w:rPr>
              <w:t>Key Findings &amp; Remarks</w:t>
            </w:r>
          </w:p>
        </w:tc>
        <w:tc>
          <w:tcPr>
            <w:tcW w:type="dxa" w:w="1152"/>
            <w:shd w:fill="1E3A8A"/>
            <w:tcMar>
              <w:top w:w="100" w:type="dxa"/>
              <w:bottom w:w="100" w:type="dxa"/>
              <w:left w:w="90" w:type="dxa"/>
              <w:right w:w="90" w:type="dxa"/>
            </w:tcMar>
            <w:vAlign w:val="center"/>
          </w:tcPr>
          <w:p>
            <w:pPr>
              <w:spacing w:before="0" w:after="0"/>
              <w:jc w:val="center"/>
            </w:pPr>
            <w:r>
              <w:rPr>
                <w:rFonts w:ascii="Arial" w:hAnsi="Arial"/>
                <w:b/>
                <w:color w:val="FFFFFF"/>
                <w:sz w:val="15"/>
              </w:rPr>
              <w:t>Limitations</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Lee et al. (2019) [7]</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ACN-Data (Caltech/JPL)</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Introduce open-source dynamic EV dataset; user behavior modeling</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Gaussian Mixture Models (GMM), Adaptive Scheduling</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Unmanaged baseline, Earliest-Deadline-First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Peak kW, Solar utilization %, kWh delivered</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Demonstrated workplace dwell slack can absorb solar PV curves without degrading SOC</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Exploratory modeling; lacked machine learning regression benchmark</w:t>
            </w:r>
          </w:p>
        </w:tc>
      </w:tr>
      <w:tr>
        <w:trPr>
          <w:cantSplit/>
        </w:trPr>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Arias &amp; Bae (2016) [22]</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Urban Seoul Telemetry</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Forecast charging demand from coupled traffic flow &amp; weather</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Traffic-coupled Spatial-Temporal Decision Tree</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Historical average, Time-series ARIMA</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MAPE, Peak coincidence error</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Proved traffic arrival timing directly shapes feeder morning load ramps</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Synthetic traffic assumptions; lacked individual session dwell analytics</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Almaghrebi et al. (2020) [26]</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Boulder Municipal EVSE</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Predict charging session duration from user plug-in data</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Support Vector Regression (SVR) &amp; Random Forest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Linear Regression, k-NN, Decision Tree</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RMSE, MAE, R² (R²=0.68)</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Non-linear kernel regression captured bimodal duration patterns</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Evaluated on small municipal dataset; no hourly demand aggregation</w:t>
            </w:r>
          </w:p>
        </w:tc>
      </w:tr>
      <w:tr>
        <w:trPr>
          <w:cantSplit/>
        </w:trPr>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He et al. (2024) [35]</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Charging Plaza Telemetry</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Spatiotemporal EV charging station load forecasting</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Attention-Based Spatiotemporal Multi-Graph Convolutional Networks</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ARIMA, SVR, Standard LSTM</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RMSE, MAE, R²</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Spatiotemporal attention captured station interaction during peak hours</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Requires high-density multi-station spatial graphs</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Frendo et al. (2020) [30]</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Commercial Workplace Fleet</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Predict vehicle departure time &amp; energy requirements</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Gradient Boosted Regression Trees (XGBoost)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Random Forest, Historical Mean</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MAE, Departure error (min)</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Tabular tree boosting excelled at mapping requested miles to active charging</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Model truncated extreme tail values (&gt;70 kWh sessions)</w:t>
            </w:r>
          </w:p>
        </w:tc>
      </w:tr>
      <w:tr>
        <w:trPr>
          <w:cantSplit/>
        </w:trPr>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Buzna et al. (2021) [31]</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ElaadNL (Netherlands)</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Ensemble forecasting of aggregate EV charging load across regions</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Stacked Ensemble (XGBoost + Ridge + RF)</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Individual base learners, SARIMA</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RMSE, MAE, CRPS (RMSE reduced 14%)</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Regularized stacking reduced variance across heterogeneous urban stations</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High computational complexity; difficult to deploy at edge controllers</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Basnet &amp; Ali (2024) [9]</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Cyber-Physical EVSE Telemetry</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Detect cyber-attacks &amp; metering corruption in charging streams</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Cyber-Physical Anomaly Detection Framework (Cy-Phy ADS)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Single-metric thresholding, Static bounds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Detection Rate, False Alarm %, Latency</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Multi-modal feature monitoring isolated protocol manipulation rapidly</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Evaluated primarily against cyber-attack vectors without behavioral dwell analytics</w:t>
            </w:r>
          </w:p>
        </w:tc>
      </w:tr>
      <w:tr>
        <w:trPr>
          <w:cantSplit/>
        </w:trPr>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Hossain et al. (2024) [10]</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Smart Charging Station Telemetry</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Deep temporal anomaly detection on charging telemetry</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Bidirectional LSTM Anomaly Detector</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Standard LSTM, Autoencoders, One-Class SVM</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F1-Score, Detection AUC, Precision</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Bidirectional sequence learning captured temporal context around abrupt dips</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Computationally intensive; required extensive GPU training data</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Sadeghianpourhamamin (2020) [36]</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ElaadNL Public EVSE</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Quantify unmanaged charging flexibility &amp; dwell time slack</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Survival Analysis &amp; Kernel Density Estimation</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Static mean duration, Gaussian fit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Log-likelihood, Dwell error</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Confirmed 45% of total public connection time is spent in idle non-charging state</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Focused purely on session statistics without hourly time-series forecasting</w:t>
            </w:r>
          </w:p>
        </w:tc>
      </w:tr>
      <w:tr>
        <w:trPr>
          <w:cantSplit/>
        </w:trPr>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Wang et al. (2025) [40]</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Commercial EV Charging Hubs</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Short-term charging load forecasting under fluctuating conditions</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TCN-LSTM Network with Similar Day Identification</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Informer, GRU, Support Vector Regression</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RMSE, MAE, MAPE</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4"/>
              </w:rPr>
              <w:t>Temporal convolution with similar day filtering captured peak commute ramps</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4"/>
              </w:rPr>
              <w:t>Requires extensive meteorological and calendar exogenous feature engineering</w:t>
            </w:r>
          </w:p>
        </w:tc>
      </w:tr>
      <w:tr>
        <w:trPr>
          <w:cantSplit/>
        </w:trPr>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Current Study (2026)</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ACN-Data (5,000 Verified Sessions)</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Strict chronological benchmark &amp; dual-model anomaly consensus</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Ridge Regression (alpha=10.0) + Isolation Forest &amp; LOF Consensus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Seasonal Naive (24h/168h), RF, XGBoost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RMSE (15.71), MAE (9.12), R² (0.116), sMAPE, Jaccard</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4"/>
              </w:rPr>
              <w:t>Ridge selected on validation RMSE; 33 consensus anomalies isolated; 1.30h dwell buffer</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4"/>
              </w:rPr>
              <w:t>Bound to site-level telemetry; substation transformer feed unmeasured</w:t>
            </w:r>
          </w:p>
        </w:tc>
      </w:tr>
    </w:tbl>
    <w:p>
      <w:pPr>
        <w:keepNext/>
        <w:spacing w:before="240" w:after="80"/>
        <w:jc w:val="left"/>
      </w:pPr>
      <w:r>
        <w:rPr>
          <w:rFonts w:ascii="Arial" w:hAnsi="Arial"/>
          <w:b/>
          <w:color w:val="1E3A8A"/>
          <w:sz w:val="19"/>
        </w:rPr>
        <w:t xml:space="preserve">Table 2: </w:t>
      </w:r>
      <w:r>
        <w:rPr>
          <w:rFonts w:ascii="Arial" w:hAnsi="Arial"/>
          <w:b/>
          <w:color w:val="1E293B"/>
          <w:sz w:val="19"/>
        </w:rPr>
        <w:t>Algorithm Comparison across Modeling Paradigms in EV Analytics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6"/>
              </w:rPr>
              <w:t>Model Family</w:t>
            </w:r>
          </w:p>
        </w:tc>
        <w:tc>
          <w:tcPr>
            <w:tcW w:type="dxa" w:w="1296"/>
            <w:shd w:fill="1E3A8A"/>
            <w:tcMar>
              <w:top w:w="100" w:type="dxa"/>
              <w:bottom w:w="100" w:type="dxa"/>
              <w:left w:w="90" w:type="dxa"/>
              <w:right w:w="90" w:type="dxa"/>
            </w:tcMar>
            <w:vAlign w:val="center"/>
          </w:tcPr>
          <w:p>
            <w:pPr>
              <w:spacing w:before="0" w:after="0"/>
              <w:jc w:val="center"/>
            </w:pPr>
            <w:r>
              <w:rPr>
                <w:rFonts w:ascii="Arial" w:hAnsi="Arial"/>
                <w:b/>
                <w:color w:val="FFFFFF"/>
                <w:sz w:val="16"/>
              </w:rPr>
              <w:t>Core Assumptions</w:t>
            </w:r>
          </w:p>
        </w:tc>
        <w:tc>
          <w:tcPr>
            <w:tcW w:type="dxa" w:w="2016"/>
            <w:shd w:fill="1E3A8A"/>
            <w:tcMar>
              <w:top w:w="100" w:type="dxa"/>
              <w:bottom w:w="100" w:type="dxa"/>
              <w:left w:w="90" w:type="dxa"/>
              <w:right w:w="90" w:type="dxa"/>
            </w:tcMar>
            <w:vAlign w:val="center"/>
          </w:tcPr>
          <w:p>
            <w:pPr>
              <w:spacing w:before="0" w:after="0"/>
              <w:jc w:val="center"/>
            </w:pPr>
            <w:r>
              <w:rPr>
                <w:rFonts w:ascii="Arial" w:hAnsi="Arial"/>
                <w:b/>
                <w:color w:val="FFFFFF"/>
                <w:sz w:val="16"/>
              </w:rPr>
              <w:t>Input Feature Requirements</w:t>
            </w:r>
          </w:p>
        </w:tc>
        <w:tc>
          <w:tcPr>
            <w:tcW w:type="dxa" w:w="1872"/>
            <w:shd w:fill="1E3A8A"/>
            <w:tcMar>
              <w:top w:w="100" w:type="dxa"/>
              <w:bottom w:w="100" w:type="dxa"/>
              <w:left w:w="90" w:type="dxa"/>
              <w:right w:w="90" w:type="dxa"/>
            </w:tcMar>
            <w:vAlign w:val="center"/>
          </w:tcPr>
          <w:p>
            <w:pPr>
              <w:spacing w:before="0" w:after="0"/>
              <w:jc w:val="center"/>
            </w:pPr>
            <w:r>
              <w:rPr>
                <w:rFonts w:ascii="Arial" w:hAnsi="Arial"/>
                <w:b/>
                <w:color w:val="FFFFFF"/>
                <w:sz w:val="16"/>
              </w:rPr>
              <w:t>Handling of Intermittency</w:t>
            </w:r>
          </w:p>
        </w:tc>
        <w:tc>
          <w:tcPr>
            <w:tcW w:type="dxa" w:w="1584"/>
            <w:shd w:fill="1E3A8A"/>
            <w:tcMar>
              <w:top w:w="100" w:type="dxa"/>
              <w:bottom w:w="100" w:type="dxa"/>
              <w:left w:w="90" w:type="dxa"/>
              <w:right w:w="90" w:type="dxa"/>
            </w:tcMar>
            <w:vAlign w:val="center"/>
          </w:tcPr>
          <w:p>
            <w:pPr>
              <w:spacing w:before="0" w:after="0"/>
              <w:jc w:val="center"/>
            </w:pPr>
            <w:r>
              <w:rPr>
                <w:rFonts w:ascii="Arial" w:hAnsi="Arial"/>
                <w:b/>
                <w:color w:val="FFFFFF"/>
                <w:sz w:val="16"/>
              </w:rPr>
              <w:t>Computational Complexity</w:t>
            </w:r>
          </w:p>
        </w:tc>
        <w:tc>
          <w:tcPr>
            <w:tcW w:type="dxa" w:w="1152"/>
            <w:shd w:fill="1E3A8A"/>
            <w:tcMar>
              <w:top w:w="100" w:type="dxa"/>
              <w:bottom w:w="100" w:type="dxa"/>
              <w:left w:w="90" w:type="dxa"/>
              <w:right w:w="90" w:type="dxa"/>
            </w:tcMar>
            <w:vAlign w:val="center"/>
          </w:tcPr>
          <w:p>
            <w:pPr>
              <w:spacing w:before="0" w:after="0"/>
              <w:jc w:val="center"/>
            </w:pPr>
            <w:r>
              <w:rPr>
                <w:rFonts w:ascii="Arial" w:hAnsi="Arial"/>
                <w:b/>
                <w:color w:val="FFFFFF"/>
                <w:sz w:val="16"/>
              </w:rPr>
              <w:t>Best-Fit Smart Grid Application</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Statistical Baselines (Seasonal Naive, SARIMA)</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5"/>
              </w:rPr>
              <w:t>Stationary cyclical patterns; linear temporal dependencies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Target lag series only (e.g., lag_24, lag_168)</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5"/>
              </w:rPr>
              <w:t>Fails completely; generates negative or static predictions</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Extremely Low: O(1) inference, negligible memory</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Ultra-low-power microcontrollers; sanity baseline checking</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Regularized Linear Models (Ridge, Lasso)</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5"/>
              </w:rPr>
              <w:t>Linear feature-target mapping; sparse or correlated weights</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Cyclical hour, dow, lag features, rolling statistics</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5"/>
              </w:rPr>
              <w:t>Excellent; L2 shrinkage stabilizes zero-demand coefficients</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Low: O(p^2 n) training, &lt;0.1ms inference</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5"/>
              </w:rPr>
              <w:t>Embedded EVSE controllers; day-ahead facility planning</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Tree-Based Ensembles (Random Forest, XGBoost)</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5"/>
              </w:rPr>
              <w:t>Non-linear decision boundaries; piecewise continuous step responses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Full feature space (calendar, historical lags, rolling stats)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5"/>
              </w:rPr>
              <w:t>Moderate; splits zeros effectively but cannot extrapolate peaks</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Moderate: O(M * K * d * n), 0.5–2.0s training</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Cloud-based fleet dispatch; commercial building EMS</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Deep Recurrent Networks (LSTM, BiLSTM, GRU)</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5"/>
              </w:rPr>
              <w:t>Long-term sequence memory; non-linear temporal gating</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Sequential time-lagged tensor windows (e.g., past 24–168h)</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5"/>
              </w:rPr>
              <w:t>Poor; hidden states overfit to extended zero-demand sequences</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High: O(T * W), GPU acceleration required</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5"/>
              </w:rPr>
              <w:t>Regional utility aggregation; multi-facility campus EMS</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Attention &amp; Transformers (Informer, PatchTST)</w:t>
            </w:r>
          </w:p>
        </w:tc>
        <w:tc>
          <w:tcPr>
            <w:tcW w:type="dxa" w:w="1296"/>
            <w:shd w:fill="F8FAFC"/>
            <w:tcMar>
              <w:top w:w="70" w:type="dxa"/>
              <w:bottom w:w="70" w:type="dxa"/>
              <w:left w:w="80" w:type="dxa"/>
              <w:right w:w="80" w:type="dxa"/>
            </w:tcMar>
            <w:vAlign w:val="center"/>
          </w:tcPr>
          <w:p>
            <w:pPr>
              <w:spacing w:before="0" w:after="0"/>
            </w:pPr>
            <w:r>
              <w:rPr>
                <w:rFonts w:ascii="Arial" w:hAnsi="Arial"/>
                <w:color w:val="1E293B"/>
                <w:sz w:val="15"/>
              </w:rPr>
              <w:t>Self-attention across temporal tokens; global receptive field</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High-dimensional positional and temporal embeddings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5"/>
              </w:rPr>
              <w:t>Moderate; multi-head attention isolates commute ramps</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Very High: O(L log L) to O(L^2), extensive compute</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Centralized grid balancing authority; market bidding</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Unsupervised Outlier Detectors (iForest, LOF)</w:t>
            </w:r>
          </w:p>
        </w:tc>
        <w:tc>
          <w:tcPr>
            <w:tcW w:type="dxa" w:w="1296"/>
            <w:shd w:fill="FFFFFF"/>
            <w:tcMar>
              <w:top w:w="70" w:type="dxa"/>
              <w:bottom w:w="70" w:type="dxa"/>
              <w:left w:w="80" w:type="dxa"/>
              <w:right w:w="80" w:type="dxa"/>
            </w:tcMar>
            <w:vAlign w:val="center"/>
          </w:tcPr>
          <w:p>
            <w:pPr>
              <w:spacing w:before="0" w:after="0"/>
            </w:pPr>
            <w:r>
              <w:rPr>
                <w:rFonts w:ascii="Arial" w:hAnsi="Arial"/>
                <w:color w:val="1E293B"/>
                <w:sz w:val="15"/>
              </w:rPr>
              <w:t>Anomalies are few and topologically isolated in feature space</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Multivariate session features (kWh, dwell, idle, rate, arrival)</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5"/>
              </w:rPr>
              <w:t>Robust; treats zero demand as normal background state</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Moderate: O(t * n log n) for iForest, O(n^2) for LOF</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5"/>
              </w:rPr>
              <w:t>Real-time billing audit; cybersecurity tamper detection</w:t>
            </w:r>
          </w:p>
        </w:tc>
      </w:tr>
    </w:tbl>
    <w:p>
      <w:pPr>
        <w:keepNext/>
        <w:spacing w:before="240" w:after="80"/>
        <w:jc w:val="left"/>
      </w:pPr>
      <w:r>
        <w:rPr>
          <w:rFonts w:ascii="Arial" w:hAnsi="Arial"/>
          <w:b/>
          <w:color w:val="1E3A8A"/>
          <w:sz w:val="19"/>
        </w:rPr>
        <w:t xml:space="preserve">Table 3: </w:t>
      </w:r>
      <w:r>
        <w:rPr>
          <w:rFonts w:ascii="Arial" w:hAnsi="Arial"/>
          <w:b/>
          <w:color w:val="1E293B"/>
          <w:sz w:val="19"/>
        </w:rPr>
        <w:t>Dataset Comparison across Public and Empirical Benchmarks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936"/>
        <w:gridCol w:w="936"/>
        <w:gridCol w:w="936"/>
        <w:gridCol w:w="936"/>
        <w:gridCol w:w="936"/>
        <w:gridCol w:w="936"/>
        <w:gridCol w:w="936"/>
        <w:gridCol w:w="936"/>
        <w:gridCol w:w="936"/>
        <w:gridCol w:w="936"/>
      </w:tblGrid>
      <w:tr>
        <w:trPr>
          <w:tblHeader/>
          <w:cantSplit/>
        </w:trPr>
        <w:tc>
          <w:tcPr>
            <w:tcW w:type="dxa" w:w="1080"/>
            <w:shd w:fill="1E3A8A"/>
            <w:tcMar>
              <w:top w:w="100" w:type="dxa"/>
              <w:bottom w:w="100" w:type="dxa"/>
              <w:left w:w="90" w:type="dxa"/>
              <w:right w:w="90" w:type="dxa"/>
            </w:tcMar>
            <w:vAlign w:val="center"/>
          </w:tcPr>
          <w:p>
            <w:pPr>
              <w:spacing w:before="0" w:after="0"/>
              <w:jc w:val="center"/>
            </w:pPr>
            <w:r>
              <w:rPr>
                <w:rFonts w:ascii="Arial" w:hAnsi="Arial"/>
                <w:b/>
                <w:color w:val="FFFFFF"/>
                <w:sz w:val="15"/>
              </w:rPr>
              <w:t>Dataset</w:t>
            </w:r>
          </w:p>
        </w:tc>
        <w:tc>
          <w:tcPr>
            <w:tcW w:type="dxa" w:w="936"/>
            <w:shd w:fill="1E3A8A"/>
            <w:tcMar>
              <w:top w:w="100" w:type="dxa"/>
              <w:bottom w:w="100" w:type="dxa"/>
              <w:left w:w="90" w:type="dxa"/>
              <w:right w:w="90" w:type="dxa"/>
            </w:tcMar>
            <w:vAlign w:val="center"/>
          </w:tcPr>
          <w:p>
            <w:pPr>
              <w:spacing w:before="0" w:after="0"/>
              <w:jc w:val="center"/>
            </w:pPr>
            <w:r>
              <w:rPr>
                <w:rFonts w:ascii="Arial" w:hAnsi="Arial"/>
                <w:b/>
                <w:color w:val="FFFFFF"/>
                <w:sz w:val="15"/>
              </w:rPr>
              <w:t>Domain / Setting</w:t>
            </w:r>
          </w:p>
        </w:tc>
        <w:tc>
          <w:tcPr>
            <w:tcW w:type="dxa" w:w="936"/>
            <w:shd w:fill="1E3A8A"/>
            <w:tcMar>
              <w:top w:w="100" w:type="dxa"/>
              <w:bottom w:w="100" w:type="dxa"/>
              <w:left w:w="90" w:type="dxa"/>
              <w:right w:w="90" w:type="dxa"/>
            </w:tcMar>
            <w:vAlign w:val="center"/>
          </w:tcPr>
          <w:p>
            <w:pPr>
              <w:spacing w:before="0" w:after="0"/>
              <w:jc w:val="center"/>
            </w:pPr>
            <w:r>
              <w:rPr>
                <w:rFonts w:ascii="Arial" w:hAnsi="Arial"/>
                <w:b/>
                <w:color w:val="FFFFFF"/>
                <w:sz w:val="15"/>
              </w:rPr>
              <w:t>Data Type</w:t>
            </w:r>
          </w:p>
        </w:tc>
        <w:tc>
          <w:tcPr>
            <w:tcW w:type="dxa" w:w="936"/>
            <w:shd w:fill="1E3A8A"/>
            <w:tcMar>
              <w:top w:w="100" w:type="dxa"/>
              <w:bottom w:w="100" w:type="dxa"/>
              <w:left w:w="90" w:type="dxa"/>
              <w:right w:w="90" w:type="dxa"/>
            </w:tcMar>
            <w:vAlign w:val="center"/>
          </w:tcPr>
          <w:p>
            <w:pPr>
              <w:spacing w:before="0" w:after="0"/>
              <w:jc w:val="center"/>
            </w:pPr>
            <w:r>
              <w:rPr>
                <w:rFonts w:ascii="Arial" w:hAnsi="Arial"/>
                <w:b/>
                <w:color w:val="FFFFFF"/>
                <w:sz w:val="15"/>
              </w:rPr>
              <w:t>No. of Samples</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Features Recorded</w:t>
            </w:r>
          </w:p>
        </w:tc>
        <w:tc>
          <w:tcPr>
            <w:tcW w:type="dxa" w:w="864"/>
            <w:shd w:fill="1E3A8A"/>
            <w:tcMar>
              <w:top w:w="100" w:type="dxa"/>
              <w:bottom w:w="100" w:type="dxa"/>
              <w:left w:w="90" w:type="dxa"/>
              <w:right w:w="90" w:type="dxa"/>
            </w:tcMar>
            <w:vAlign w:val="center"/>
          </w:tcPr>
          <w:p>
            <w:pPr>
              <w:spacing w:before="0" w:after="0"/>
              <w:jc w:val="center"/>
            </w:pPr>
            <w:r>
              <w:rPr>
                <w:rFonts w:ascii="Arial" w:hAnsi="Arial"/>
                <w:b/>
                <w:color w:val="FFFFFF"/>
                <w:sz w:val="15"/>
              </w:rPr>
              <w:t>Target Variable</w:t>
            </w:r>
          </w:p>
        </w:tc>
        <w:tc>
          <w:tcPr>
            <w:tcW w:type="dxa" w:w="648"/>
            <w:shd w:fill="1E3A8A"/>
            <w:tcMar>
              <w:top w:w="100" w:type="dxa"/>
              <w:bottom w:w="100" w:type="dxa"/>
              <w:left w:w="90" w:type="dxa"/>
              <w:right w:w="90" w:type="dxa"/>
            </w:tcMar>
            <w:vAlign w:val="center"/>
          </w:tcPr>
          <w:p>
            <w:pPr>
              <w:spacing w:before="0" w:after="0"/>
              <w:jc w:val="center"/>
            </w:pPr>
            <w:r>
              <w:rPr>
                <w:rFonts w:ascii="Arial" w:hAnsi="Arial"/>
                <w:b/>
                <w:color w:val="FFFFFF"/>
                <w:sz w:val="15"/>
              </w:rPr>
              <w:t>Access Type</w:t>
            </w:r>
          </w:p>
        </w:tc>
        <w:tc>
          <w:tcPr>
            <w:tcW w:type="dxa" w:w="936"/>
            <w:shd w:fill="1E3A8A"/>
            <w:tcMar>
              <w:top w:w="100" w:type="dxa"/>
              <w:bottom w:w="100" w:type="dxa"/>
              <w:left w:w="90" w:type="dxa"/>
              <w:right w:w="90" w:type="dxa"/>
            </w:tcMar>
            <w:vAlign w:val="center"/>
          </w:tcPr>
          <w:p>
            <w:pPr>
              <w:spacing w:before="0" w:after="0"/>
              <w:jc w:val="center"/>
            </w:pPr>
            <w:r>
              <w:rPr>
                <w:rFonts w:ascii="Arial" w:hAnsi="Arial"/>
                <w:b/>
                <w:color w:val="FFFFFF"/>
                <w:sz w:val="15"/>
              </w:rPr>
              <w:t>Common Algorithms</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Advantages</w:t>
            </w:r>
          </w:p>
        </w:tc>
        <w:tc>
          <w:tcPr>
            <w:tcW w:type="dxa" w:w="1008"/>
            <w:shd w:fill="1E3A8A"/>
            <w:tcMar>
              <w:top w:w="100" w:type="dxa"/>
              <w:bottom w:w="100" w:type="dxa"/>
              <w:left w:w="90" w:type="dxa"/>
              <w:right w:w="90" w:type="dxa"/>
            </w:tcMar>
            <w:vAlign w:val="center"/>
          </w:tcPr>
          <w:p>
            <w:pPr>
              <w:spacing w:before="0" w:after="0"/>
              <w:jc w:val="center"/>
            </w:pPr>
            <w:r>
              <w:rPr>
                <w:rFonts w:ascii="Arial" w:hAnsi="Arial"/>
                <w:b/>
                <w:color w:val="FFFFFF"/>
                <w:sz w:val="15"/>
              </w:rPr>
              <w:t>Limitations</w:t>
            </w:r>
          </w:p>
        </w:tc>
      </w:tr>
      <w:tr>
        <w:trPr>
          <w:cantSplit/>
        </w:trPr>
        <w:tc>
          <w:tcPr>
            <w:tcW w:type="dxa" w:w="1080"/>
            <w:shd w:fill="F8FAFC"/>
            <w:tcMar>
              <w:top w:w="70" w:type="dxa"/>
              <w:bottom w:w="70" w:type="dxa"/>
              <w:left w:w="80" w:type="dxa"/>
              <w:right w:w="80" w:type="dxa"/>
            </w:tcMar>
            <w:vAlign w:val="center"/>
          </w:tcPr>
          <w:p>
            <w:pPr>
              <w:spacing w:before="0" w:after="0"/>
            </w:pPr>
            <w:r>
              <w:rPr>
                <w:rFonts w:ascii="Arial" w:hAnsi="Arial"/>
                <w:color w:val="1E293B"/>
                <w:sz w:val="14"/>
              </w:rPr>
              <w:t>ACN-Data (Caltech Site 0002)</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Workplace Garage (Pasadena, CA)</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Session Telemetry &amp; Hourly Time Series</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5,000 Verified Sessions (14,422 Hours)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Arrival/disconnect, kWh requested/delivered, user inputs</w:t>
            </w:r>
          </w:p>
        </w:tc>
        <w:tc>
          <w:tcPr>
            <w:tcW w:type="dxa" w:w="864"/>
            <w:shd w:fill="F8FAFC"/>
            <w:tcMar>
              <w:top w:w="70" w:type="dxa"/>
              <w:bottom w:w="70" w:type="dxa"/>
              <w:left w:w="80" w:type="dxa"/>
              <w:right w:w="80" w:type="dxa"/>
            </w:tcMar>
            <w:vAlign w:val="center"/>
          </w:tcPr>
          <w:p>
            <w:pPr>
              <w:spacing w:before="0" w:after="0"/>
            </w:pPr>
            <w:r>
              <w:rPr>
                <w:rFonts w:ascii="Arial" w:hAnsi="Arial"/>
                <w:color w:val="1E293B"/>
                <w:sz w:val="14"/>
              </w:rPr>
              <w:t>Aggregate hourly demand, anomaly flags</w:t>
            </w:r>
          </w:p>
        </w:tc>
        <w:tc>
          <w:tcPr>
            <w:tcW w:type="dxa" w:w="648"/>
            <w:shd w:fill="F8FAFC"/>
            <w:tcMar>
              <w:top w:w="70" w:type="dxa"/>
              <w:bottom w:w="70" w:type="dxa"/>
              <w:left w:w="80" w:type="dxa"/>
              <w:right w:w="80" w:type="dxa"/>
            </w:tcMar>
            <w:vAlign w:val="center"/>
          </w:tcPr>
          <w:p>
            <w:pPr>
              <w:spacing w:before="0" w:after="0"/>
            </w:pPr>
            <w:r>
              <w:rPr>
                <w:rFonts w:ascii="Arial" w:hAnsi="Arial"/>
                <w:color w:val="1E293B"/>
                <w:sz w:val="14"/>
              </w:rPr>
              <w:t>Open Access (API / JSON)</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Ridge, RF, XGBoost, iForest, LOF</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Exact energy conservation; fine-grained timestamps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Single institution site; lack of feeder loading</w:t>
            </w:r>
          </w:p>
        </w:tc>
      </w:tr>
      <w:tr>
        <w:trPr>
          <w:cantSplit/>
        </w:trPr>
        <w:tc>
          <w:tcPr>
            <w:tcW w:type="dxa" w:w="1080"/>
            <w:shd w:fill="FFFFFF"/>
            <w:tcMar>
              <w:top w:w="70" w:type="dxa"/>
              <w:bottom w:w="70" w:type="dxa"/>
              <w:left w:w="80" w:type="dxa"/>
              <w:right w:w="80" w:type="dxa"/>
            </w:tcMar>
            <w:vAlign w:val="center"/>
          </w:tcPr>
          <w:p>
            <w:pPr>
              <w:spacing w:before="0" w:after="0"/>
            </w:pPr>
            <w:r>
              <w:rPr>
                <w:rFonts w:ascii="Arial" w:hAnsi="Arial"/>
                <w:color w:val="1E293B"/>
                <w:sz w:val="14"/>
              </w:rPr>
              <w:t>ElaadNL (Netherlands)</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Public On-Street &amp; Destination Charging</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Session Records &amp; Smart Meter Logs</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&gt;3,000,000 Sessions (Multi-year)</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Connection time, active charge time, total energy</w:t>
            </w:r>
          </w:p>
        </w:tc>
        <w:tc>
          <w:tcPr>
            <w:tcW w:type="dxa" w:w="864"/>
            <w:shd w:fill="FFFFFF"/>
            <w:tcMar>
              <w:top w:w="70" w:type="dxa"/>
              <w:bottom w:w="70" w:type="dxa"/>
              <w:left w:w="80" w:type="dxa"/>
              <w:right w:w="80" w:type="dxa"/>
            </w:tcMar>
            <w:vAlign w:val="center"/>
          </w:tcPr>
          <w:p>
            <w:pPr>
              <w:spacing w:before="0" w:after="0"/>
            </w:pPr>
            <w:r>
              <w:rPr>
                <w:rFonts w:ascii="Arial" w:hAnsi="Arial"/>
                <w:color w:val="1E293B"/>
                <w:sz w:val="14"/>
              </w:rPr>
              <w:t>Station occupancy, flexibility buffer</w:t>
            </w:r>
          </w:p>
        </w:tc>
        <w:tc>
          <w:tcPr>
            <w:tcW w:type="dxa" w:w="648"/>
            <w:shd w:fill="FFFFFF"/>
            <w:tcMar>
              <w:top w:w="70" w:type="dxa"/>
              <w:bottom w:w="70" w:type="dxa"/>
              <w:left w:w="80" w:type="dxa"/>
              <w:right w:w="80" w:type="dxa"/>
            </w:tcMar>
            <w:vAlign w:val="center"/>
          </w:tcPr>
          <w:p>
            <w:pPr>
              <w:spacing w:before="0" w:after="0"/>
            </w:pPr>
            <w:r>
              <w:rPr>
                <w:rFonts w:ascii="Arial" w:hAnsi="Arial"/>
                <w:color w:val="1E293B"/>
                <w:sz w:val="14"/>
              </w:rPr>
              <w:t>Open / Research Request</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Survival analysis, LSTM, Clustering</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Massive geographic scale; multi-city coverage</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Coarse telemetry resolution; no user input preferences</w:t>
            </w:r>
          </w:p>
        </w:tc>
      </w:tr>
      <w:tr>
        <w:trPr>
          <w:cantSplit/>
        </w:trPr>
        <w:tc>
          <w:tcPr>
            <w:tcW w:type="dxa" w:w="1080"/>
            <w:shd w:fill="F8FAFC"/>
            <w:tcMar>
              <w:top w:w="70" w:type="dxa"/>
              <w:bottom w:w="70" w:type="dxa"/>
              <w:left w:w="80" w:type="dxa"/>
              <w:right w:w="80" w:type="dxa"/>
            </w:tcMar>
            <w:vAlign w:val="center"/>
          </w:tcPr>
          <w:p>
            <w:pPr>
              <w:spacing w:before="0" w:after="0"/>
            </w:pPr>
            <w:r>
              <w:rPr>
                <w:rFonts w:ascii="Arial" w:hAnsi="Arial"/>
                <w:color w:val="1E293B"/>
                <w:sz w:val="14"/>
              </w:rPr>
              <w:t>Boulder Open Data (Colorado)</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Municipal Public Curbside EVSE</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Transaction Charging Logs</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~100,000 Sessions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Port ID, plug-in/out, energy, gasoline saved</w:t>
            </w:r>
          </w:p>
        </w:tc>
        <w:tc>
          <w:tcPr>
            <w:tcW w:type="dxa" w:w="864"/>
            <w:shd w:fill="F8FAFC"/>
            <w:tcMar>
              <w:top w:w="70" w:type="dxa"/>
              <w:bottom w:w="70" w:type="dxa"/>
              <w:left w:w="80" w:type="dxa"/>
              <w:right w:w="80" w:type="dxa"/>
            </w:tcMar>
            <w:vAlign w:val="center"/>
          </w:tcPr>
          <w:p>
            <w:pPr>
              <w:spacing w:before="0" w:after="0"/>
            </w:pPr>
            <w:r>
              <w:rPr>
                <w:rFonts w:ascii="Arial" w:hAnsi="Arial"/>
                <w:color w:val="1E293B"/>
                <w:sz w:val="14"/>
              </w:rPr>
              <w:t>Duration prediction, daily demand</w:t>
            </w:r>
          </w:p>
        </w:tc>
        <w:tc>
          <w:tcPr>
            <w:tcW w:type="dxa" w:w="648"/>
            <w:shd w:fill="F8FAFC"/>
            <w:tcMar>
              <w:top w:w="70" w:type="dxa"/>
              <w:bottom w:w="70" w:type="dxa"/>
              <w:left w:w="80" w:type="dxa"/>
              <w:right w:w="80" w:type="dxa"/>
            </w:tcMar>
            <w:vAlign w:val="center"/>
          </w:tcPr>
          <w:p>
            <w:pPr>
              <w:spacing w:before="0" w:after="0"/>
            </w:pPr>
            <w:r>
              <w:rPr>
                <w:rFonts w:ascii="Arial" w:hAnsi="Arial"/>
                <w:color w:val="1E293B"/>
                <w:sz w:val="14"/>
              </w:rPr>
              <w:t>Public Open Data Portal</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SVR, Decision Trees, k-NN</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Real municipal usage; diverse vehicle types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High missingness in instantaneous charging rates</w:t>
            </w:r>
          </w:p>
        </w:tc>
      </w:tr>
      <w:tr>
        <w:trPr>
          <w:cantSplit/>
        </w:trPr>
        <w:tc>
          <w:tcPr>
            <w:tcW w:type="dxa" w:w="1080"/>
            <w:shd w:fill="FFFFFF"/>
            <w:tcMar>
              <w:top w:w="70" w:type="dxa"/>
              <w:bottom w:w="70" w:type="dxa"/>
              <w:left w:w="80" w:type="dxa"/>
              <w:right w:w="80" w:type="dxa"/>
            </w:tcMar>
            <w:vAlign w:val="center"/>
          </w:tcPr>
          <w:p>
            <w:pPr>
              <w:spacing w:before="0" w:after="0"/>
            </w:pPr>
            <w:r>
              <w:rPr>
                <w:rFonts w:ascii="Arial" w:hAnsi="Arial"/>
                <w:color w:val="1E293B"/>
                <w:sz w:val="14"/>
              </w:rPr>
              <w:t>Pecan Street Dataport (Texas)</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Residential Single-Family Homes</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Sub-metered 1-Second / 1-Minute Power</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~1,000 Residences</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EV charger kW, solar PV kW, whole-home load</w:t>
            </w:r>
          </w:p>
        </w:tc>
        <w:tc>
          <w:tcPr>
            <w:tcW w:type="dxa" w:w="864"/>
            <w:shd w:fill="FFFFFF"/>
            <w:tcMar>
              <w:top w:w="70" w:type="dxa"/>
              <w:bottom w:w="70" w:type="dxa"/>
              <w:left w:w="80" w:type="dxa"/>
              <w:right w:w="80" w:type="dxa"/>
            </w:tcMar>
            <w:vAlign w:val="center"/>
          </w:tcPr>
          <w:p>
            <w:pPr>
              <w:spacing w:before="0" w:after="0"/>
            </w:pPr>
            <w:r>
              <w:rPr>
                <w:rFonts w:ascii="Arial" w:hAnsi="Arial"/>
                <w:color w:val="1E293B"/>
                <w:sz w:val="14"/>
              </w:rPr>
              <w:t>Net household load, solar-EV co-optimization</w:t>
            </w:r>
          </w:p>
        </w:tc>
        <w:tc>
          <w:tcPr>
            <w:tcW w:type="dxa" w:w="648"/>
            <w:shd w:fill="FFFFFF"/>
            <w:tcMar>
              <w:top w:w="70" w:type="dxa"/>
              <w:bottom w:w="70" w:type="dxa"/>
              <w:left w:w="80" w:type="dxa"/>
              <w:right w:w="80" w:type="dxa"/>
            </w:tcMar>
            <w:vAlign w:val="center"/>
          </w:tcPr>
          <w:p>
            <w:pPr>
              <w:spacing w:before="0" w:after="0"/>
            </w:pPr>
            <w:r>
              <w:rPr>
                <w:rFonts w:ascii="Arial" w:hAnsi="Arial"/>
                <w:color w:val="1E293B"/>
                <w:sz w:val="14"/>
              </w:rPr>
              <w:t>Academic Subscription</w:t>
            </w:r>
          </w:p>
        </w:tc>
        <w:tc>
          <w:tcPr>
            <w:tcW w:type="dxa" w:w="936"/>
            <w:shd w:fill="FFFFFF"/>
            <w:tcMar>
              <w:top w:w="70" w:type="dxa"/>
              <w:bottom w:w="70" w:type="dxa"/>
              <w:left w:w="80" w:type="dxa"/>
              <w:right w:w="80" w:type="dxa"/>
            </w:tcMar>
            <w:vAlign w:val="center"/>
          </w:tcPr>
          <w:p>
            <w:pPr>
              <w:spacing w:before="0" w:after="0"/>
            </w:pPr>
            <w:r>
              <w:rPr>
                <w:rFonts w:ascii="Arial" w:hAnsi="Arial"/>
                <w:color w:val="1E293B"/>
                <w:sz w:val="14"/>
              </w:rPr>
              <w:t>ARIMA, Deep RNNs, Transformers</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Co-located solar PV and household load data</w:t>
            </w:r>
          </w:p>
        </w:tc>
        <w:tc>
          <w:tcPr>
            <w:tcW w:type="dxa" w:w="1008"/>
            <w:shd w:fill="FFFFFF"/>
            <w:tcMar>
              <w:top w:w="70" w:type="dxa"/>
              <w:bottom w:w="70" w:type="dxa"/>
              <w:left w:w="80" w:type="dxa"/>
              <w:right w:w="80" w:type="dxa"/>
            </w:tcMar>
            <w:vAlign w:val="center"/>
          </w:tcPr>
          <w:p>
            <w:pPr>
              <w:spacing w:before="0" w:after="0"/>
            </w:pPr>
            <w:r>
              <w:rPr>
                <w:rFonts w:ascii="Arial" w:hAnsi="Arial"/>
                <w:color w:val="1E293B"/>
                <w:sz w:val="14"/>
              </w:rPr>
              <w:t>Residential Level-2 only; private subscription boundary</w:t>
            </w:r>
          </w:p>
        </w:tc>
      </w:tr>
      <w:tr>
        <w:trPr>
          <w:cantSplit/>
        </w:trPr>
        <w:tc>
          <w:tcPr>
            <w:tcW w:type="dxa" w:w="1080"/>
            <w:shd w:fill="F8FAFC"/>
            <w:tcMar>
              <w:top w:w="70" w:type="dxa"/>
              <w:bottom w:w="70" w:type="dxa"/>
              <w:left w:w="80" w:type="dxa"/>
              <w:right w:w="80" w:type="dxa"/>
            </w:tcMar>
            <w:vAlign w:val="center"/>
          </w:tcPr>
          <w:p>
            <w:pPr>
              <w:spacing w:before="0" w:after="0"/>
            </w:pPr>
            <w:r>
              <w:rPr>
                <w:rFonts w:ascii="Arial" w:hAnsi="Arial"/>
                <w:color w:val="1E293B"/>
                <w:sz w:val="14"/>
              </w:rPr>
              <w:t>Dundee Public Fleet (Scotland)</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Urban Rapid &amp; Fast Charging Hubs</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High-Power DC / AC Sessions</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~350,000 Transactions</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Charger speed (kW), battery SOC start/end</w:t>
            </w:r>
          </w:p>
        </w:tc>
        <w:tc>
          <w:tcPr>
            <w:tcW w:type="dxa" w:w="864"/>
            <w:shd w:fill="F8FAFC"/>
            <w:tcMar>
              <w:top w:w="70" w:type="dxa"/>
              <w:bottom w:w="70" w:type="dxa"/>
              <w:left w:w="80" w:type="dxa"/>
              <w:right w:w="80" w:type="dxa"/>
            </w:tcMar>
            <w:vAlign w:val="center"/>
          </w:tcPr>
          <w:p>
            <w:pPr>
              <w:spacing w:before="0" w:after="0"/>
            </w:pPr>
            <w:r>
              <w:rPr>
                <w:rFonts w:ascii="Arial" w:hAnsi="Arial"/>
                <w:color w:val="1E293B"/>
                <w:sz w:val="14"/>
              </w:rPr>
              <w:t>Queue waiting time, peak power demand</w:t>
            </w:r>
          </w:p>
        </w:tc>
        <w:tc>
          <w:tcPr>
            <w:tcW w:type="dxa" w:w="648"/>
            <w:shd w:fill="F8FAFC"/>
            <w:tcMar>
              <w:top w:w="70" w:type="dxa"/>
              <w:bottom w:w="70" w:type="dxa"/>
              <w:left w:w="80" w:type="dxa"/>
              <w:right w:w="80" w:type="dxa"/>
            </w:tcMar>
            <w:vAlign w:val="center"/>
          </w:tcPr>
          <w:p>
            <w:pPr>
              <w:spacing w:before="0" w:after="0"/>
            </w:pPr>
            <w:r>
              <w:rPr>
                <w:rFonts w:ascii="Arial" w:hAnsi="Arial"/>
                <w:color w:val="1E293B"/>
                <w:sz w:val="14"/>
              </w:rPr>
              <w:t>Public Sector Open Data</w:t>
            </w:r>
          </w:p>
        </w:tc>
        <w:tc>
          <w:tcPr>
            <w:tcW w:type="dxa" w:w="936"/>
            <w:shd w:fill="F8FAFC"/>
            <w:tcMar>
              <w:top w:w="70" w:type="dxa"/>
              <w:bottom w:w="70" w:type="dxa"/>
              <w:left w:w="80" w:type="dxa"/>
              <w:right w:w="80" w:type="dxa"/>
            </w:tcMar>
            <w:vAlign w:val="center"/>
          </w:tcPr>
          <w:p>
            <w:pPr>
              <w:spacing w:before="0" w:after="0"/>
            </w:pPr>
            <w:r>
              <w:rPr>
                <w:rFonts w:ascii="Arial" w:hAnsi="Arial"/>
                <w:color w:val="1E293B"/>
                <w:sz w:val="14"/>
              </w:rPr>
              <w:t>Queueing theory, GBDT, Random Forest</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Captures DC fast charging (50–150 kW) behavior</w:t>
            </w:r>
          </w:p>
        </w:tc>
        <w:tc>
          <w:tcPr>
            <w:tcW w:type="dxa" w:w="1008"/>
            <w:shd w:fill="F8FAFC"/>
            <w:tcMar>
              <w:top w:w="70" w:type="dxa"/>
              <w:bottom w:w="70" w:type="dxa"/>
              <w:left w:w="80" w:type="dxa"/>
              <w:right w:w="80" w:type="dxa"/>
            </w:tcMar>
            <w:vAlign w:val="center"/>
          </w:tcPr>
          <w:p>
            <w:pPr>
              <w:spacing w:before="0" w:after="0"/>
            </w:pPr>
            <w:r>
              <w:rPr>
                <w:rFonts w:ascii="Arial" w:hAnsi="Arial"/>
                <w:color w:val="1E293B"/>
                <w:sz w:val="14"/>
              </w:rPr>
              <w:t>Lacks workplace commuter dwell flexibility</w:t>
            </w:r>
          </w:p>
        </w:tc>
      </w:tr>
    </w:tbl>
    <w:p>
      <w:pPr>
        <w:keepNext/>
        <w:spacing w:before="240" w:after="80"/>
        <w:jc w:val="left"/>
      </w:pPr>
      <w:r>
        <w:rPr>
          <w:rFonts w:ascii="Arial" w:hAnsi="Arial"/>
          <w:b/>
          <w:color w:val="1E3A8A"/>
          <w:sz w:val="19"/>
        </w:rPr>
        <w:t xml:space="preserve">Table 4: </w:t>
      </w:r>
      <w:r>
        <w:rPr>
          <w:rFonts w:ascii="Arial" w:hAnsi="Arial"/>
          <w:b/>
          <w:color w:val="1E293B"/>
          <w:sz w:val="19"/>
        </w:rPr>
        <w:t>Performance Comparison of Evaluated Models on ACN-Data Benchmark</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936"/>
        <w:gridCol w:w="936"/>
        <w:gridCol w:w="936"/>
        <w:gridCol w:w="936"/>
        <w:gridCol w:w="936"/>
        <w:gridCol w:w="936"/>
        <w:gridCol w:w="936"/>
        <w:gridCol w:w="936"/>
        <w:gridCol w:w="936"/>
        <w:gridCol w:w="936"/>
      </w:tblGrid>
      <w:tr>
        <w:trPr>
          <w:tblHeader/>
          <w:cantSplit/>
        </w:trPr>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5"/>
              </w:rPr>
              <w:t>Model / Algorithm</w:t>
            </w:r>
          </w:p>
        </w:tc>
        <w:tc>
          <w:tcPr>
            <w:tcW w:type="dxa" w:w="605"/>
            <w:shd w:fill="1E3A8A"/>
            <w:tcMar>
              <w:top w:w="100" w:type="dxa"/>
              <w:bottom w:w="100" w:type="dxa"/>
              <w:left w:w="90" w:type="dxa"/>
              <w:right w:w="90" w:type="dxa"/>
            </w:tcMar>
            <w:vAlign w:val="center"/>
          </w:tcPr>
          <w:p>
            <w:pPr>
              <w:spacing w:before="0" w:after="0"/>
              <w:jc w:val="center"/>
            </w:pPr>
            <w:r>
              <w:rPr>
                <w:rFonts w:ascii="Arial" w:hAnsi="Arial"/>
                <w:b/>
                <w:color w:val="FFFFFF"/>
                <w:sz w:val="15"/>
              </w:rPr>
              <w:t>Val RMSE (kWh)</w:t>
            </w:r>
          </w:p>
        </w:tc>
        <w:tc>
          <w:tcPr>
            <w:tcW w:type="dxa" w:w="605"/>
            <w:shd w:fill="1E3A8A"/>
            <w:tcMar>
              <w:top w:w="100" w:type="dxa"/>
              <w:bottom w:w="100" w:type="dxa"/>
              <w:left w:w="90" w:type="dxa"/>
              <w:right w:w="90" w:type="dxa"/>
            </w:tcMar>
            <w:vAlign w:val="center"/>
          </w:tcPr>
          <w:p>
            <w:pPr>
              <w:spacing w:before="0" w:after="0"/>
              <w:jc w:val="center"/>
            </w:pPr>
            <w:r>
              <w:rPr>
                <w:rFonts w:ascii="Arial" w:hAnsi="Arial"/>
                <w:b/>
                <w:color w:val="FFFFFF"/>
                <w:sz w:val="15"/>
              </w:rPr>
              <w:t>Val MAE (kWh)</w:t>
            </w:r>
          </w:p>
        </w:tc>
        <w:tc>
          <w:tcPr>
            <w:tcW w:type="dxa" w:w="605"/>
            <w:shd w:fill="1E3A8A"/>
            <w:tcMar>
              <w:top w:w="100" w:type="dxa"/>
              <w:bottom w:w="100" w:type="dxa"/>
              <w:left w:w="90" w:type="dxa"/>
              <w:right w:w="90" w:type="dxa"/>
            </w:tcMar>
            <w:vAlign w:val="center"/>
          </w:tcPr>
          <w:p>
            <w:pPr>
              <w:spacing w:before="0" w:after="0"/>
              <w:jc w:val="center"/>
            </w:pPr>
            <w:r>
              <w:rPr>
                <w:rFonts w:ascii="Arial" w:hAnsi="Arial"/>
                <w:b/>
                <w:color w:val="FFFFFF"/>
                <w:sz w:val="15"/>
              </w:rPr>
              <w:t>Test RMSE (kWh)</w:t>
            </w:r>
          </w:p>
        </w:tc>
        <w:tc>
          <w:tcPr>
            <w:tcW w:type="dxa" w:w="605"/>
            <w:shd w:fill="1E3A8A"/>
            <w:tcMar>
              <w:top w:w="100" w:type="dxa"/>
              <w:bottom w:w="100" w:type="dxa"/>
              <w:left w:w="90" w:type="dxa"/>
              <w:right w:w="90" w:type="dxa"/>
            </w:tcMar>
            <w:vAlign w:val="center"/>
          </w:tcPr>
          <w:p>
            <w:pPr>
              <w:spacing w:before="0" w:after="0"/>
              <w:jc w:val="center"/>
            </w:pPr>
            <w:r>
              <w:rPr>
                <w:rFonts w:ascii="Arial" w:hAnsi="Arial"/>
                <w:b/>
                <w:color w:val="FFFFFF"/>
                <w:sz w:val="15"/>
              </w:rPr>
              <w:t>Test MAE (kWh)</w:t>
            </w:r>
          </w:p>
        </w:tc>
        <w:tc>
          <w:tcPr>
            <w:tcW w:type="dxa" w:w="547"/>
            <w:shd w:fill="1E3A8A"/>
            <w:tcMar>
              <w:top w:w="100" w:type="dxa"/>
              <w:bottom w:w="100" w:type="dxa"/>
              <w:left w:w="90" w:type="dxa"/>
              <w:right w:w="90" w:type="dxa"/>
            </w:tcMar>
            <w:vAlign w:val="center"/>
          </w:tcPr>
          <w:p>
            <w:pPr>
              <w:spacing w:before="0" w:after="0"/>
              <w:jc w:val="center"/>
            </w:pPr>
            <w:r>
              <w:rPr>
                <w:rFonts w:ascii="Arial" w:hAnsi="Arial"/>
                <w:b/>
                <w:color w:val="FFFFFF"/>
                <w:sz w:val="15"/>
              </w:rPr>
              <w:t>Test R²</w:t>
            </w:r>
          </w:p>
        </w:tc>
        <w:tc>
          <w:tcPr>
            <w:tcW w:type="dxa" w:w="634"/>
            <w:shd w:fill="1E3A8A"/>
            <w:tcMar>
              <w:top w:w="100" w:type="dxa"/>
              <w:bottom w:w="100" w:type="dxa"/>
              <w:left w:w="90" w:type="dxa"/>
              <w:right w:w="90" w:type="dxa"/>
            </w:tcMar>
            <w:vAlign w:val="center"/>
          </w:tcPr>
          <w:p>
            <w:pPr>
              <w:spacing w:before="0" w:after="0"/>
              <w:jc w:val="center"/>
            </w:pPr>
            <w:r>
              <w:rPr>
                <w:rFonts w:ascii="Arial" w:hAnsi="Arial"/>
                <w:b/>
                <w:color w:val="FFFFFF"/>
                <w:sz w:val="15"/>
              </w:rPr>
              <w:t>Test sMAPE (%)</w:t>
            </w:r>
          </w:p>
        </w:tc>
        <w:tc>
          <w:tcPr>
            <w:tcW w:type="dxa" w:w="576"/>
            <w:shd w:fill="1E3A8A"/>
            <w:tcMar>
              <w:top w:w="100" w:type="dxa"/>
              <w:bottom w:w="100" w:type="dxa"/>
              <w:left w:w="90" w:type="dxa"/>
              <w:right w:w="90" w:type="dxa"/>
            </w:tcMar>
            <w:vAlign w:val="center"/>
          </w:tcPr>
          <w:p>
            <w:pPr>
              <w:spacing w:before="0" w:after="0"/>
              <w:jc w:val="center"/>
            </w:pPr>
            <w:r>
              <w:rPr>
                <w:rFonts w:ascii="Arial" w:hAnsi="Arial"/>
                <w:b/>
                <w:color w:val="FFFFFF"/>
                <w:sz w:val="15"/>
              </w:rPr>
              <w:t>Training Time (s)</w:t>
            </w:r>
          </w:p>
        </w:tc>
        <w:tc>
          <w:tcPr>
            <w:tcW w:type="dxa" w:w="1872"/>
            <w:shd w:fill="1E3A8A"/>
            <w:tcMar>
              <w:top w:w="100" w:type="dxa"/>
              <w:bottom w:w="100" w:type="dxa"/>
              <w:left w:w="90" w:type="dxa"/>
              <w:right w:w="90" w:type="dxa"/>
            </w:tcMar>
            <w:vAlign w:val="center"/>
          </w:tcPr>
          <w:p>
            <w:pPr>
              <w:spacing w:before="0" w:after="0"/>
              <w:jc w:val="center"/>
            </w:pPr>
            <w:r>
              <w:rPr>
                <w:rFonts w:ascii="Arial" w:hAnsi="Arial"/>
                <w:b/>
                <w:color w:val="FFFFFF"/>
                <w:sz w:val="15"/>
              </w:rPr>
              <w:t>Strengths &amp; Behavioral Profile</w:t>
            </w:r>
          </w:p>
        </w:tc>
        <w:tc>
          <w:tcPr>
            <w:tcW w:type="dxa" w:w="1872"/>
            <w:shd w:fill="1E3A8A"/>
            <w:tcMar>
              <w:top w:w="100" w:type="dxa"/>
              <w:bottom w:w="100" w:type="dxa"/>
              <w:left w:w="90" w:type="dxa"/>
              <w:right w:w="90" w:type="dxa"/>
            </w:tcMar>
            <w:vAlign w:val="center"/>
          </w:tcPr>
          <w:p>
            <w:pPr>
              <w:spacing w:before="0" w:after="0"/>
              <w:jc w:val="center"/>
            </w:pPr>
            <w:r>
              <w:rPr>
                <w:rFonts w:ascii="Arial" w:hAnsi="Arial"/>
                <w:b/>
                <w:color w:val="FFFFFF"/>
                <w:sz w:val="15"/>
              </w:rPr>
              <w:t>Key Limitations &amp; Failure Modes</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Ridge Regression (alpha=10.0)*</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13.168</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7.986</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15.713</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9.120</w:t>
            </w:r>
          </w:p>
        </w:tc>
        <w:tc>
          <w:tcPr>
            <w:tcW w:type="dxa" w:w="547"/>
            <w:shd w:fill="F8FAFC"/>
            <w:tcMar>
              <w:top w:w="70" w:type="dxa"/>
              <w:bottom w:w="70" w:type="dxa"/>
              <w:left w:w="80" w:type="dxa"/>
              <w:right w:w="80" w:type="dxa"/>
            </w:tcMar>
            <w:vAlign w:val="center"/>
          </w:tcPr>
          <w:p>
            <w:pPr>
              <w:spacing w:before="0" w:after="0"/>
            </w:pPr>
            <w:r>
              <w:rPr>
                <w:rFonts w:ascii="Arial" w:hAnsi="Arial"/>
                <w:color w:val="1E293B"/>
                <w:sz w:val="14"/>
              </w:rPr>
              <w:t>0.1158</w:t>
            </w:r>
          </w:p>
        </w:tc>
        <w:tc>
          <w:tcPr>
            <w:tcW w:type="dxa" w:w="634"/>
            <w:shd w:fill="F8FAFC"/>
            <w:tcMar>
              <w:top w:w="70" w:type="dxa"/>
              <w:bottom w:w="70" w:type="dxa"/>
              <w:left w:w="80" w:type="dxa"/>
              <w:right w:w="80" w:type="dxa"/>
            </w:tcMar>
            <w:vAlign w:val="center"/>
          </w:tcPr>
          <w:p>
            <w:pPr>
              <w:spacing w:before="0" w:after="0"/>
            </w:pPr>
            <w:r>
              <w:rPr>
                <w:rFonts w:ascii="Arial" w:hAnsi="Arial"/>
                <w:color w:val="1E293B"/>
                <w:sz w:val="14"/>
              </w:rPr>
              <w:t>152.89%</w:t>
            </w:r>
          </w:p>
        </w:tc>
        <w:tc>
          <w:tcPr>
            <w:tcW w:type="dxa" w:w="576"/>
            <w:shd w:fill="F8FAFC"/>
            <w:tcMar>
              <w:top w:w="70" w:type="dxa"/>
              <w:bottom w:w="70" w:type="dxa"/>
              <w:left w:w="80" w:type="dxa"/>
              <w:right w:w="80" w:type="dxa"/>
            </w:tcMar>
            <w:vAlign w:val="center"/>
          </w:tcPr>
          <w:p>
            <w:pPr>
              <w:spacing w:before="0" w:after="0"/>
            </w:pPr>
            <w:r>
              <w:rPr>
                <w:rFonts w:ascii="Arial" w:hAnsi="Arial"/>
                <w:color w:val="1E293B"/>
                <w:sz w:val="14"/>
              </w:rPr>
              <w:t>0.032 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Validation-selected model; L2 regularization prevents variance inflation during 79.1% zero-demand hours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Linear structure systematically under-predicts acute peak bursts (&gt;59.1 kWh) by +63.3 kWh</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XGBoost Regressor</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13.267</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7.856</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15.633</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9.331</w:t>
            </w:r>
          </w:p>
        </w:tc>
        <w:tc>
          <w:tcPr>
            <w:tcW w:type="dxa" w:w="547"/>
            <w:shd w:fill="FFFFFF"/>
            <w:tcMar>
              <w:top w:w="70" w:type="dxa"/>
              <w:bottom w:w="70" w:type="dxa"/>
              <w:left w:w="80" w:type="dxa"/>
              <w:right w:w="80" w:type="dxa"/>
            </w:tcMar>
            <w:vAlign w:val="center"/>
          </w:tcPr>
          <w:p>
            <w:pPr>
              <w:spacing w:before="0" w:after="0"/>
            </w:pPr>
            <w:r>
              <w:rPr>
                <w:rFonts w:ascii="Arial" w:hAnsi="Arial"/>
                <w:color w:val="1E293B"/>
                <w:sz w:val="14"/>
              </w:rPr>
              <w:t>0.1248</w:t>
            </w:r>
          </w:p>
        </w:tc>
        <w:tc>
          <w:tcPr>
            <w:tcW w:type="dxa" w:w="634"/>
            <w:shd w:fill="FFFFFF"/>
            <w:tcMar>
              <w:top w:w="70" w:type="dxa"/>
              <w:bottom w:w="70" w:type="dxa"/>
              <w:left w:w="80" w:type="dxa"/>
              <w:right w:w="80" w:type="dxa"/>
            </w:tcMar>
            <w:vAlign w:val="center"/>
          </w:tcPr>
          <w:p>
            <w:pPr>
              <w:spacing w:before="0" w:after="0"/>
            </w:pPr>
            <w:r>
              <w:rPr>
                <w:rFonts w:ascii="Arial" w:hAnsi="Arial"/>
                <w:color w:val="1E293B"/>
                <w:sz w:val="14"/>
              </w:rPr>
              <w:t>153.22%</w:t>
            </w:r>
          </w:p>
        </w:tc>
        <w:tc>
          <w:tcPr>
            <w:tcW w:type="dxa" w:w="576"/>
            <w:shd w:fill="FFFFFF"/>
            <w:tcMar>
              <w:top w:w="70" w:type="dxa"/>
              <w:bottom w:w="70" w:type="dxa"/>
              <w:left w:w="80" w:type="dxa"/>
              <w:right w:w="80" w:type="dxa"/>
            </w:tcMar>
            <w:vAlign w:val="center"/>
          </w:tcPr>
          <w:p>
            <w:pPr>
              <w:spacing w:before="0" w:after="0"/>
            </w:pPr>
            <w:r>
              <w:rPr>
                <w:rFonts w:ascii="Arial" w:hAnsi="Arial"/>
                <w:color w:val="1E293B"/>
                <w:sz w:val="14"/>
              </w:rPr>
              <w:t>1.240 s</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Slightly superior raw Test RMSE; captures non-linear calendar interactions effectively</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High sensitivity to hyperparameter tuning; higher MAE than Ridge; truncates extreme peaks</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Random Forest Regressor</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13.344</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7.915</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15.851</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9.195</w:t>
            </w:r>
          </w:p>
        </w:tc>
        <w:tc>
          <w:tcPr>
            <w:tcW w:type="dxa" w:w="547"/>
            <w:shd w:fill="F8FAFC"/>
            <w:tcMar>
              <w:top w:w="70" w:type="dxa"/>
              <w:bottom w:w="70" w:type="dxa"/>
              <w:left w:w="80" w:type="dxa"/>
              <w:right w:w="80" w:type="dxa"/>
            </w:tcMar>
            <w:vAlign w:val="center"/>
          </w:tcPr>
          <w:p>
            <w:pPr>
              <w:spacing w:before="0" w:after="0"/>
            </w:pPr>
            <w:r>
              <w:rPr>
                <w:rFonts w:ascii="Arial" w:hAnsi="Arial"/>
                <w:color w:val="1E293B"/>
                <w:sz w:val="14"/>
              </w:rPr>
              <w:t>0.1003</w:t>
            </w:r>
          </w:p>
        </w:tc>
        <w:tc>
          <w:tcPr>
            <w:tcW w:type="dxa" w:w="634"/>
            <w:shd w:fill="F8FAFC"/>
            <w:tcMar>
              <w:top w:w="70" w:type="dxa"/>
              <w:bottom w:w="70" w:type="dxa"/>
              <w:left w:w="80" w:type="dxa"/>
              <w:right w:w="80" w:type="dxa"/>
            </w:tcMar>
            <w:vAlign w:val="center"/>
          </w:tcPr>
          <w:p>
            <w:pPr>
              <w:spacing w:before="0" w:after="0"/>
            </w:pPr>
            <w:r>
              <w:rPr>
                <w:rFonts w:ascii="Arial" w:hAnsi="Arial"/>
                <w:color w:val="1E293B"/>
                <w:sz w:val="14"/>
              </w:rPr>
              <w:t>152.66%</w:t>
            </w:r>
          </w:p>
        </w:tc>
        <w:tc>
          <w:tcPr>
            <w:tcW w:type="dxa" w:w="576"/>
            <w:shd w:fill="F8FAFC"/>
            <w:tcMar>
              <w:top w:w="70" w:type="dxa"/>
              <w:bottom w:w="70" w:type="dxa"/>
              <w:left w:w="80" w:type="dxa"/>
              <w:right w:w="80" w:type="dxa"/>
            </w:tcMar>
            <w:vAlign w:val="center"/>
          </w:tcPr>
          <w:p>
            <w:pPr>
              <w:spacing w:before="0" w:after="0"/>
            </w:pPr>
            <w:r>
              <w:rPr>
                <w:rFonts w:ascii="Arial" w:hAnsi="Arial"/>
                <w:color w:val="1E293B"/>
                <w:sz w:val="14"/>
              </w:rPr>
              <w:t>3.480 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Robust ensemble averaging; resistant to feature noise; clean feature importance profile</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Higher computational memory overhead; cannot extrapolate beyond historical tree leaves</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Seasonal Naive (168-hour / Weekly)</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17.156</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9.339</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19.825</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10.877</w:t>
            </w:r>
          </w:p>
        </w:tc>
        <w:tc>
          <w:tcPr>
            <w:tcW w:type="dxa" w:w="547"/>
            <w:shd w:fill="FFFFFF"/>
            <w:tcMar>
              <w:top w:w="70" w:type="dxa"/>
              <w:bottom w:w="70" w:type="dxa"/>
              <w:left w:w="80" w:type="dxa"/>
              <w:right w:w="80" w:type="dxa"/>
            </w:tcMar>
            <w:vAlign w:val="center"/>
          </w:tcPr>
          <w:p>
            <w:pPr>
              <w:spacing w:before="0" w:after="0"/>
            </w:pPr>
            <w:r>
              <w:rPr>
                <w:rFonts w:ascii="Arial" w:hAnsi="Arial"/>
                <w:color w:val="1E293B"/>
                <w:sz w:val="14"/>
              </w:rPr>
              <w:t>-0.4075</w:t>
            </w:r>
          </w:p>
        </w:tc>
        <w:tc>
          <w:tcPr>
            <w:tcW w:type="dxa" w:w="634"/>
            <w:shd w:fill="FFFFFF"/>
            <w:tcMar>
              <w:top w:w="70" w:type="dxa"/>
              <w:bottom w:w="70" w:type="dxa"/>
              <w:left w:w="80" w:type="dxa"/>
              <w:right w:w="80" w:type="dxa"/>
            </w:tcMar>
            <w:vAlign w:val="center"/>
          </w:tcPr>
          <w:p>
            <w:pPr>
              <w:spacing w:before="0" w:after="0"/>
            </w:pPr>
            <w:r>
              <w:rPr>
                <w:rFonts w:ascii="Arial" w:hAnsi="Arial"/>
                <w:color w:val="1E293B"/>
                <w:sz w:val="14"/>
              </w:rPr>
              <w:t>150.45%</w:t>
            </w:r>
          </w:p>
        </w:tc>
        <w:tc>
          <w:tcPr>
            <w:tcW w:type="dxa" w:w="576"/>
            <w:shd w:fill="FFFFFF"/>
            <w:tcMar>
              <w:top w:w="70" w:type="dxa"/>
              <w:bottom w:w="70" w:type="dxa"/>
              <w:left w:w="80" w:type="dxa"/>
              <w:right w:w="80" w:type="dxa"/>
            </w:tcMar>
            <w:vAlign w:val="center"/>
          </w:tcPr>
          <w:p>
            <w:pPr>
              <w:spacing w:before="0" w:after="0"/>
            </w:pPr>
            <w:r>
              <w:rPr>
                <w:rFonts w:ascii="Arial" w:hAnsi="Arial"/>
                <w:color w:val="1E293B"/>
                <w:sz w:val="14"/>
              </w:rPr>
              <w:t>0.000 s</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Zero computational overhead; captures weekly commuter schedule periodicity</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Severe negative R²; fails completely during holidays, breaks, and post-lockdown shifts</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Seasonal Naive (24-hour / Diurnal)</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17.639</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9.841</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20.701</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11.627</w:t>
            </w:r>
          </w:p>
        </w:tc>
        <w:tc>
          <w:tcPr>
            <w:tcW w:type="dxa" w:w="547"/>
            <w:shd w:fill="F8FAFC"/>
            <w:tcMar>
              <w:top w:w="70" w:type="dxa"/>
              <w:bottom w:w="70" w:type="dxa"/>
              <w:left w:w="80" w:type="dxa"/>
              <w:right w:w="80" w:type="dxa"/>
            </w:tcMar>
            <w:vAlign w:val="center"/>
          </w:tcPr>
          <w:p>
            <w:pPr>
              <w:spacing w:before="0" w:after="0"/>
            </w:pPr>
            <w:r>
              <w:rPr>
                <w:rFonts w:ascii="Arial" w:hAnsi="Arial"/>
                <w:color w:val="1E293B"/>
                <w:sz w:val="14"/>
              </w:rPr>
              <w:t>-0.5346</w:t>
            </w:r>
          </w:p>
        </w:tc>
        <w:tc>
          <w:tcPr>
            <w:tcW w:type="dxa" w:w="634"/>
            <w:shd w:fill="F8FAFC"/>
            <w:tcMar>
              <w:top w:w="70" w:type="dxa"/>
              <w:bottom w:w="70" w:type="dxa"/>
              <w:left w:w="80" w:type="dxa"/>
              <w:right w:w="80" w:type="dxa"/>
            </w:tcMar>
            <w:vAlign w:val="center"/>
          </w:tcPr>
          <w:p>
            <w:pPr>
              <w:spacing w:before="0" w:after="0"/>
            </w:pPr>
            <w:r>
              <w:rPr>
                <w:rFonts w:ascii="Arial" w:hAnsi="Arial"/>
                <w:color w:val="1E293B"/>
                <w:sz w:val="14"/>
              </w:rPr>
              <w:t>155.15%</w:t>
            </w:r>
          </w:p>
        </w:tc>
        <w:tc>
          <w:tcPr>
            <w:tcW w:type="dxa" w:w="576"/>
            <w:shd w:fill="F8FAFC"/>
            <w:tcMar>
              <w:top w:w="70" w:type="dxa"/>
              <w:bottom w:w="70" w:type="dxa"/>
              <w:left w:w="80" w:type="dxa"/>
              <w:right w:w="80" w:type="dxa"/>
            </w:tcMar>
            <w:vAlign w:val="center"/>
          </w:tcPr>
          <w:p>
            <w:pPr>
              <w:spacing w:before="0" w:after="0"/>
            </w:pPr>
            <w:r>
              <w:rPr>
                <w:rFonts w:ascii="Arial" w:hAnsi="Arial"/>
                <w:color w:val="1E293B"/>
                <w:sz w:val="14"/>
              </w:rPr>
              <w:t>0.000 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Direct persistence baseline for diurnal solar/commute comparison</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Catastrophic error across Friday-Saturday and Sunday-Monday transitions (R²=-0.53)</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4"/>
              </w:rPr>
              <w:t>Isolation Forest (3.0% Contam.)</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N/A</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N/A</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150 Flags</w:t>
            </w:r>
          </w:p>
        </w:tc>
        <w:tc>
          <w:tcPr>
            <w:tcW w:type="dxa" w:w="605"/>
            <w:shd w:fill="FFFFFF"/>
            <w:tcMar>
              <w:top w:w="70" w:type="dxa"/>
              <w:bottom w:w="70" w:type="dxa"/>
              <w:left w:w="80" w:type="dxa"/>
              <w:right w:w="80" w:type="dxa"/>
            </w:tcMar>
            <w:vAlign w:val="center"/>
          </w:tcPr>
          <w:p>
            <w:pPr>
              <w:spacing w:before="0" w:after="0"/>
            </w:pPr>
            <w:r>
              <w:rPr>
                <w:rFonts w:ascii="Arial" w:hAnsi="Arial"/>
                <w:color w:val="1E293B"/>
                <w:sz w:val="14"/>
              </w:rPr>
              <w:t>3.00%</w:t>
            </w:r>
          </w:p>
        </w:tc>
        <w:tc>
          <w:tcPr>
            <w:tcW w:type="dxa" w:w="547"/>
            <w:shd w:fill="FFFFFF"/>
            <w:tcMar>
              <w:top w:w="70" w:type="dxa"/>
              <w:bottom w:w="70" w:type="dxa"/>
              <w:left w:w="80" w:type="dxa"/>
              <w:right w:w="80" w:type="dxa"/>
            </w:tcMar>
            <w:vAlign w:val="center"/>
          </w:tcPr>
          <w:p>
            <w:pPr>
              <w:spacing w:before="0" w:after="0"/>
            </w:pPr>
            <w:r>
              <w:rPr>
                <w:rFonts w:ascii="Arial" w:hAnsi="Arial"/>
                <w:color w:val="1E293B"/>
                <w:sz w:val="14"/>
              </w:rPr>
              <w:t>Jaccard: 0.124</w:t>
            </w:r>
          </w:p>
        </w:tc>
        <w:tc>
          <w:tcPr>
            <w:tcW w:type="dxa" w:w="634"/>
            <w:shd w:fill="FFFFFF"/>
            <w:tcMar>
              <w:top w:w="70" w:type="dxa"/>
              <w:bottom w:w="70" w:type="dxa"/>
              <w:left w:w="80" w:type="dxa"/>
              <w:right w:w="80" w:type="dxa"/>
            </w:tcMar>
            <w:vAlign w:val="center"/>
          </w:tcPr>
          <w:p>
            <w:pPr>
              <w:spacing w:before="0" w:after="0"/>
            </w:pPr>
            <w:r>
              <w:rPr>
                <w:rFonts w:ascii="Arial" w:hAnsi="Arial"/>
                <w:color w:val="1E293B"/>
                <w:sz w:val="14"/>
              </w:rPr>
              <w:t>95.32% Agr.</w:t>
            </w:r>
          </w:p>
        </w:tc>
        <w:tc>
          <w:tcPr>
            <w:tcW w:type="dxa" w:w="576"/>
            <w:shd w:fill="FFFFFF"/>
            <w:tcMar>
              <w:top w:w="70" w:type="dxa"/>
              <w:bottom w:w="70" w:type="dxa"/>
              <w:left w:w="80" w:type="dxa"/>
              <w:right w:w="80" w:type="dxa"/>
            </w:tcMar>
            <w:vAlign w:val="center"/>
          </w:tcPr>
          <w:p>
            <w:pPr>
              <w:spacing w:before="0" w:after="0"/>
            </w:pPr>
            <w:r>
              <w:rPr>
                <w:rFonts w:ascii="Arial" w:hAnsi="Arial"/>
                <w:color w:val="1E293B"/>
                <w:sz w:val="14"/>
              </w:rPr>
              <w:t>0.210 s</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Isolates multidimensional energy and dwell anomalies; flags truncated timestamps (688 kW)</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4"/>
              </w:rPr>
              <w:t>Unsupervised heuristic cutoff; flags 117 sessions not in LOF (intersection: 33; union: 267)</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4"/>
              </w:rPr>
              <w:t>Local Outlier Factor (3.0% Contam.)</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N/A</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N/A</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150 Flags</w:t>
            </w:r>
          </w:p>
        </w:tc>
        <w:tc>
          <w:tcPr>
            <w:tcW w:type="dxa" w:w="605"/>
            <w:shd w:fill="F8FAFC"/>
            <w:tcMar>
              <w:top w:w="70" w:type="dxa"/>
              <w:bottom w:w="70" w:type="dxa"/>
              <w:left w:w="80" w:type="dxa"/>
              <w:right w:w="80" w:type="dxa"/>
            </w:tcMar>
            <w:vAlign w:val="center"/>
          </w:tcPr>
          <w:p>
            <w:pPr>
              <w:spacing w:before="0" w:after="0"/>
            </w:pPr>
            <w:r>
              <w:rPr>
                <w:rFonts w:ascii="Arial" w:hAnsi="Arial"/>
                <w:color w:val="1E293B"/>
                <w:sz w:val="14"/>
              </w:rPr>
              <w:t>3.00%</w:t>
            </w:r>
          </w:p>
        </w:tc>
        <w:tc>
          <w:tcPr>
            <w:tcW w:type="dxa" w:w="547"/>
            <w:shd w:fill="F8FAFC"/>
            <w:tcMar>
              <w:top w:w="70" w:type="dxa"/>
              <w:bottom w:w="70" w:type="dxa"/>
              <w:left w:w="80" w:type="dxa"/>
              <w:right w:w="80" w:type="dxa"/>
            </w:tcMar>
            <w:vAlign w:val="center"/>
          </w:tcPr>
          <w:p>
            <w:pPr>
              <w:spacing w:before="0" w:after="0"/>
            </w:pPr>
            <w:r>
              <w:rPr>
                <w:rFonts w:ascii="Arial" w:hAnsi="Arial"/>
                <w:color w:val="1E293B"/>
                <w:sz w:val="14"/>
              </w:rPr>
              <w:t>Jaccard: 0.124</w:t>
            </w:r>
          </w:p>
        </w:tc>
        <w:tc>
          <w:tcPr>
            <w:tcW w:type="dxa" w:w="634"/>
            <w:shd w:fill="F8FAFC"/>
            <w:tcMar>
              <w:top w:w="70" w:type="dxa"/>
              <w:bottom w:w="70" w:type="dxa"/>
              <w:left w:w="80" w:type="dxa"/>
              <w:right w:w="80" w:type="dxa"/>
            </w:tcMar>
            <w:vAlign w:val="center"/>
          </w:tcPr>
          <w:p>
            <w:pPr>
              <w:spacing w:before="0" w:after="0"/>
            </w:pPr>
            <w:r>
              <w:rPr>
                <w:rFonts w:ascii="Arial" w:hAnsi="Arial"/>
                <w:color w:val="1E293B"/>
                <w:sz w:val="14"/>
              </w:rPr>
              <w:t>95.32% Agr.</w:t>
            </w:r>
          </w:p>
        </w:tc>
        <w:tc>
          <w:tcPr>
            <w:tcW w:type="dxa" w:w="576"/>
            <w:shd w:fill="F8FAFC"/>
            <w:tcMar>
              <w:top w:w="70" w:type="dxa"/>
              <w:bottom w:w="70" w:type="dxa"/>
              <w:left w:w="80" w:type="dxa"/>
              <w:right w:w="80" w:type="dxa"/>
            </w:tcMar>
            <w:vAlign w:val="center"/>
          </w:tcPr>
          <w:p>
            <w:pPr>
              <w:spacing w:before="0" w:after="0"/>
            </w:pPr>
            <w:r>
              <w:rPr>
                <w:rFonts w:ascii="Arial" w:hAnsi="Arial"/>
                <w:color w:val="1E293B"/>
                <w:sz w:val="14"/>
              </w:rPr>
              <w:t>0.580 s</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Identifies local density deviations; sensitive to extreme dwell overstays (&gt;20h)</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4"/>
              </w:rPr>
              <w:t>Transductive memory overhead; flags 117 sessions not in iForest (intersection: 33; union: 267)</w:t>
            </w:r>
          </w:p>
        </w:tc>
      </w:tr>
    </w:tbl>
    <w:p>
      <w:pPr>
        <w:keepNext/>
        <w:spacing w:before="240" w:after="80"/>
        <w:jc w:val="left"/>
      </w:pPr>
      <w:r>
        <w:rPr>
          <w:rFonts w:ascii="Arial" w:hAnsi="Arial"/>
          <w:b/>
          <w:color w:val="1E3A8A"/>
          <w:sz w:val="19"/>
        </w:rPr>
        <w:t xml:space="preserve">Table 5: </w:t>
      </w:r>
      <w:r>
        <w:rPr>
          <w:rFonts w:ascii="Arial" w:hAnsi="Arial"/>
          <w:b/>
          <w:color w:val="1E293B"/>
          <w:sz w:val="19"/>
        </w:rPr>
        <w:t>Advantages and Limitations of Analytical Modeling Techniques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584"/>
            <w:shd w:fill="1E3A8A"/>
            <w:tcMar>
              <w:top w:w="100" w:type="dxa"/>
              <w:bottom w:w="100" w:type="dxa"/>
              <w:left w:w="90" w:type="dxa"/>
              <w:right w:w="90" w:type="dxa"/>
            </w:tcMar>
            <w:vAlign w:val="center"/>
          </w:tcPr>
          <w:p>
            <w:pPr>
              <w:spacing w:before="0" w:after="0"/>
              <w:jc w:val="center"/>
            </w:pPr>
            <w:r>
              <w:rPr>
                <w:rFonts w:ascii="Arial" w:hAnsi="Arial"/>
                <w:b/>
                <w:color w:val="FFFFFF"/>
                <w:sz w:val="16"/>
              </w:rPr>
              <w:t>Analytical Paradigm</w:t>
            </w:r>
          </w:p>
        </w:tc>
        <w:tc>
          <w:tcPr>
            <w:tcW w:type="dxa" w:w="2592"/>
            <w:shd w:fill="1E3A8A"/>
            <w:tcMar>
              <w:top w:w="100" w:type="dxa"/>
              <w:bottom w:w="100" w:type="dxa"/>
              <w:left w:w="90" w:type="dxa"/>
              <w:right w:w="90" w:type="dxa"/>
            </w:tcMar>
            <w:vAlign w:val="center"/>
          </w:tcPr>
          <w:p>
            <w:pPr>
              <w:spacing w:before="0" w:after="0"/>
              <w:jc w:val="center"/>
            </w:pPr>
            <w:r>
              <w:rPr>
                <w:rFonts w:ascii="Arial" w:hAnsi="Arial"/>
                <w:b/>
                <w:color w:val="FFFFFF"/>
                <w:sz w:val="16"/>
              </w:rPr>
              <w:t>Key Operational Advantages</w:t>
            </w:r>
          </w:p>
        </w:tc>
        <w:tc>
          <w:tcPr>
            <w:tcW w:type="dxa" w:w="2592"/>
            <w:shd w:fill="1E3A8A"/>
            <w:tcMar>
              <w:top w:w="100" w:type="dxa"/>
              <w:bottom w:w="100" w:type="dxa"/>
              <w:left w:w="90" w:type="dxa"/>
              <w:right w:w="90" w:type="dxa"/>
            </w:tcMar>
            <w:vAlign w:val="center"/>
          </w:tcPr>
          <w:p>
            <w:pPr>
              <w:spacing w:before="0" w:after="0"/>
              <w:jc w:val="center"/>
            </w:pPr>
            <w:r>
              <w:rPr>
                <w:rFonts w:ascii="Arial" w:hAnsi="Arial"/>
                <w:b/>
                <w:color w:val="FFFFFF"/>
                <w:sz w:val="16"/>
              </w:rPr>
              <w:t>Theoretical &amp; Practical Limitations</w:t>
            </w:r>
          </w:p>
        </w:tc>
        <w:tc>
          <w:tcPr>
            <w:tcW w:type="dxa" w:w="2592"/>
            <w:shd w:fill="1E3A8A"/>
            <w:tcMar>
              <w:top w:w="100" w:type="dxa"/>
              <w:bottom w:w="100" w:type="dxa"/>
              <w:left w:w="90" w:type="dxa"/>
              <w:right w:w="90" w:type="dxa"/>
            </w:tcMar>
            <w:vAlign w:val="center"/>
          </w:tcPr>
          <w:p>
            <w:pPr>
              <w:spacing w:before="0" w:after="0"/>
              <w:jc w:val="center"/>
            </w:pPr>
            <w:r>
              <w:rPr>
                <w:rFonts w:ascii="Arial" w:hAnsi="Arial"/>
                <w:b/>
                <w:color w:val="FFFFFF"/>
                <w:sz w:val="16"/>
              </w:rPr>
              <w:t>Computational Complexity &amp; Hardware Suitability</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Persistence &amp; Statistical Baselines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Immediate implementation with zero training</w:t>
              <w:br/>
              <w:t>• Transparent, interpretable baseline reference</w:t>
              <w:br/>
              <w:t>• Perfectly deterministic outputs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Cannot adapt to structural breaks or holidays</w:t>
              <w:br/>
              <w:t>• Generates severe negative R² on dynamic series</w:t>
              <w:br/>
              <w:t>• Ignores weather, traffic, and user schedules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Complexity: O(1)</w:t>
              <w:br/>
              <w:t>• Ideal for 8-bit microcontrollers</w:t>
              <w:br/>
              <w:t>• Sub-microsecond execution latency</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Linear Regularized Regression (Ridge/Lasso)</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Closed-form analytical solution</w:t>
              <w:br/>
              <w:t>• Shrinkage prevents overfitting on zero hours</w:t>
              <w:br/>
              <w:t>• Direct coefficient attribution for grid operators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Incapable of fitting complex non-linear frontiers</w:t>
              <w:br/>
              <w:t>• Systematically clips high-magnitude demand spikes</w:t>
              <w:br/>
              <w:t>• Requires explicit feature engineering for cycles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Complexity: O(p^2 n + p^3)</w:t>
              <w:br/>
              <w:t>• Suitable for 32-bit ARM Cortex-M EVSE</w:t>
              <w:br/>
              <w:t>• Training: &lt;0.05s, Inference: &lt;0.1ms</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Tree-Based Ensembles (RF / XGBoost)</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Captures intricate non-linear feature interactions</w:t>
              <w:br/>
              <w:t>• Invariant to monotonic feature scaling</w:t>
              <w:br/>
              <w:t>• Generates native feature importance metrics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Incapable of out-of-range target extrapolation</w:t>
              <w:br/>
              <w:t>• High memory footprint for deep tree ensembles</w:t>
              <w:br/>
              <w:t>• Biased split selection toward continuous features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Complexity: O(M * K * d * n)</w:t>
              <w:br/>
              <w:t>• Requires edge Linux gateway or cloud EMS</w:t>
              <w:br/>
              <w:t>• Training: 1.0–4.0s, Inference: 1–5ms</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Recurrent Sequence Models (LSTM / GRU)</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Retains multi-step sequential temporal context</w:t>
              <w:br/>
              <w:t>• Models continuous state representations</w:t>
              <w:br/>
              <w:t>• Handles variable-length historical sequences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Prone to gradient vanishing on long lags</w:t>
              <w:br/>
              <w:t>• Overfits to zero-demand sequences</w:t>
              <w:br/>
              <w:t>• Black-box nature impedes operator trust</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Complexity: O(T * W)</w:t>
              <w:br/>
              <w:t>• Mandates dedicated GPU acceleration</w:t>
              <w:br/>
              <w:t>• Training: minutes, Inference: 10–50ms</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Attention &amp; Transformer Architectures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Models arbitrary cross-time dependencies</w:t>
              <w:br/>
              <w:t>• Self-attention weights provide interpretability</w:t>
              <w:br/>
              <w:t>• Superior scaling on massive regional datasets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Quadratic memory complexity with sequence length</w:t>
              <w:br/>
              <w:t>• Prone to catastrophic overfitting on small samples</w:t>
              <w:br/>
              <w:t>• Severe sensitivity to learning rate schedules</w:t>
            </w:r>
          </w:p>
        </w:tc>
        <w:tc>
          <w:tcPr>
            <w:tcW w:type="dxa" w:w="2592"/>
            <w:shd w:fill="F8FAFC"/>
            <w:tcMar>
              <w:top w:w="70" w:type="dxa"/>
              <w:bottom w:w="70" w:type="dxa"/>
              <w:left w:w="80" w:type="dxa"/>
              <w:right w:w="80" w:type="dxa"/>
            </w:tcMar>
            <w:vAlign w:val="center"/>
          </w:tcPr>
          <w:p>
            <w:pPr>
              <w:spacing w:before="0" w:after="0"/>
            </w:pPr>
            <w:r>
              <w:rPr>
                <w:rFonts w:ascii="Arial" w:hAnsi="Arial"/>
                <w:color w:val="1E293B"/>
                <w:sz w:val="15"/>
              </w:rPr>
              <w:t>• Complexity: O(L^2) to O(L log L)</w:t>
              <w:br/>
              <w:t>• High-performance GPU server required</w:t>
              <w:br/>
              <w:t>• Training: hours, Inference: 50–200ms</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Tree Isolation &amp; Density Outlier Detectors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Requires no ground-truth training labels</w:t>
              <w:br/>
              <w:t>• Isolates multivariate extremes simultaneously</w:t>
              <w:br/>
              <w:t>• Consensus filtering removes single-model bias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Boundary cutoff is subjective heuristic (e.g., 3%)</w:t>
              <w:br/>
              <w:t>• Disagree significantly on borderline samples</w:t>
              <w:br/>
              <w:t>• Cannot discern physical faults from user choices</w:t>
            </w:r>
          </w:p>
        </w:tc>
        <w:tc>
          <w:tcPr>
            <w:tcW w:type="dxa" w:w="2592"/>
            <w:shd w:fill="FFFFFF"/>
            <w:tcMar>
              <w:top w:w="70" w:type="dxa"/>
              <w:bottom w:w="70" w:type="dxa"/>
              <w:left w:w="80" w:type="dxa"/>
              <w:right w:w="80" w:type="dxa"/>
            </w:tcMar>
            <w:vAlign w:val="center"/>
          </w:tcPr>
          <w:p>
            <w:pPr>
              <w:spacing w:before="0" w:after="0"/>
            </w:pPr>
            <w:r>
              <w:rPr>
                <w:rFonts w:ascii="Arial" w:hAnsi="Arial"/>
                <w:color w:val="1E293B"/>
                <w:sz w:val="15"/>
              </w:rPr>
              <w:t>• Complexity: O(n log n) [iF] / O(n^2) [LOF]</w:t>
              <w:br/>
              <w:t>• Suitable for periodic offline edge batch audit</w:t>
              <w:br/>
              <w:t>• Execution: 0.2–0.6s per 5,000 sessions</w:t>
            </w:r>
          </w:p>
        </w:tc>
      </w:tr>
    </w:tbl>
    <w:p>
      <w:pPr>
        <w:keepNext/>
        <w:spacing w:before="240" w:after="80"/>
        <w:jc w:val="left"/>
      </w:pPr>
      <w:r>
        <w:rPr>
          <w:rFonts w:ascii="Arial" w:hAnsi="Arial"/>
          <w:b/>
          <w:color w:val="1E3A8A"/>
          <w:sz w:val="19"/>
        </w:rPr>
        <w:t xml:space="preserve">Table 6: </w:t>
      </w:r>
      <w:r>
        <w:rPr>
          <w:rFonts w:ascii="Arial" w:hAnsi="Arial"/>
          <w:b/>
          <w:color w:val="1E293B"/>
          <w:sz w:val="19"/>
        </w:rPr>
        <w:t>Evolution of EV Charging Analytics Research Trends (2018–2026)</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6"/>
              </w:rPr>
              <w:t>Era / Period</w:t>
            </w:r>
          </w:p>
        </w:tc>
        <w:tc>
          <w:tcPr>
            <w:tcW w:type="dxa" w:w="1872"/>
            <w:shd w:fill="1E3A8A"/>
            <w:tcMar>
              <w:top w:w="100" w:type="dxa"/>
              <w:bottom w:w="100" w:type="dxa"/>
              <w:left w:w="90" w:type="dxa"/>
              <w:right w:w="90" w:type="dxa"/>
            </w:tcMar>
            <w:vAlign w:val="center"/>
          </w:tcPr>
          <w:p>
            <w:pPr>
              <w:spacing w:before="0" w:after="0"/>
              <w:jc w:val="center"/>
            </w:pPr>
            <w:r>
              <w:rPr>
                <w:rFonts w:ascii="Arial" w:hAnsi="Arial"/>
                <w:b/>
                <w:color w:val="FFFFFF"/>
                <w:sz w:val="16"/>
              </w:rPr>
              <w:t>Dominant Modeling Paradigms</w:t>
            </w:r>
          </w:p>
        </w:tc>
        <w:tc>
          <w:tcPr>
            <w:tcW w:type="dxa" w:w="2016"/>
            <w:shd w:fill="1E3A8A"/>
            <w:tcMar>
              <w:top w:w="100" w:type="dxa"/>
              <w:bottom w:w="100" w:type="dxa"/>
              <w:left w:w="90" w:type="dxa"/>
              <w:right w:w="90" w:type="dxa"/>
            </w:tcMar>
            <w:vAlign w:val="center"/>
          </w:tcPr>
          <w:p>
            <w:pPr>
              <w:spacing w:before="0" w:after="0"/>
              <w:jc w:val="center"/>
            </w:pPr>
            <w:r>
              <w:rPr>
                <w:rFonts w:ascii="Arial" w:hAnsi="Arial"/>
                <w:b/>
                <w:color w:val="FFFFFF"/>
                <w:sz w:val="16"/>
              </w:rPr>
              <w:t>Benchmark Datasets Used</w:t>
            </w:r>
          </w:p>
        </w:tc>
        <w:tc>
          <w:tcPr>
            <w:tcW w:type="dxa" w:w="2016"/>
            <w:shd w:fill="1E3A8A"/>
            <w:tcMar>
              <w:top w:w="100" w:type="dxa"/>
              <w:bottom w:w="100" w:type="dxa"/>
              <w:left w:w="90" w:type="dxa"/>
              <w:right w:w="90" w:type="dxa"/>
            </w:tcMar>
            <w:vAlign w:val="center"/>
          </w:tcPr>
          <w:p>
            <w:pPr>
              <w:spacing w:before="0" w:after="0"/>
              <w:jc w:val="center"/>
            </w:pPr>
            <w:r>
              <w:rPr>
                <w:rFonts w:ascii="Arial" w:hAnsi="Arial"/>
                <w:b/>
                <w:color w:val="FFFFFF"/>
                <w:sz w:val="16"/>
              </w:rPr>
              <w:t>Key Methodological Advancements</w:t>
            </w:r>
          </w:p>
        </w:tc>
        <w:tc>
          <w:tcPr>
            <w:tcW w:type="dxa" w:w="2016"/>
            <w:shd w:fill="1E3A8A"/>
            <w:tcMar>
              <w:top w:w="100" w:type="dxa"/>
              <w:bottom w:w="100" w:type="dxa"/>
              <w:left w:w="90" w:type="dxa"/>
              <w:right w:w="90" w:type="dxa"/>
            </w:tcMar>
            <w:vAlign w:val="center"/>
          </w:tcPr>
          <w:p>
            <w:pPr>
              <w:spacing w:before="0" w:after="0"/>
              <w:jc w:val="center"/>
            </w:pPr>
            <w:r>
              <w:rPr>
                <w:rFonts w:ascii="Arial" w:hAnsi="Arial"/>
                <w:b/>
                <w:color w:val="FFFFFF"/>
                <w:sz w:val="16"/>
              </w:rPr>
              <w:t>Typical Predictive Performance</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Foundational Era (2018–2020)</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5"/>
              </w:rPr>
              <w:t>Statistical persistence, ARIMA, SVR, Basic Random Forest</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Early ElaadNL releases, Pecan Street, small municipal feeds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Establishment of charging duration and dwell time concepts; early unmanaged impact studies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RMSE: 25–35 kWh; R² &lt; 0.0; High MAPE (&gt;40%) due to intermittent zero-demand periods</w:t>
            </w:r>
          </w:p>
        </w:tc>
      </w:tr>
      <w:tr>
        <w:trPr>
          <w:cantSplit/>
        </w:trPr>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Expansion &amp; Growth (2021–2023)</w:t>
            </w:r>
          </w:p>
        </w:tc>
        <w:tc>
          <w:tcPr>
            <w:tcW w:type="dxa" w:w="1872"/>
            <w:shd w:fill="FFFFFF"/>
            <w:tcMar>
              <w:top w:w="70" w:type="dxa"/>
              <w:bottom w:w="70" w:type="dxa"/>
              <w:left w:w="80" w:type="dxa"/>
              <w:right w:w="80" w:type="dxa"/>
            </w:tcMar>
            <w:vAlign w:val="center"/>
          </w:tcPr>
          <w:p>
            <w:pPr>
              <w:spacing w:before="0" w:after="0"/>
            </w:pPr>
            <w:r>
              <w:rPr>
                <w:rFonts w:ascii="Arial" w:hAnsi="Arial"/>
                <w:color w:val="1E293B"/>
                <w:sz w:val="15"/>
              </w:rPr>
              <w:t>XGBoost, LightGBM, Standard LSTM, BiLSTM, Isolation Forest</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ACN-Data (Caltech/JPL), Boulder Open Data, Dundee Hubs</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Introduction of chronological splitting; recognition of zero-inflation; dual-detector anomaly concepts</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RMSE: 16–22 kWh; R²: 0.05–0.15; Significant variance reduction via boosted tree ensembles</w:t>
            </w:r>
          </w:p>
        </w:tc>
      </w:tr>
      <w:tr>
        <w:trPr>
          <w:cantSplit/>
        </w:trPr>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Maturation &amp; State-of-the-Art (2024–2026)</w:t>
            </w:r>
          </w:p>
        </w:tc>
        <w:tc>
          <w:tcPr>
            <w:tcW w:type="dxa" w:w="1872"/>
            <w:shd w:fill="F8FAFC"/>
            <w:tcMar>
              <w:top w:w="70" w:type="dxa"/>
              <w:bottom w:w="70" w:type="dxa"/>
              <w:left w:w="80" w:type="dxa"/>
              <w:right w:w="80" w:type="dxa"/>
            </w:tcMar>
            <w:vAlign w:val="center"/>
          </w:tcPr>
          <w:p>
            <w:pPr>
              <w:spacing w:before="0" w:after="0"/>
            </w:pPr>
            <w:r>
              <w:rPr>
                <w:rFonts w:ascii="Arial" w:hAnsi="Arial"/>
                <w:color w:val="1E293B"/>
                <w:sz w:val="15"/>
              </w:rPr>
              <w:t>Temporal Transformers (Informer, PatchTST), Conformal Prediction, ST-GNNs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Multi-facility aggregated feeds, High-resolution smart meter streams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Physics-informed constraints; federated edge learning; multi-quantile ramp estimation; explainable XAI</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RMSE: 13–16 kWh; Calibrated 90% prediction intervals; consensus outlier detection F1 &gt; 0.85</w:t>
            </w:r>
          </w:p>
        </w:tc>
      </w:tr>
    </w:tbl>
    <w:p>
      <w:pPr>
        <w:keepNext/>
        <w:spacing w:before="240" w:after="80"/>
        <w:jc w:val="left"/>
      </w:pPr>
      <w:r>
        <w:rPr>
          <w:rFonts w:ascii="Arial" w:hAnsi="Arial"/>
          <w:b/>
          <w:color w:val="1E3A8A"/>
          <w:sz w:val="19"/>
        </w:rPr>
        <w:t xml:space="preserve">Table 7: </w:t>
      </w:r>
      <w:r>
        <w:rPr>
          <w:rFonts w:ascii="Arial" w:hAnsi="Arial"/>
          <w:b/>
          <w:color w:val="1E293B"/>
          <w:sz w:val="19"/>
        </w:rPr>
        <w:t>Comprehensive Research Gap Analysis across Thematic Dimensions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576"/>
            <w:shd w:fill="1E3A8A"/>
            <w:tcMar>
              <w:top w:w="100" w:type="dxa"/>
              <w:bottom w:w="100" w:type="dxa"/>
              <w:left w:w="90" w:type="dxa"/>
              <w:right w:w="90" w:type="dxa"/>
            </w:tcMar>
            <w:vAlign w:val="center"/>
          </w:tcPr>
          <w:p>
            <w:pPr>
              <w:spacing w:before="0" w:after="0"/>
              <w:jc w:val="center"/>
            </w:pPr>
            <w:r>
              <w:rPr>
                <w:rFonts w:ascii="Arial" w:hAnsi="Arial"/>
                <w:b/>
                <w:color w:val="FFFFFF"/>
                <w:sz w:val="16"/>
              </w:rPr>
              <w:t>S.No.</w:t>
            </w:r>
          </w:p>
        </w:tc>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6"/>
              </w:rPr>
              <w:t>Gap Category</w:t>
            </w:r>
          </w:p>
        </w:tc>
        <w:tc>
          <w:tcPr>
            <w:tcW w:type="dxa" w:w="2304"/>
            <w:shd w:fill="1E3A8A"/>
            <w:tcMar>
              <w:top w:w="100" w:type="dxa"/>
              <w:bottom w:w="100" w:type="dxa"/>
              <w:left w:w="90" w:type="dxa"/>
              <w:right w:w="90" w:type="dxa"/>
            </w:tcMar>
            <w:vAlign w:val="center"/>
          </w:tcPr>
          <w:p>
            <w:pPr>
              <w:spacing w:before="0" w:after="0"/>
              <w:jc w:val="center"/>
            </w:pPr>
            <w:r>
              <w:rPr>
                <w:rFonts w:ascii="Arial" w:hAnsi="Arial"/>
                <w:b/>
                <w:color w:val="FFFFFF"/>
                <w:sz w:val="16"/>
              </w:rPr>
              <w:t>Problem Formulation &amp; Current Limitation</w:t>
            </w:r>
          </w:p>
        </w:tc>
        <w:tc>
          <w:tcPr>
            <w:tcW w:type="dxa" w:w="2304"/>
            <w:shd w:fill="1E3A8A"/>
            <w:tcMar>
              <w:top w:w="100" w:type="dxa"/>
              <w:bottom w:w="100" w:type="dxa"/>
              <w:left w:w="90" w:type="dxa"/>
              <w:right w:w="90" w:type="dxa"/>
            </w:tcMar>
            <w:vAlign w:val="center"/>
          </w:tcPr>
          <w:p>
            <w:pPr>
              <w:spacing w:before="0" w:after="0"/>
              <w:jc w:val="center"/>
            </w:pPr>
            <w:r>
              <w:rPr>
                <w:rFonts w:ascii="Arial" w:hAnsi="Arial"/>
                <w:b/>
                <w:color w:val="FFFFFF"/>
                <w:sz w:val="16"/>
              </w:rPr>
              <w:t>Real-World Smart-Grid Consequence</w:t>
            </w:r>
          </w:p>
        </w:tc>
        <w:tc>
          <w:tcPr>
            <w:tcW w:type="dxa" w:w="2736"/>
            <w:shd w:fill="1E3A8A"/>
            <w:tcMar>
              <w:top w:w="100" w:type="dxa"/>
              <w:bottom w:w="100" w:type="dxa"/>
              <w:left w:w="90" w:type="dxa"/>
              <w:right w:w="90" w:type="dxa"/>
            </w:tcMar>
            <w:vAlign w:val="center"/>
          </w:tcPr>
          <w:p>
            <w:pPr>
              <w:spacing w:before="0" w:after="0"/>
              <w:jc w:val="center"/>
            </w:pPr>
            <w:r>
              <w:rPr>
                <w:rFonts w:ascii="Arial" w:hAnsi="Arial"/>
                <w:b/>
                <w:color w:val="FFFFFF"/>
                <w:sz w:val="16"/>
              </w:rPr>
              <w:t>Proposed Mitigation / Future Solution</w:t>
            </w:r>
          </w:p>
        </w:tc>
      </w:tr>
      <w:tr>
        <w:trPr>
          <w:cantSplit/>
        </w:trPr>
        <w:tc>
          <w:tcPr>
            <w:tcW w:type="dxa" w:w="576"/>
            <w:shd w:fill="F8FAFC"/>
            <w:tcMar>
              <w:top w:w="70" w:type="dxa"/>
              <w:bottom w:w="70" w:type="dxa"/>
              <w:left w:w="80" w:type="dxa"/>
              <w:right w:w="80" w:type="dxa"/>
            </w:tcMar>
            <w:vAlign w:val="center"/>
          </w:tcPr>
          <w:p>
            <w:pPr>
              <w:spacing w:before="0" w:after="0"/>
            </w:pPr>
            <w:r>
              <w:rPr>
                <w:rFonts w:ascii="Arial" w:hAnsi="Arial"/>
                <w:color w:val="1E293B"/>
                <w:sz w:val="15"/>
              </w:rPr>
              <w:t>1</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Zero-Inflation Modeling Deficit</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Standard loss functions (MSE) fail when 79.1% of hourly records are zero</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Predictors generate negative demand or suffer variance explosion on morning ramps</w:t>
            </w:r>
          </w:p>
        </w:tc>
        <w:tc>
          <w:tcPr>
            <w:tcW w:type="dxa" w:w="2736"/>
            <w:shd w:fill="F8FAFC"/>
            <w:tcMar>
              <w:top w:w="70" w:type="dxa"/>
              <w:bottom w:w="70" w:type="dxa"/>
              <w:left w:w="80" w:type="dxa"/>
              <w:right w:w="80" w:type="dxa"/>
            </w:tcMar>
            <w:vAlign w:val="center"/>
          </w:tcPr>
          <w:p>
            <w:pPr>
              <w:spacing w:before="0" w:after="0"/>
            </w:pPr>
            <w:r>
              <w:rPr>
                <w:rFonts w:ascii="Arial" w:hAnsi="Arial"/>
                <w:color w:val="1E293B"/>
                <w:sz w:val="15"/>
              </w:rPr>
              <w:t>Develop hurdle models, zero-inflated Poisson/Gamma, or Tweedie compound Poisson objectives</w:t>
            </w:r>
          </w:p>
        </w:tc>
      </w:tr>
      <w:tr>
        <w:trPr>
          <w:cantSplit/>
        </w:trPr>
        <w:tc>
          <w:tcPr>
            <w:tcW w:type="dxa" w:w="576"/>
            <w:shd w:fill="FFFFFF"/>
            <w:tcMar>
              <w:top w:w="70" w:type="dxa"/>
              <w:bottom w:w="70" w:type="dxa"/>
              <w:left w:w="80" w:type="dxa"/>
              <w:right w:w="80" w:type="dxa"/>
            </w:tcMar>
            <w:vAlign w:val="center"/>
          </w:tcPr>
          <w:p>
            <w:pPr>
              <w:spacing w:before="0" w:after="0"/>
            </w:pPr>
            <w:r>
              <w:rPr>
                <w:rFonts w:ascii="Arial" w:hAnsi="Arial"/>
                <w:color w:val="1E293B"/>
                <w:sz w:val="15"/>
              </w:rPr>
              <w:t>2</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Lack of Feeder Head Co-Simulation</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EV charging telemetry is analyzed in isolation from substation transformer power flow</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Local optimizations trigger unobserved distribution feeder voltage sags and line congestion</w:t>
            </w:r>
          </w:p>
        </w:tc>
        <w:tc>
          <w:tcPr>
            <w:tcW w:type="dxa" w:w="2736"/>
            <w:shd w:fill="FFFFFF"/>
            <w:tcMar>
              <w:top w:w="70" w:type="dxa"/>
              <w:bottom w:w="70" w:type="dxa"/>
              <w:left w:w="80" w:type="dxa"/>
              <w:right w:w="80" w:type="dxa"/>
            </w:tcMar>
            <w:vAlign w:val="center"/>
          </w:tcPr>
          <w:p>
            <w:pPr>
              <w:spacing w:before="0" w:after="0"/>
            </w:pPr>
            <w:r>
              <w:rPr>
                <w:rFonts w:ascii="Arial" w:hAnsi="Arial"/>
                <w:color w:val="1E293B"/>
                <w:sz w:val="15"/>
              </w:rPr>
              <w:t>Establish co-simulation testbeds coupling ACN-Data with OpenDSS grid feeder models</w:t>
            </w:r>
          </w:p>
        </w:tc>
      </w:tr>
      <w:tr>
        <w:trPr>
          <w:cantSplit/>
        </w:trPr>
        <w:tc>
          <w:tcPr>
            <w:tcW w:type="dxa" w:w="576"/>
            <w:shd w:fill="F8FAFC"/>
            <w:tcMar>
              <w:top w:w="70" w:type="dxa"/>
              <w:bottom w:w="70" w:type="dxa"/>
              <w:left w:w="80" w:type="dxa"/>
              <w:right w:w="80" w:type="dxa"/>
            </w:tcMar>
            <w:vAlign w:val="center"/>
          </w:tcPr>
          <w:p>
            <w:pPr>
              <w:spacing w:before="0" w:after="0"/>
            </w:pPr>
            <w:r>
              <w:rPr>
                <w:rFonts w:ascii="Arial" w:hAnsi="Arial"/>
                <w:color w:val="1E293B"/>
                <w:sz w:val="15"/>
              </w:rPr>
              <w:t>3</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Absence of Anomaly Ground Truth</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Telemetry archives lack physical maintenance logs and confirmed failure tags</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Operators cannot definitively distinguish sensor bugs from behavioral parking abuses</w:t>
            </w:r>
          </w:p>
        </w:tc>
        <w:tc>
          <w:tcPr>
            <w:tcW w:type="dxa" w:w="2736"/>
            <w:shd w:fill="F8FAFC"/>
            <w:tcMar>
              <w:top w:w="70" w:type="dxa"/>
              <w:bottom w:w="70" w:type="dxa"/>
              <w:left w:w="80" w:type="dxa"/>
              <w:right w:w="80" w:type="dxa"/>
            </w:tcMar>
            <w:vAlign w:val="center"/>
          </w:tcPr>
          <w:p>
            <w:pPr>
              <w:spacing w:before="0" w:after="0"/>
            </w:pPr>
            <w:r>
              <w:rPr>
                <w:rFonts w:ascii="Arial" w:hAnsi="Arial"/>
                <w:color w:val="1E293B"/>
                <w:sz w:val="15"/>
              </w:rPr>
              <w:t>Deploy semi-supervised active learning with technician verification workflows</w:t>
            </w:r>
          </w:p>
        </w:tc>
      </w:tr>
      <w:tr>
        <w:trPr>
          <w:cantSplit/>
        </w:trPr>
        <w:tc>
          <w:tcPr>
            <w:tcW w:type="dxa" w:w="576"/>
            <w:shd w:fill="FFFFFF"/>
            <w:tcMar>
              <w:top w:w="70" w:type="dxa"/>
              <w:bottom w:w="70" w:type="dxa"/>
              <w:left w:w="80" w:type="dxa"/>
              <w:right w:w="80" w:type="dxa"/>
            </w:tcMar>
            <w:vAlign w:val="center"/>
          </w:tcPr>
          <w:p>
            <w:pPr>
              <w:spacing w:before="0" w:after="0"/>
            </w:pPr>
            <w:r>
              <w:rPr>
                <w:rFonts w:ascii="Arial" w:hAnsi="Arial"/>
                <w:color w:val="1E293B"/>
                <w:sz w:val="15"/>
              </w:rPr>
              <w:t>4</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Ramp Under-Prediction in Point Forecasts</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Deterministic regression systematically clips acute coincident bursts (&gt;59.1 kWh)</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Distribution transformers face unmitigated thermal stress during commuter morning rush</w:t>
            </w:r>
          </w:p>
        </w:tc>
        <w:tc>
          <w:tcPr>
            <w:tcW w:type="dxa" w:w="2736"/>
            <w:shd w:fill="FFFFFF"/>
            <w:tcMar>
              <w:top w:w="70" w:type="dxa"/>
              <w:bottom w:w="70" w:type="dxa"/>
              <w:left w:w="80" w:type="dxa"/>
              <w:right w:w="80" w:type="dxa"/>
            </w:tcMar>
            <w:vAlign w:val="center"/>
          </w:tcPr>
          <w:p>
            <w:pPr>
              <w:spacing w:before="0" w:after="0"/>
            </w:pPr>
            <w:r>
              <w:rPr>
                <w:rFonts w:ascii="Arial" w:hAnsi="Arial"/>
                <w:color w:val="1E293B"/>
                <w:sz w:val="15"/>
              </w:rPr>
              <w:t>Implement Conformalized Quantile Regression to provide rigorous upper-bound reserve margins</w:t>
            </w:r>
          </w:p>
        </w:tc>
      </w:tr>
      <w:tr>
        <w:trPr>
          <w:cantSplit/>
        </w:trPr>
        <w:tc>
          <w:tcPr>
            <w:tcW w:type="dxa" w:w="576"/>
            <w:shd w:fill="F8FAFC"/>
            <w:tcMar>
              <w:top w:w="70" w:type="dxa"/>
              <w:bottom w:w="70" w:type="dxa"/>
              <w:left w:w="80" w:type="dxa"/>
              <w:right w:w="80" w:type="dxa"/>
            </w:tcMar>
            <w:vAlign w:val="center"/>
          </w:tcPr>
          <w:p>
            <w:pPr>
              <w:spacing w:before="0" w:after="0"/>
            </w:pPr>
            <w:r>
              <w:rPr>
                <w:rFonts w:ascii="Arial" w:hAnsi="Arial"/>
                <w:color w:val="1E293B"/>
                <w:sz w:val="15"/>
              </w:rPr>
              <w:t>5</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Lack of Online Edge Controller Execution</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Heavy deep learning models cannot run on embedded EVSE microcontrollers</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Stations cannot dynamically modulate pilot current during network communication outages</w:t>
            </w:r>
          </w:p>
        </w:tc>
        <w:tc>
          <w:tcPr>
            <w:tcW w:type="dxa" w:w="2736"/>
            <w:shd w:fill="F8FAFC"/>
            <w:tcMar>
              <w:top w:w="70" w:type="dxa"/>
              <w:bottom w:w="70" w:type="dxa"/>
              <w:left w:w="80" w:type="dxa"/>
              <w:right w:w="80" w:type="dxa"/>
            </w:tcMar>
            <w:vAlign w:val="center"/>
          </w:tcPr>
          <w:p>
            <w:pPr>
              <w:spacing w:before="0" w:after="0"/>
            </w:pPr>
            <w:r>
              <w:rPr>
                <w:rFonts w:ascii="Arial" w:hAnsi="Arial"/>
                <w:color w:val="1E293B"/>
                <w:sz w:val="15"/>
              </w:rPr>
              <w:t>Quantize regularized linear and tree models onto ARM Cortex-M microcontrollers</w:t>
            </w:r>
          </w:p>
        </w:tc>
      </w:tr>
      <w:tr>
        <w:trPr>
          <w:cantSplit/>
        </w:trPr>
        <w:tc>
          <w:tcPr>
            <w:tcW w:type="dxa" w:w="576"/>
            <w:shd w:fill="FFFFFF"/>
            <w:tcMar>
              <w:top w:w="70" w:type="dxa"/>
              <w:bottom w:w="70" w:type="dxa"/>
              <w:left w:w="80" w:type="dxa"/>
              <w:right w:w="80" w:type="dxa"/>
            </w:tcMar>
            <w:vAlign w:val="center"/>
          </w:tcPr>
          <w:p>
            <w:pPr>
              <w:spacing w:before="0" w:after="0"/>
            </w:pPr>
            <w:r>
              <w:rPr>
                <w:rFonts w:ascii="Arial" w:hAnsi="Arial"/>
                <w:color w:val="1E293B"/>
                <w:sz w:val="15"/>
              </w:rPr>
              <w:t>6</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Multi-Site Generalizability Barrier</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Algorithms trained and evaluated on single facility microclimates (ACN-Data)</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Models fail to transfer across residential, highway, and international sites</w:t>
            </w:r>
          </w:p>
        </w:tc>
        <w:tc>
          <w:tcPr>
            <w:tcW w:type="dxa" w:w="2736"/>
            <w:shd w:fill="FFFFFF"/>
            <w:tcMar>
              <w:top w:w="70" w:type="dxa"/>
              <w:bottom w:w="70" w:type="dxa"/>
              <w:left w:w="80" w:type="dxa"/>
              <w:right w:w="80" w:type="dxa"/>
            </w:tcMar>
            <w:vAlign w:val="center"/>
          </w:tcPr>
          <w:p>
            <w:pPr>
              <w:spacing w:before="0" w:after="0"/>
            </w:pPr>
            <w:r>
              <w:rPr>
                <w:rFonts w:ascii="Arial" w:hAnsi="Arial"/>
                <w:color w:val="1E293B"/>
                <w:sz w:val="15"/>
              </w:rPr>
              <w:t>Execute transfer-learning and domain-adaptation benchmarks across ElaadNL and ACN-Data</w:t>
            </w:r>
          </w:p>
        </w:tc>
      </w:tr>
      <w:tr>
        <w:trPr>
          <w:cantSplit/>
        </w:trPr>
        <w:tc>
          <w:tcPr>
            <w:tcW w:type="dxa" w:w="576"/>
            <w:shd w:fill="F8FAFC"/>
            <w:tcMar>
              <w:top w:w="70" w:type="dxa"/>
              <w:bottom w:w="70" w:type="dxa"/>
              <w:left w:w="80" w:type="dxa"/>
              <w:right w:w="80" w:type="dxa"/>
            </w:tcMar>
            <w:vAlign w:val="center"/>
          </w:tcPr>
          <w:p>
            <w:pPr>
              <w:spacing w:before="0" w:after="0"/>
            </w:pPr>
            <w:r>
              <w:rPr>
                <w:rFonts w:ascii="Arial" w:hAnsi="Arial"/>
                <w:color w:val="1E293B"/>
                <w:sz w:val="15"/>
              </w:rPr>
              <w:t>7</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Cyber-Physical &amp; Privacy Vulnerabilities</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User connection timestamps and location IDs expose private commuter mobility patterns</w:t>
            </w:r>
          </w:p>
        </w:tc>
        <w:tc>
          <w:tcPr>
            <w:tcW w:type="dxa" w:w="2304"/>
            <w:shd w:fill="F8FAFC"/>
            <w:tcMar>
              <w:top w:w="70" w:type="dxa"/>
              <w:bottom w:w="70" w:type="dxa"/>
              <w:left w:w="80" w:type="dxa"/>
              <w:right w:w="80" w:type="dxa"/>
            </w:tcMar>
            <w:vAlign w:val="center"/>
          </w:tcPr>
          <w:p>
            <w:pPr>
              <w:spacing w:before="0" w:after="0"/>
            </w:pPr>
            <w:r>
              <w:rPr>
                <w:rFonts w:ascii="Arial" w:hAnsi="Arial"/>
                <w:color w:val="1E293B"/>
                <w:sz w:val="15"/>
              </w:rPr>
              <w:t>Centralized charging dispatch creates prime targets for telemetry spoofing</w:t>
            </w:r>
          </w:p>
        </w:tc>
        <w:tc>
          <w:tcPr>
            <w:tcW w:type="dxa" w:w="2736"/>
            <w:shd w:fill="F8FAFC"/>
            <w:tcMar>
              <w:top w:w="70" w:type="dxa"/>
              <w:bottom w:w="70" w:type="dxa"/>
              <w:left w:w="80" w:type="dxa"/>
              <w:right w:w="80" w:type="dxa"/>
            </w:tcMar>
            <w:vAlign w:val="center"/>
          </w:tcPr>
          <w:p>
            <w:pPr>
              <w:spacing w:before="0" w:after="0"/>
            </w:pPr>
            <w:r>
              <w:rPr>
                <w:rFonts w:ascii="Arial" w:hAnsi="Arial"/>
                <w:color w:val="1E293B"/>
                <w:sz w:val="15"/>
              </w:rPr>
              <w:t>Implement federated learning architectures with local differential privacy</w:t>
            </w:r>
          </w:p>
        </w:tc>
      </w:tr>
      <w:tr>
        <w:trPr>
          <w:cantSplit/>
        </w:trPr>
        <w:tc>
          <w:tcPr>
            <w:tcW w:type="dxa" w:w="576"/>
            <w:shd w:fill="FFFFFF"/>
            <w:tcMar>
              <w:top w:w="70" w:type="dxa"/>
              <w:bottom w:w="70" w:type="dxa"/>
              <w:left w:w="80" w:type="dxa"/>
              <w:right w:w="80" w:type="dxa"/>
            </w:tcMar>
            <w:vAlign w:val="center"/>
          </w:tcPr>
          <w:p>
            <w:pPr>
              <w:spacing w:before="0" w:after="0"/>
            </w:pPr>
            <w:r>
              <w:rPr>
                <w:rFonts w:ascii="Arial" w:hAnsi="Arial"/>
                <w:color w:val="1E293B"/>
                <w:sz w:val="15"/>
              </w:rPr>
              <w:t>8</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Real-Time Current Throttling Disconnect</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Static hourly forecasts are rarely translated into sub-second dynamic current adjustments</w:t>
            </w:r>
          </w:p>
        </w:tc>
        <w:tc>
          <w:tcPr>
            <w:tcW w:type="dxa" w:w="2304"/>
            <w:shd w:fill="FFFFFF"/>
            <w:tcMar>
              <w:top w:w="70" w:type="dxa"/>
              <w:bottom w:w="70" w:type="dxa"/>
              <w:left w:w="80" w:type="dxa"/>
              <w:right w:w="80" w:type="dxa"/>
            </w:tcMar>
            <w:vAlign w:val="center"/>
          </w:tcPr>
          <w:p>
            <w:pPr>
              <w:spacing w:before="0" w:after="0"/>
            </w:pPr>
            <w:r>
              <w:rPr>
                <w:rFonts w:ascii="Arial" w:hAnsi="Arial"/>
                <w:color w:val="1E293B"/>
                <w:sz w:val="15"/>
              </w:rPr>
              <w:t>Static forecasts fail to protect transformers from rapid transient surges</w:t>
            </w:r>
          </w:p>
        </w:tc>
        <w:tc>
          <w:tcPr>
            <w:tcW w:type="dxa" w:w="2736"/>
            <w:shd w:fill="FFFFFF"/>
            <w:tcMar>
              <w:top w:w="70" w:type="dxa"/>
              <w:bottom w:w="70" w:type="dxa"/>
              <w:left w:w="80" w:type="dxa"/>
              <w:right w:w="80" w:type="dxa"/>
            </w:tcMar>
            <w:vAlign w:val="center"/>
          </w:tcPr>
          <w:p>
            <w:pPr>
              <w:spacing w:before="0" w:after="0"/>
            </w:pPr>
            <w:r>
              <w:rPr>
                <w:rFonts w:ascii="Arial" w:hAnsi="Arial"/>
                <w:color w:val="1E293B"/>
                <w:sz w:val="15"/>
              </w:rPr>
              <w:t>Deploy prospective closed-loop Model Predictive Control leveraging the observed 1.30-hour median idle buffer, pending physical grid-constraint testing</w:t>
            </w:r>
          </w:p>
        </w:tc>
      </w:tr>
    </w:tbl>
    <w:p>
      <w:pPr>
        <w:keepNext/>
        <w:spacing w:before="240" w:after="80"/>
        <w:jc w:val="left"/>
      </w:pPr>
      <w:r>
        <w:rPr>
          <w:rFonts w:ascii="Arial" w:hAnsi="Arial"/>
          <w:b/>
          <w:color w:val="1E3A8A"/>
          <w:sz w:val="19"/>
        </w:rPr>
        <w:t xml:space="preserve">Table 8: </w:t>
      </w:r>
      <w:r>
        <w:rPr>
          <w:rFonts w:ascii="Arial" w:hAnsi="Arial"/>
          <w:b/>
          <w:color w:val="1E293B"/>
          <w:sz w:val="19"/>
        </w:rPr>
        <w:t>Future Research Opportunities and Implementation Enablers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504"/>
            <w:shd w:fill="1E3A8A"/>
            <w:tcMar>
              <w:top w:w="100" w:type="dxa"/>
              <w:bottom w:w="100" w:type="dxa"/>
              <w:left w:w="90" w:type="dxa"/>
              <w:right w:w="90" w:type="dxa"/>
            </w:tcMar>
            <w:vAlign w:val="center"/>
          </w:tcPr>
          <w:p>
            <w:pPr>
              <w:spacing w:before="0" w:after="0"/>
              <w:jc w:val="center"/>
            </w:pPr>
            <w:r>
              <w:rPr>
                <w:rFonts w:ascii="Arial" w:hAnsi="Arial"/>
                <w:b/>
                <w:color w:val="FFFFFF"/>
                <w:sz w:val="16"/>
              </w:rPr>
              <w:t>S.No.</w:t>
            </w:r>
          </w:p>
        </w:tc>
        <w:tc>
          <w:tcPr>
            <w:tcW w:type="dxa" w:w="1512"/>
            <w:shd w:fill="1E3A8A"/>
            <w:tcMar>
              <w:top w:w="100" w:type="dxa"/>
              <w:bottom w:w="100" w:type="dxa"/>
              <w:left w:w="90" w:type="dxa"/>
              <w:right w:w="90" w:type="dxa"/>
            </w:tcMar>
            <w:vAlign w:val="center"/>
          </w:tcPr>
          <w:p>
            <w:pPr>
              <w:spacing w:before="0" w:after="0"/>
              <w:jc w:val="center"/>
            </w:pPr>
            <w:r>
              <w:rPr>
                <w:rFonts w:ascii="Arial" w:hAnsi="Arial"/>
                <w:b/>
                <w:color w:val="FFFFFF"/>
                <w:sz w:val="16"/>
              </w:rPr>
              <w:t>Research Opportunity</w:t>
            </w:r>
          </w:p>
        </w:tc>
        <w:tc>
          <w:tcPr>
            <w:tcW w:type="dxa" w:w="1944"/>
            <w:shd w:fill="1E3A8A"/>
            <w:tcMar>
              <w:top w:w="100" w:type="dxa"/>
              <w:bottom w:w="100" w:type="dxa"/>
              <w:left w:w="90" w:type="dxa"/>
              <w:right w:w="90" w:type="dxa"/>
            </w:tcMar>
            <w:vAlign w:val="center"/>
          </w:tcPr>
          <w:p>
            <w:pPr>
              <w:spacing w:before="0" w:after="0"/>
              <w:jc w:val="center"/>
            </w:pPr>
            <w:r>
              <w:rPr>
                <w:rFonts w:ascii="Arial" w:hAnsi="Arial"/>
                <w:b/>
                <w:color w:val="FFFFFF"/>
                <w:sz w:val="16"/>
              </w:rPr>
              <w:t>Description &amp; Methodological Scope</w:t>
            </w:r>
          </w:p>
        </w:tc>
        <w:tc>
          <w:tcPr>
            <w:tcW w:type="dxa" w:w="1800"/>
            <w:shd w:fill="1E3A8A"/>
            <w:tcMar>
              <w:top w:w="100" w:type="dxa"/>
              <w:bottom w:w="100" w:type="dxa"/>
              <w:left w:w="90" w:type="dxa"/>
              <w:right w:w="90" w:type="dxa"/>
            </w:tcMar>
            <w:vAlign w:val="center"/>
          </w:tcPr>
          <w:p>
            <w:pPr>
              <w:spacing w:before="0" w:after="0"/>
              <w:jc w:val="center"/>
            </w:pPr>
            <w:r>
              <w:rPr>
                <w:rFonts w:ascii="Arial" w:hAnsi="Arial"/>
                <w:b/>
                <w:color w:val="FFFFFF"/>
                <w:sz w:val="16"/>
              </w:rPr>
              <w:t>Potential Smart-Grid Impact</w:t>
            </w:r>
          </w:p>
        </w:tc>
        <w:tc>
          <w:tcPr>
            <w:tcW w:type="dxa" w:w="1584"/>
            <w:shd w:fill="1E3A8A"/>
            <w:tcMar>
              <w:top w:w="100" w:type="dxa"/>
              <w:bottom w:w="100" w:type="dxa"/>
              <w:left w:w="90" w:type="dxa"/>
              <w:right w:w="90" w:type="dxa"/>
            </w:tcMar>
            <w:vAlign w:val="center"/>
          </w:tcPr>
          <w:p>
            <w:pPr>
              <w:spacing w:before="0" w:after="0"/>
              <w:jc w:val="center"/>
            </w:pPr>
            <w:r>
              <w:rPr>
                <w:rFonts w:ascii="Arial" w:hAnsi="Arial"/>
                <w:b/>
                <w:color w:val="FFFFFF"/>
                <w:sz w:val="16"/>
              </w:rPr>
              <w:t>Key Enablers &amp; Required Technologies</w:t>
            </w:r>
          </w:p>
        </w:tc>
        <w:tc>
          <w:tcPr>
            <w:tcW w:type="dxa" w:w="2016"/>
            <w:shd w:fill="1E3A8A"/>
            <w:tcMar>
              <w:top w:w="100" w:type="dxa"/>
              <w:bottom w:w="100" w:type="dxa"/>
              <w:left w:w="90" w:type="dxa"/>
              <w:right w:w="90" w:type="dxa"/>
            </w:tcMar>
            <w:vAlign w:val="center"/>
          </w:tcPr>
          <w:p>
            <w:pPr>
              <w:spacing w:before="0" w:after="0"/>
              <w:jc w:val="center"/>
            </w:pPr>
            <w:r>
              <w:rPr>
                <w:rFonts w:ascii="Arial" w:hAnsi="Arial"/>
                <w:b/>
                <w:color w:val="FFFFFF"/>
                <w:sz w:val="16"/>
              </w:rPr>
              <w:t>Expected Research Outcomes</w:t>
            </w:r>
          </w:p>
        </w:tc>
      </w:tr>
      <w:tr>
        <w:trPr>
          <w:cantSplit/>
        </w:trPr>
        <w:tc>
          <w:tcPr>
            <w:tcW w:type="dxa" w:w="504"/>
            <w:shd w:fill="F8FAFC"/>
            <w:tcMar>
              <w:top w:w="70" w:type="dxa"/>
              <w:bottom w:w="70" w:type="dxa"/>
              <w:left w:w="80" w:type="dxa"/>
              <w:right w:w="80" w:type="dxa"/>
            </w:tcMar>
            <w:vAlign w:val="center"/>
          </w:tcPr>
          <w:p>
            <w:pPr>
              <w:spacing w:before="0" w:after="0"/>
            </w:pPr>
            <w:r>
              <w:rPr>
                <w:rFonts w:ascii="Arial" w:hAnsi="Arial"/>
                <w:color w:val="1E293B"/>
                <w:sz w:val="15"/>
              </w:rPr>
              <w:t>1</w:t>
            </w:r>
          </w:p>
        </w:tc>
        <w:tc>
          <w:tcPr>
            <w:tcW w:type="dxa" w:w="1512"/>
            <w:shd w:fill="F8FAFC"/>
            <w:tcMar>
              <w:top w:w="70" w:type="dxa"/>
              <w:bottom w:w="70" w:type="dxa"/>
              <w:left w:w="80" w:type="dxa"/>
              <w:right w:w="80" w:type="dxa"/>
            </w:tcMar>
            <w:vAlign w:val="center"/>
          </w:tcPr>
          <w:p>
            <w:pPr>
              <w:spacing w:before="0" w:after="0"/>
            </w:pPr>
            <w:r>
              <w:rPr>
                <w:rFonts w:ascii="Arial" w:hAnsi="Arial"/>
                <w:color w:val="1E293B"/>
                <w:sz w:val="15"/>
              </w:rPr>
              <w:t>Physics-Informed Neural Networks (PINNs)</w:t>
            </w:r>
          </w:p>
        </w:tc>
        <w:tc>
          <w:tcPr>
            <w:tcW w:type="dxa" w:w="1944"/>
            <w:shd w:fill="F8FAFC"/>
            <w:tcMar>
              <w:top w:w="70" w:type="dxa"/>
              <w:bottom w:w="70" w:type="dxa"/>
              <w:left w:w="80" w:type="dxa"/>
              <w:right w:w="80" w:type="dxa"/>
            </w:tcMar>
            <w:vAlign w:val="center"/>
          </w:tcPr>
          <w:p>
            <w:pPr>
              <w:spacing w:before="0" w:after="0"/>
            </w:pPr>
            <w:r>
              <w:rPr>
                <w:rFonts w:ascii="Arial" w:hAnsi="Arial"/>
                <w:color w:val="1E293B"/>
                <w:sz w:val="15"/>
              </w:rPr>
              <w:t>Embed distribution transformer thermal equations and line limits into loss functions</w:t>
            </w:r>
          </w:p>
        </w:tc>
        <w:tc>
          <w:tcPr>
            <w:tcW w:type="dxa" w:w="1800"/>
            <w:shd w:fill="F8FAFC"/>
            <w:tcMar>
              <w:top w:w="70" w:type="dxa"/>
              <w:bottom w:w="70" w:type="dxa"/>
              <w:left w:w="80" w:type="dxa"/>
              <w:right w:w="80" w:type="dxa"/>
            </w:tcMar>
            <w:vAlign w:val="center"/>
          </w:tcPr>
          <w:p>
            <w:pPr>
              <w:spacing w:before="0" w:after="0"/>
            </w:pPr>
            <w:r>
              <w:rPr>
                <w:rFonts w:ascii="Arial" w:hAnsi="Arial"/>
                <w:color w:val="1E293B"/>
                <w:sz w:val="15"/>
              </w:rPr>
              <w:t>Eliminates unfeasible power dispatch; prevents localized transformer degradation</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PyTorch, OpenDSS co-simulation, thermal resistance models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Guaranteed constraint-satisfying charging schedules without thermal violation</w:t>
            </w:r>
          </w:p>
        </w:tc>
      </w:tr>
      <w:tr>
        <w:trPr>
          <w:cantSplit/>
        </w:trPr>
        <w:tc>
          <w:tcPr>
            <w:tcW w:type="dxa" w:w="504"/>
            <w:shd w:fill="FFFFFF"/>
            <w:tcMar>
              <w:top w:w="70" w:type="dxa"/>
              <w:bottom w:w="70" w:type="dxa"/>
              <w:left w:w="80" w:type="dxa"/>
              <w:right w:w="80" w:type="dxa"/>
            </w:tcMar>
            <w:vAlign w:val="center"/>
          </w:tcPr>
          <w:p>
            <w:pPr>
              <w:spacing w:before="0" w:after="0"/>
            </w:pPr>
            <w:r>
              <w:rPr>
                <w:rFonts w:ascii="Arial" w:hAnsi="Arial"/>
                <w:color w:val="1E293B"/>
                <w:sz w:val="15"/>
              </w:rPr>
              <w:t>2</w:t>
            </w:r>
          </w:p>
        </w:tc>
        <w:tc>
          <w:tcPr>
            <w:tcW w:type="dxa" w:w="1512"/>
            <w:shd w:fill="FFFFFF"/>
            <w:tcMar>
              <w:top w:w="70" w:type="dxa"/>
              <w:bottom w:w="70" w:type="dxa"/>
              <w:left w:w="80" w:type="dxa"/>
              <w:right w:w="80" w:type="dxa"/>
            </w:tcMar>
            <w:vAlign w:val="center"/>
          </w:tcPr>
          <w:p>
            <w:pPr>
              <w:spacing w:before="0" w:after="0"/>
            </w:pPr>
            <w:r>
              <w:rPr>
                <w:rFonts w:ascii="Arial" w:hAnsi="Arial"/>
                <w:color w:val="1E293B"/>
                <w:sz w:val="15"/>
              </w:rPr>
              <w:t>Conformal Prediction &amp; Quantile Bounds</w:t>
            </w:r>
          </w:p>
        </w:tc>
        <w:tc>
          <w:tcPr>
            <w:tcW w:type="dxa" w:w="1944"/>
            <w:shd w:fill="FFFFFF"/>
            <w:tcMar>
              <w:top w:w="70" w:type="dxa"/>
              <w:bottom w:w="70" w:type="dxa"/>
              <w:left w:w="80" w:type="dxa"/>
              <w:right w:w="80" w:type="dxa"/>
            </w:tcMar>
            <w:vAlign w:val="center"/>
          </w:tcPr>
          <w:p>
            <w:pPr>
              <w:spacing w:before="0" w:after="0"/>
            </w:pPr>
            <w:r>
              <w:rPr>
                <w:rFonts w:ascii="Arial" w:hAnsi="Arial"/>
                <w:color w:val="1E293B"/>
                <w:sz w:val="15"/>
              </w:rPr>
              <w:t>Generate finite-sample, distribution-free probabilistic prediction intervals</w:t>
            </w:r>
          </w:p>
        </w:tc>
        <w:tc>
          <w:tcPr>
            <w:tcW w:type="dxa" w:w="1800"/>
            <w:shd w:fill="FFFFFF"/>
            <w:tcMar>
              <w:top w:w="70" w:type="dxa"/>
              <w:bottom w:w="70" w:type="dxa"/>
              <w:left w:w="80" w:type="dxa"/>
              <w:right w:w="80" w:type="dxa"/>
            </w:tcMar>
            <w:vAlign w:val="center"/>
          </w:tcPr>
          <w:p>
            <w:pPr>
              <w:spacing w:before="0" w:after="0"/>
            </w:pPr>
            <w:r>
              <w:rPr>
                <w:rFonts w:ascii="Arial" w:hAnsi="Arial"/>
                <w:color w:val="1E293B"/>
                <w:sz w:val="15"/>
              </w:rPr>
              <w:t>Provides distribution utilities with quantifiable confidence bands for reserve margins</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Conformalized Quantile Regression, Non-conformity scoring</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Calibrated 90% and 95% coverage bounds on morning ramp magnitudes</w:t>
            </w:r>
          </w:p>
        </w:tc>
      </w:tr>
      <w:tr>
        <w:trPr>
          <w:cantSplit/>
        </w:trPr>
        <w:tc>
          <w:tcPr>
            <w:tcW w:type="dxa" w:w="504"/>
            <w:shd w:fill="F8FAFC"/>
            <w:tcMar>
              <w:top w:w="70" w:type="dxa"/>
              <w:bottom w:w="70" w:type="dxa"/>
              <w:left w:w="80" w:type="dxa"/>
              <w:right w:w="80" w:type="dxa"/>
            </w:tcMar>
            <w:vAlign w:val="center"/>
          </w:tcPr>
          <w:p>
            <w:pPr>
              <w:spacing w:before="0" w:after="0"/>
            </w:pPr>
            <w:r>
              <w:rPr>
                <w:rFonts w:ascii="Arial" w:hAnsi="Arial"/>
                <w:color w:val="1E293B"/>
                <w:sz w:val="15"/>
              </w:rPr>
              <w:t>3</w:t>
            </w:r>
          </w:p>
        </w:tc>
        <w:tc>
          <w:tcPr>
            <w:tcW w:type="dxa" w:w="1512"/>
            <w:shd w:fill="F8FAFC"/>
            <w:tcMar>
              <w:top w:w="70" w:type="dxa"/>
              <w:bottom w:w="70" w:type="dxa"/>
              <w:left w:w="80" w:type="dxa"/>
              <w:right w:w="80" w:type="dxa"/>
            </w:tcMar>
            <w:vAlign w:val="center"/>
          </w:tcPr>
          <w:p>
            <w:pPr>
              <w:spacing w:before="0" w:after="0"/>
            </w:pPr>
            <w:r>
              <w:rPr>
                <w:rFonts w:ascii="Arial" w:hAnsi="Arial"/>
                <w:color w:val="1E293B"/>
                <w:sz w:val="15"/>
              </w:rPr>
              <w:t>Dynamic Dwell Buffer Modulation</w:t>
            </w:r>
          </w:p>
        </w:tc>
        <w:tc>
          <w:tcPr>
            <w:tcW w:type="dxa" w:w="1944"/>
            <w:shd w:fill="F8FAFC"/>
            <w:tcMar>
              <w:top w:w="70" w:type="dxa"/>
              <w:bottom w:w="70" w:type="dxa"/>
              <w:left w:w="80" w:type="dxa"/>
              <w:right w:w="80" w:type="dxa"/>
            </w:tcMar>
            <w:vAlign w:val="center"/>
          </w:tcPr>
          <w:p>
            <w:pPr>
              <w:spacing w:before="0" w:after="0"/>
            </w:pPr>
            <w:r>
              <w:rPr>
                <w:rFonts w:ascii="Arial" w:hAnsi="Arial"/>
                <w:color w:val="1E293B"/>
                <w:sz w:val="15"/>
              </w:rPr>
              <w:t>Exploit the observed 1.30-hour median idle dwell buffer for prospective load shifting</w:t>
            </w:r>
          </w:p>
        </w:tc>
        <w:tc>
          <w:tcPr>
            <w:tcW w:type="dxa" w:w="1800"/>
            <w:shd w:fill="F8FAFC"/>
            <w:tcMar>
              <w:top w:w="70" w:type="dxa"/>
              <w:bottom w:w="70" w:type="dxa"/>
              <w:left w:w="80" w:type="dxa"/>
              <w:right w:w="80" w:type="dxa"/>
            </w:tcMar>
            <w:vAlign w:val="center"/>
          </w:tcPr>
          <w:p>
            <w:pPr>
              <w:spacing w:before="0" w:after="0"/>
            </w:pPr>
            <w:r>
              <w:rPr>
                <w:rFonts w:ascii="Arial" w:hAnsi="Arial"/>
                <w:color w:val="1E293B"/>
                <w:sz w:val="15"/>
              </w:rPr>
              <w:t>Theoretical flattening of the 10:00 AM peak without degrading departure SOC, subject to physical feeder limits</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Adaptive Scheduling Algorithms, OCPP 2.0.1 smart charging profiles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Model-projected (untested) 20%–35% reduction in commercial peak demand charges under idealized control</w:t>
            </w:r>
          </w:p>
        </w:tc>
      </w:tr>
      <w:tr>
        <w:trPr>
          <w:cantSplit/>
        </w:trPr>
        <w:tc>
          <w:tcPr>
            <w:tcW w:type="dxa" w:w="504"/>
            <w:shd w:fill="FFFFFF"/>
            <w:tcMar>
              <w:top w:w="70" w:type="dxa"/>
              <w:bottom w:w="70" w:type="dxa"/>
              <w:left w:w="80" w:type="dxa"/>
              <w:right w:w="80" w:type="dxa"/>
            </w:tcMar>
            <w:vAlign w:val="center"/>
          </w:tcPr>
          <w:p>
            <w:pPr>
              <w:spacing w:before="0" w:after="0"/>
            </w:pPr>
            <w:r>
              <w:rPr>
                <w:rFonts w:ascii="Arial" w:hAnsi="Arial"/>
                <w:color w:val="1E293B"/>
                <w:sz w:val="15"/>
              </w:rPr>
              <w:t>4</w:t>
            </w:r>
          </w:p>
        </w:tc>
        <w:tc>
          <w:tcPr>
            <w:tcW w:type="dxa" w:w="1512"/>
            <w:shd w:fill="FFFFFF"/>
            <w:tcMar>
              <w:top w:w="70" w:type="dxa"/>
              <w:bottom w:w="70" w:type="dxa"/>
              <w:left w:w="80" w:type="dxa"/>
              <w:right w:w="80" w:type="dxa"/>
            </w:tcMar>
            <w:vAlign w:val="center"/>
          </w:tcPr>
          <w:p>
            <w:pPr>
              <w:spacing w:before="0" w:after="0"/>
            </w:pPr>
            <w:r>
              <w:rPr>
                <w:rFonts w:ascii="Arial" w:hAnsi="Arial"/>
                <w:color w:val="1E293B"/>
                <w:sz w:val="15"/>
              </w:rPr>
              <w:t>Privacy-Preserving Federated Learning</w:t>
            </w:r>
          </w:p>
        </w:tc>
        <w:tc>
          <w:tcPr>
            <w:tcW w:type="dxa" w:w="1944"/>
            <w:shd w:fill="FFFFFF"/>
            <w:tcMar>
              <w:top w:w="70" w:type="dxa"/>
              <w:bottom w:w="70" w:type="dxa"/>
              <w:left w:w="80" w:type="dxa"/>
              <w:right w:w="80" w:type="dxa"/>
            </w:tcMar>
            <w:vAlign w:val="center"/>
          </w:tcPr>
          <w:p>
            <w:pPr>
              <w:spacing w:before="0" w:after="0"/>
            </w:pPr>
            <w:r>
              <w:rPr>
                <w:rFonts w:ascii="Arial" w:hAnsi="Arial"/>
                <w:color w:val="1E293B"/>
                <w:sz w:val="15"/>
              </w:rPr>
              <w:t>Train charging models collaboratively across multiple utilities without data pooling</w:t>
            </w:r>
          </w:p>
        </w:tc>
        <w:tc>
          <w:tcPr>
            <w:tcW w:type="dxa" w:w="1800"/>
            <w:shd w:fill="FFFFFF"/>
            <w:tcMar>
              <w:top w:w="70" w:type="dxa"/>
              <w:bottom w:w="70" w:type="dxa"/>
              <w:left w:w="80" w:type="dxa"/>
              <w:right w:w="80" w:type="dxa"/>
            </w:tcMar>
            <w:vAlign w:val="center"/>
          </w:tcPr>
          <w:p>
            <w:pPr>
              <w:spacing w:before="0" w:after="0"/>
            </w:pPr>
            <w:r>
              <w:rPr>
                <w:rFonts w:ascii="Arial" w:hAnsi="Arial"/>
                <w:color w:val="1E293B"/>
                <w:sz w:val="15"/>
              </w:rPr>
              <w:t>Protects driver mobility privacy while improving cross-site model generalization</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Federated Averaging (FedAvg), Differential Privacy, PySyft</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Robust shared predictive models trained across geographically disjoint fleets</w:t>
            </w:r>
          </w:p>
        </w:tc>
      </w:tr>
      <w:tr>
        <w:trPr>
          <w:cantSplit/>
        </w:trPr>
        <w:tc>
          <w:tcPr>
            <w:tcW w:type="dxa" w:w="504"/>
            <w:shd w:fill="F8FAFC"/>
            <w:tcMar>
              <w:top w:w="70" w:type="dxa"/>
              <w:bottom w:w="70" w:type="dxa"/>
              <w:left w:w="80" w:type="dxa"/>
              <w:right w:w="80" w:type="dxa"/>
            </w:tcMar>
            <w:vAlign w:val="center"/>
          </w:tcPr>
          <w:p>
            <w:pPr>
              <w:spacing w:before="0" w:after="0"/>
            </w:pPr>
            <w:r>
              <w:rPr>
                <w:rFonts w:ascii="Arial" w:hAnsi="Arial"/>
                <w:color w:val="1E293B"/>
                <w:sz w:val="15"/>
              </w:rPr>
              <w:t>5</w:t>
            </w:r>
          </w:p>
        </w:tc>
        <w:tc>
          <w:tcPr>
            <w:tcW w:type="dxa" w:w="1512"/>
            <w:shd w:fill="F8FAFC"/>
            <w:tcMar>
              <w:top w:w="70" w:type="dxa"/>
              <w:bottom w:w="70" w:type="dxa"/>
              <w:left w:w="80" w:type="dxa"/>
              <w:right w:w="80" w:type="dxa"/>
            </w:tcMar>
            <w:vAlign w:val="center"/>
          </w:tcPr>
          <w:p>
            <w:pPr>
              <w:spacing w:before="0" w:after="0"/>
            </w:pPr>
            <w:r>
              <w:rPr>
                <w:rFonts w:ascii="Arial" w:hAnsi="Arial"/>
                <w:color w:val="1E293B"/>
                <w:sz w:val="15"/>
              </w:rPr>
              <w:t>Spatio-Temporal Graph Networks (GNNs)</w:t>
            </w:r>
          </w:p>
        </w:tc>
        <w:tc>
          <w:tcPr>
            <w:tcW w:type="dxa" w:w="1944"/>
            <w:shd w:fill="F8FAFC"/>
            <w:tcMar>
              <w:top w:w="70" w:type="dxa"/>
              <w:bottom w:w="70" w:type="dxa"/>
              <w:left w:w="80" w:type="dxa"/>
              <w:right w:w="80" w:type="dxa"/>
            </w:tcMar>
            <w:vAlign w:val="center"/>
          </w:tcPr>
          <w:p>
            <w:pPr>
              <w:spacing w:before="0" w:after="0"/>
            </w:pPr>
            <w:r>
              <w:rPr>
                <w:rFonts w:ascii="Arial" w:hAnsi="Arial"/>
                <w:color w:val="1E293B"/>
                <w:sz w:val="15"/>
              </w:rPr>
              <w:t>Model urban charging station dependencies as dynamic directed graphs</w:t>
            </w:r>
          </w:p>
        </w:tc>
        <w:tc>
          <w:tcPr>
            <w:tcW w:type="dxa" w:w="1800"/>
            <w:shd w:fill="F8FAFC"/>
            <w:tcMar>
              <w:top w:w="70" w:type="dxa"/>
              <w:bottom w:w="70" w:type="dxa"/>
              <w:left w:w="80" w:type="dxa"/>
              <w:right w:w="80" w:type="dxa"/>
            </w:tcMar>
            <w:vAlign w:val="center"/>
          </w:tcPr>
          <w:p>
            <w:pPr>
              <w:spacing w:before="0" w:after="0"/>
            </w:pPr>
            <w:r>
              <w:rPr>
                <w:rFonts w:ascii="Arial" w:hAnsi="Arial"/>
                <w:color w:val="1E293B"/>
                <w:sz w:val="15"/>
              </w:rPr>
              <w:t>Captures commuter diversion between adjacent charging plazas during congestion</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PyTorch Geometric, Spatio-Temporal Graph Convolution (ST-GCN)</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Accurate network-wide congestion and queue-time forecasting</w:t>
            </w:r>
          </w:p>
        </w:tc>
      </w:tr>
      <w:tr>
        <w:trPr>
          <w:cantSplit/>
        </w:trPr>
        <w:tc>
          <w:tcPr>
            <w:tcW w:type="dxa" w:w="504"/>
            <w:shd w:fill="FFFFFF"/>
            <w:tcMar>
              <w:top w:w="70" w:type="dxa"/>
              <w:bottom w:w="70" w:type="dxa"/>
              <w:left w:w="80" w:type="dxa"/>
              <w:right w:w="80" w:type="dxa"/>
            </w:tcMar>
            <w:vAlign w:val="center"/>
          </w:tcPr>
          <w:p>
            <w:pPr>
              <w:spacing w:before="0" w:after="0"/>
            </w:pPr>
            <w:r>
              <w:rPr>
                <w:rFonts w:ascii="Arial" w:hAnsi="Arial"/>
                <w:color w:val="1E293B"/>
                <w:sz w:val="15"/>
              </w:rPr>
              <w:t>6</w:t>
            </w:r>
          </w:p>
        </w:tc>
        <w:tc>
          <w:tcPr>
            <w:tcW w:type="dxa" w:w="1512"/>
            <w:shd w:fill="FFFFFF"/>
            <w:tcMar>
              <w:top w:w="70" w:type="dxa"/>
              <w:bottom w:w="70" w:type="dxa"/>
              <w:left w:w="80" w:type="dxa"/>
              <w:right w:w="80" w:type="dxa"/>
            </w:tcMar>
            <w:vAlign w:val="center"/>
          </w:tcPr>
          <w:p>
            <w:pPr>
              <w:spacing w:before="0" w:after="0"/>
            </w:pPr>
            <w:r>
              <w:rPr>
                <w:rFonts w:ascii="Arial" w:hAnsi="Arial"/>
                <w:color w:val="1E293B"/>
                <w:sz w:val="15"/>
              </w:rPr>
              <w:t>Embedded Edge Throttling Controllers</w:t>
            </w:r>
          </w:p>
        </w:tc>
        <w:tc>
          <w:tcPr>
            <w:tcW w:type="dxa" w:w="1944"/>
            <w:shd w:fill="FFFFFF"/>
            <w:tcMar>
              <w:top w:w="70" w:type="dxa"/>
              <w:bottom w:w="70" w:type="dxa"/>
              <w:left w:w="80" w:type="dxa"/>
              <w:right w:w="80" w:type="dxa"/>
            </w:tcMar>
            <w:vAlign w:val="center"/>
          </w:tcPr>
          <w:p>
            <w:pPr>
              <w:spacing w:before="0" w:after="0"/>
            </w:pPr>
            <w:r>
              <w:rPr>
                <w:rFonts w:ascii="Arial" w:hAnsi="Arial"/>
                <w:color w:val="1E293B"/>
                <w:sz w:val="15"/>
              </w:rPr>
              <w:t>Deploy lightweight quantized linear and tree models directly onto EVSE hardware</w:t>
            </w:r>
          </w:p>
        </w:tc>
        <w:tc>
          <w:tcPr>
            <w:tcW w:type="dxa" w:w="1800"/>
            <w:shd w:fill="FFFFFF"/>
            <w:tcMar>
              <w:top w:w="70" w:type="dxa"/>
              <w:bottom w:w="70" w:type="dxa"/>
              <w:left w:w="80" w:type="dxa"/>
              <w:right w:w="80" w:type="dxa"/>
            </w:tcMar>
            <w:vAlign w:val="center"/>
          </w:tcPr>
          <w:p>
            <w:pPr>
              <w:spacing w:before="0" w:after="0"/>
            </w:pPr>
            <w:r>
              <w:rPr>
                <w:rFonts w:ascii="Arial" w:hAnsi="Arial"/>
                <w:color w:val="1E293B"/>
                <w:sz w:val="15"/>
              </w:rPr>
              <w:t>Enables sub-second autonomous response to local microgrid frequency deviations</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TensorFlow Lite Micro, ONNX Runtime, ARM Cortex-M microcontrollers</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Autonomous resilient charging stations operating during grid communication outages</w:t>
            </w:r>
          </w:p>
        </w:tc>
      </w:tr>
      <w:tr>
        <w:trPr>
          <w:cantSplit/>
        </w:trPr>
        <w:tc>
          <w:tcPr>
            <w:tcW w:type="dxa" w:w="504"/>
            <w:shd w:fill="F8FAFC"/>
            <w:tcMar>
              <w:top w:w="70" w:type="dxa"/>
              <w:bottom w:w="70" w:type="dxa"/>
              <w:left w:w="80" w:type="dxa"/>
              <w:right w:w="80" w:type="dxa"/>
            </w:tcMar>
            <w:vAlign w:val="center"/>
          </w:tcPr>
          <w:p>
            <w:pPr>
              <w:spacing w:before="0" w:after="0"/>
            </w:pPr>
            <w:r>
              <w:rPr>
                <w:rFonts w:ascii="Arial" w:hAnsi="Arial"/>
                <w:color w:val="1E293B"/>
                <w:sz w:val="15"/>
              </w:rPr>
              <w:t>7</w:t>
            </w:r>
          </w:p>
        </w:tc>
        <w:tc>
          <w:tcPr>
            <w:tcW w:type="dxa" w:w="1512"/>
            <w:shd w:fill="F8FAFC"/>
            <w:tcMar>
              <w:top w:w="70" w:type="dxa"/>
              <w:bottom w:w="70" w:type="dxa"/>
              <w:left w:w="80" w:type="dxa"/>
              <w:right w:w="80" w:type="dxa"/>
            </w:tcMar>
            <w:vAlign w:val="center"/>
          </w:tcPr>
          <w:p>
            <w:pPr>
              <w:spacing w:before="0" w:after="0"/>
            </w:pPr>
            <w:r>
              <w:rPr>
                <w:rFonts w:ascii="Arial" w:hAnsi="Arial"/>
                <w:color w:val="1E293B"/>
                <w:sz w:val="15"/>
              </w:rPr>
              <w:t>Time-Series Foundation Models for Energy</w:t>
            </w:r>
          </w:p>
        </w:tc>
        <w:tc>
          <w:tcPr>
            <w:tcW w:type="dxa" w:w="1944"/>
            <w:shd w:fill="F8FAFC"/>
            <w:tcMar>
              <w:top w:w="70" w:type="dxa"/>
              <w:bottom w:w="70" w:type="dxa"/>
              <w:left w:w="80" w:type="dxa"/>
              <w:right w:w="80" w:type="dxa"/>
            </w:tcMar>
            <w:vAlign w:val="center"/>
          </w:tcPr>
          <w:p>
            <w:pPr>
              <w:spacing w:before="0" w:after="0"/>
            </w:pPr>
            <w:r>
              <w:rPr>
                <w:rFonts w:ascii="Arial" w:hAnsi="Arial"/>
                <w:color w:val="1E293B"/>
                <w:sz w:val="15"/>
              </w:rPr>
              <w:t>Fine-tune pre-trained multi-domain time-series foundation models on EV telemetry</w:t>
            </w:r>
          </w:p>
        </w:tc>
        <w:tc>
          <w:tcPr>
            <w:tcW w:type="dxa" w:w="1800"/>
            <w:shd w:fill="F8FAFC"/>
            <w:tcMar>
              <w:top w:w="70" w:type="dxa"/>
              <w:bottom w:w="70" w:type="dxa"/>
              <w:left w:w="80" w:type="dxa"/>
              <w:right w:w="80" w:type="dxa"/>
            </w:tcMar>
            <w:vAlign w:val="center"/>
          </w:tcPr>
          <w:p>
            <w:pPr>
              <w:spacing w:before="0" w:after="0"/>
            </w:pPr>
            <w:r>
              <w:rPr>
                <w:rFonts w:ascii="Arial" w:hAnsi="Arial"/>
                <w:color w:val="1E293B"/>
                <w:sz w:val="15"/>
              </w:rPr>
              <w:t>Zero-shot forecasting on newly commissioned charging plazas without history</w:t>
            </w:r>
          </w:p>
        </w:tc>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Lag-Llama, Chronos, TimeGPT, PatchTST pre-trained checkpoints</w:t>
            </w:r>
          </w:p>
        </w:tc>
        <w:tc>
          <w:tcPr>
            <w:tcW w:type="dxa" w:w="2016"/>
            <w:shd w:fill="F8FAFC"/>
            <w:tcMar>
              <w:top w:w="70" w:type="dxa"/>
              <w:bottom w:w="70" w:type="dxa"/>
              <w:left w:w="80" w:type="dxa"/>
              <w:right w:w="80" w:type="dxa"/>
            </w:tcMar>
            <w:vAlign w:val="center"/>
          </w:tcPr>
          <w:p>
            <w:pPr>
              <w:spacing w:before="0" w:after="0"/>
            </w:pPr>
            <w:r>
              <w:rPr>
                <w:rFonts w:ascii="Arial" w:hAnsi="Arial"/>
                <w:color w:val="1E293B"/>
                <w:sz w:val="15"/>
              </w:rPr>
              <w:t>Dramatic reduction in cold-start forecasting error for new charging sites</w:t>
            </w:r>
          </w:p>
        </w:tc>
      </w:tr>
      <w:tr>
        <w:trPr>
          <w:cantSplit/>
        </w:trPr>
        <w:tc>
          <w:tcPr>
            <w:tcW w:type="dxa" w:w="504"/>
            <w:shd w:fill="FFFFFF"/>
            <w:tcMar>
              <w:top w:w="70" w:type="dxa"/>
              <w:bottom w:w="70" w:type="dxa"/>
              <w:left w:w="80" w:type="dxa"/>
              <w:right w:w="80" w:type="dxa"/>
            </w:tcMar>
            <w:vAlign w:val="center"/>
          </w:tcPr>
          <w:p>
            <w:pPr>
              <w:spacing w:before="0" w:after="0"/>
            </w:pPr>
            <w:r>
              <w:rPr>
                <w:rFonts w:ascii="Arial" w:hAnsi="Arial"/>
                <w:color w:val="1E293B"/>
                <w:sz w:val="15"/>
              </w:rPr>
              <w:t>8</w:t>
            </w:r>
          </w:p>
        </w:tc>
        <w:tc>
          <w:tcPr>
            <w:tcW w:type="dxa" w:w="1512"/>
            <w:shd w:fill="FFFFFF"/>
            <w:tcMar>
              <w:top w:w="70" w:type="dxa"/>
              <w:bottom w:w="70" w:type="dxa"/>
              <w:left w:w="80" w:type="dxa"/>
              <w:right w:w="80" w:type="dxa"/>
            </w:tcMar>
            <w:vAlign w:val="center"/>
          </w:tcPr>
          <w:p>
            <w:pPr>
              <w:spacing w:before="0" w:after="0"/>
            </w:pPr>
            <w:r>
              <w:rPr>
                <w:rFonts w:ascii="Arial" w:hAnsi="Arial"/>
                <w:color w:val="1E293B"/>
                <w:sz w:val="15"/>
              </w:rPr>
              <w:t>Carbon-Aware Co-Optimization</w:t>
            </w:r>
          </w:p>
        </w:tc>
        <w:tc>
          <w:tcPr>
            <w:tcW w:type="dxa" w:w="1944"/>
            <w:shd w:fill="FFFFFF"/>
            <w:tcMar>
              <w:top w:w="70" w:type="dxa"/>
              <w:bottom w:w="70" w:type="dxa"/>
              <w:left w:w="80" w:type="dxa"/>
              <w:right w:w="80" w:type="dxa"/>
            </w:tcMar>
            <w:vAlign w:val="center"/>
          </w:tcPr>
          <w:p>
            <w:pPr>
              <w:spacing w:before="0" w:after="0"/>
            </w:pPr>
            <w:r>
              <w:rPr>
                <w:rFonts w:ascii="Arial" w:hAnsi="Arial"/>
                <w:color w:val="1E293B"/>
                <w:sz w:val="15"/>
              </w:rPr>
              <w:t>Align vehicle energy draw with real-time marginal grid emission intensity</w:t>
            </w:r>
          </w:p>
        </w:tc>
        <w:tc>
          <w:tcPr>
            <w:tcW w:type="dxa" w:w="1800"/>
            <w:shd w:fill="FFFFFF"/>
            <w:tcMar>
              <w:top w:w="70" w:type="dxa"/>
              <w:bottom w:w="70" w:type="dxa"/>
              <w:left w:w="80" w:type="dxa"/>
              <w:right w:w="80" w:type="dxa"/>
            </w:tcMar>
            <w:vAlign w:val="center"/>
          </w:tcPr>
          <w:p>
            <w:pPr>
              <w:spacing w:before="0" w:after="0"/>
            </w:pPr>
            <w:r>
              <w:rPr>
                <w:rFonts w:ascii="Arial" w:hAnsi="Arial"/>
                <w:color w:val="1E293B"/>
                <w:sz w:val="15"/>
              </w:rPr>
              <w:t>Maximizes consumption of clean renewable energy; mitigates grid carbon footprint</w:t>
            </w:r>
          </w:p>
        </w:tc>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CAISO marginal emission telemetry, WattTime API, MILP optimization</w:t>
            </w:r>
          </w:p>
        </w:tc>
        <w:tc>
          <w:tcPr>
            <w:tcW w:type="dxa" w:w="2016"/>
            <w:shd w:fill="FFFFFF"/>
            <w:tcMar>
              <w:top w:w="70" w:type="dxa"/>
              <w:bottom w:w="70" w:type="dxa"/>
              <w:left w:w="80" w:type="dxa"/>
              <w:right w:w="80" w:type="dxa"/>
            </w:tcMar>
            <w:vAlign w:val="center"/>
          </w:tcPr>
          <w:p>
            <w:pPr>
              <w:spacing w:before="0" w:after="0"/>
            </w:pPr>
            <w:r>
              <w:rPr>
                <w:rFonts w:ascii="Arial" w:hAnsi="Arial"/>
                <w:color w:val="1E293B"/>
                <w:sz w:val="15"/>
              </w:rPr>
              <w:t>Quantified 15%–30% lifecycle carbon emission reduction per delivered kWh</w:t>
            </w:r>
          </w:p>
        </w:tc>
      </w:tr>
    </w:tbl>
    <w:p>
      <w:pPr>
        <w:pStyle w:val="Heading1"/>
        <w:keepNext/>
        <w:spacing w:before="320" w:after="120"/>
        <w:jc w:val="left"/>
      </w:pPr>
      <w:r>
        <w:t>6. Performance Analysis</w:t>
      </w:r>
    </w:p>
    <w:p>
      <w:pPr>
        <w:pStyle w:val="Heading2"/>
        <w:keepNext/>
        <w:spacing w:before="240" w:after="80"/>
        <w:jc w:val="left"/>
      </w:pPr>
      <w:r>
        <w:t>6.1. Empirical Evaluation Protocol &amp; Chronological Splitting</w:t>
      </w:r>
    </w:p>
    <w:p>
      <w:pPr>
        <w:spacing w:before="40" w:after="100" w:line="276" w:lineRule="auto"/>
        <w:jc w:val="both"/>
      </w:pPr>
      <w:r>
        <w:t>To eliminate lookahead data leakage, our experimental evaluation enforces strict calendar date-based chronological partitioning across the continuous 14,422-hour ACN-Data monitoring series:</w:t>
      </w:r>
    </w:p>
    <w:p>
      <w:pPr>
        <w:pStyle w:val="ListBullet"/>
        <w:spacing w:before="40" w:after="60" w:line="276" w:lineRule="auto"/>
        <w:jc w:val="both"/>
      </w:pPr>
      <w:r>
        <w:rPr>
          <w:b/>
        </w:rPr>
        <w:t xml:space="preserve">Training Partition: </w:t>
      </w:r>
      <w:r>
        <w:t>January 21, 2020 through April 30, 2021 (11,163 calendar hours; 10,995 valid hourly feature observations). The first 168 hours of the raw series (January 21–28, 2020) are excluded due to startup NaN values in the 168-hour seasonal lag feature. Preprocessing scalers, lag features (1, 2, 3, 24, 48, 168 hours), and rolling statistics (24h, 168h) are fitted exclusively on this training partition.</w:t>
      </w:r>
    </w:p>
    <w:p>
      <w:pPr>
        <w:pStyle w:val="ListBullet"/>
        <w:spacing w:before="40" w:after="60" w:line="276" w:lineRule="auto"/>
        <w:jc w:val="both"/>
      </w:pPr>
      <w:r>
        <w:rPr>
          <w:b/>
        </w:rPr>
        <w:t xml:space="preserve">Validation Partition: </w:t>
      </w:r>
      <w:r>
        <w:t>May 1, 2021 through June 30, 2021 (1,464 hourly records; exactly 61 continuous days). Utilized strictly for model selection and hyperparameter optimization (e.g., tuning Ridge alpha over [0.01, 0.1, 1.0, 10.0, 100.0]), maintaining zero leakage into the test set.</w:t>
      </w:r>
    </w:p>
    <w:p>
      <w:pPr>
        <w:pStyle w:val="ListBullet"/>
        <w:spacing w:before="40" w:after="60" w:line="276" w:lineRule="auto"/>
        <w:jc w:val="both"/>
      </w:pPr>
      <w:r>
        <w:rPr>
          <w:b/>
        </w:rPr>
        <w:t xml:space="preserve">Holdout Test Partition: </w:t>
      </w:r>
      <w:r>
        <w:t>July 1, 2021 through September 13, 2021, 18:00 (1,795 hourly records). Completely untouched during model development and selection; serves as the definitive out-of-sample empirical benchmark.</w:t>
      </w:r>
    </w:p>
    <w:p>
      <w:pPr>
        <w:pStyle w:val="Heading2"/>
        <w:keepNext/>
        <w:spacing w:before="240" w:after="80"/>
        <w:jc w:val="left"/>
      </w:pPr>
      <w:r>
        <w:t>6.2. Mathematical Evaluation Metrics</w:t>
      </w:r>
    </w:p>
    <w:p>
      <w:pPr>
        <w:spacing w:before="40" w:after="100" w:line="276" w:lineRule="auto"/>
        <w:jc w:val="both"/>
      </w:pPr>
      <w:r>
        <w:t>Model performance is quantified using four standard regression metrics defined in Appendix C: Root Mean Squared Error (RMSE), Mean Absolute Error (MAE), Coefficient of Determination (R²), and Symmetric Mean Absolute Percentage Error (sMAPE). In accordance with academic guidelines, classification metrics (accuracy, precision, recall, AUC) are not computed for regression tasks, as arbitrary binarization introduces artificial distortion.</w:t>
      </w:r>
    </w:p>
    <w:p>
      <w:pPr>
        <w:pStyle w:val="Heading2"/>
        <w:keepNext/>
        <w:spacing w:before="240" w:after="80"/>
        <w:jc w:val="left"/>
      </w:pPr>
      <w:r>
        <w:t>6.3. Validated Experimental Results &amp; Model Benchmark</w:t>
      </w:r>
    </w:p>
    <w:p>
      <w:pPr>
        <w:spacing w:before="40" w:after="100" w:line="276" w:lineRule="auto"/>
        <w:jc w:val="both"/>
      </w:pPr>
      <w:r>
        <w:t>As reported in Table 4, Ridge Regression achieved the lowest Validation RMSE of 13.168 kWh (Validation MAE: 7.986 kWh, R²: 0.0682), outperforming the Seasonal Naive 24-hour baseline (17.639 kWh) by 25.35% and the 168-hour weekly persistence baseline (17.156 kWh) by 23.25%. Following machine learning methodology that prohibits test-set selection bias, Ridge Regression was selected as the operational forecasting model strictly on validation performance. On the unseen holdout test set, Ridge achieved a Test RMSE of 15.713 kWh, Test MAE of 9.120 kWh, and an explanatory coefficient of R² 0.1158 (sMAPE 152.89%, representing 24.10% and 20.74% RMSE reductions relative to the test naive baselines, respectively). The modest test R² of 0.1158 demonstrates the inherent difficulty of explaining high variance in zero-inflated demand (79.14% zero hours). XGBoost attained a slightly lower Test RMSE of 15.633 kWh (a difference of 0.080 kWh or 0.51%, with Test MAE of 9.331 kWh and R² of 0.1248), demonstrating competitive performance from gradient-boosted decision trees. While Ridge was selected via the validation protocol to prevent data snooping, it should not be characterized as universally superior or possessing uncompromised generalization, as XGBoost achieved slightly lower test squared error and both models exhibit substantial relative error under sparse telemetry. Random Forest yielded a Test RMSE of 15.851 kWh. In contrast, Seasonal Naive baselines failed entirely, producing negative R² values (-0.4075 for 168h weekly, -0.5346 for 24h diurnal), proving that static calendar persistence is incapable of tracking dynamic charging demand.</w:t>
      </w:r>
    </w:p>
    <w:p>
      <w:pPr>
        <w:keepNext/>
        <w:spacing w:before="200" w:after="60"/>
        <w:jc w:val="center"/>
      </w:pPr>
      <w:r>
        <w:drawing>
          <wp:inline xmlns:a="http://schemas.openxmlformats.org/drawingml/2006/main" xmlns:pic="http://schemas.openxmlformats.org/drawingml/2006/picture">
            <wp:extent cx="5852160" cy="3121152"/>
            <wp:docPr id="4" name="Picture 4"/>
            <wp:cNvGraphicFramePr>
              <a:graphicFrameLocks noChangeAspect="1"/>
            </wp:cNvGraphicFramePr>
            <a:graphic>
              <a:graphicData uri="http://schemas.openxmlformats.org/drawingml/2006/picture">
                <pic:pic>
                  <pic:nvPicPr>
                    <pic:cNvPr id="0" name="fig_m_test_actual_vs_predicted.png"/>
                    <pic:cNvPicPr/>
                  </pic:nvPicPr>
                  <pic:blipFill>
                    <a:blip r:embed="rId14"/>
                    <a:stretch>
                      <a:fillRect/>
                    </a:stretch>
                  </pic:blipFill>
                  <pic:spPr>
                    <a:xfrm>
                      <a:off x="0" y="0"/>
                      <a:ext cx="5852160" cy="3121152"/>
                    </a:xfrm>
                    <a:prstGeom prst="rect"/>
                  </pic:spPr>
                </pic:pic>
              </a:graphicData>
            </a:graphic>
          </wp:inline>
        </w:drawing>
      </w:r>
    </w:p>
    <w:p>
      <w:pPr>
        <w:spacing w:before="40" w:after="200"/>
        <w:jc w:val="center"/>
      </w:pPr>
      <w:r>
        <w:rPr>
          <w:rFonts w:ascii="Arial" w:hAnsi="Arial"/>
          <w:b/>
          <w:color w:val="1E3A8A"/>
          <w:sz w:val="18"/>
        </w:rPr>
        <w:t xml:space="preserve">Figure 13: Holdout Forecasting Benchmark (Actual vs Model Forecasts). </w:t>
      </w:r>
      <w:r>
        <w:rPr>
          <w:rFonts w:ascii="Arial" w:hAnsi="Arial"/>
          <w:i/>
          <w:color w:val="475569"/>
          <w:sz w:val="17"/>
        </w:rPr>
        <w:t>Chronological test set evaluation (July 1 to September 13, 2021) contrasting actual EV charging load against Ridge Regression and XGBoost forecasts across 1,795 holdout hours.</w:t>
      </w:r>
    </w:p>
    <w:p>
      <w:pPr>
        <w:pStyle w:val="Heading2"/>
        <w:keepNext/>
        <w:spacing w:before="240" w:after="80"/>
        <w:jc w:val="left"/>
      </w:pPr>
      <w:r>
        <w:t>6.4. Why Regularized Linear Models Excel on Sparse Demand</w:t>
      </w:r>
    </w:p>
    <w:p>
      <w:pPr>
        <w:spacing w:before="40" w:after="100" w:line="276" w:lineRule="auto"/>
        <w:jc w:val="both"/>
      </w:pPr>
      <w:r>
        <w:t>A notable finding of this study is that regularized linear regression remains highly competitive with complex non-linear ensembles on zero-inflated workplace data. In facility EV charging, 79.14% of hourly records exhibit 0.0 kWh demand. In unconstrained non-linear ensembles and deep sequence models, high model capacity can fit spurious correlations during extended zero-demand sequences, increasing prediction variance when morning arrivals ramp abruptly. In contrast, Ridge's L2 penalty shrinks non-essential weights toward zero while maintaining stable, interpretable coefficients for cyclical drivers (conn_hour, lag_24, lag_168). While its test R² of 0.1158 confirms that linear formulations leave substantial variance unexplained, Ridge delivers parameter parsimony, sub-millisecond inference, and competitive test metrics without the hyperparameter tuning sensitivity of deep architectures.</w:t>
      </w:r>
    </w:p>
    <w:p>
      <w:pPr>
        <w:pStyle w:val="Heading2"/>
        <w:keepNext/>
        <w:spacing w:before="240" w:after="80"/>
        <w:jc w:val="left"/>
      </w:pPr>
      <w:r>
        <w:t>6.5. Anomaly Detection Empirical Results &amp; Consensus Separation</w:t>
      </w:r>
    </w:p>
    <w:p>
      <w:pPr>
        <w:spacing w:before="40" w:after="100" w:line="276" w:lineRule="auto"/>
        <w:jc w:val="both"/>
      </w:pPr>
      <w:r>
        <w:t>Unsupervised anomaly detection deployed Isolation Forest and Local Outlier Factor at a fixed 3.0% contamination threshold across the 5,000 sessions. As detailed in Table 4, Table 10, and Figure 14, each algorithm flagged exactly 150 sessions (3.0%). However, the two models exhibited a low Jaccard similarity index of 0.1236, with their intersection containing 33 consensus sessions (0.66%) and their union spanning 267 distinct sessions (5.34%). Consequently, each detector identifies exactly 117 sessions (2.34%) not flagged by the other detector, yielding a symmetric difference of 234 sessions (4.68%) and an overall concordance of 95.32% across the 5,000 sessions. This discordance stems from fundamental algorithmic differences: Isolation Forest isolates metric extremes (e.g., recorded charging rates of 688 kW caused by sub-minute disconnect timestamps), whereas LOF detects local density deviations (e.g., prolonged parking stall overstays exceeding 20 hours). By requiring consensus agreement, our framework isolates 33 highly robust consensus outliers (0.66%) that exhibit 4.87x higher median energy (30.70 kWh vs 6.30 kWh) and 7.23x longer idle dwell occupancy (9.26 h vs 1.28 h). Crucially, in the absence of verified hardware maintenance logs, these 33 sessions represent multivariate statistical outliers and operational anomalies rather than confirmed physical equipment failures.</w:t>
      </w:r>
    </w:p>
    <w:p>
      <w:pPr>
        <w:keepNext/>
        <w:spacing w:before="200" w:after="60"/>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ig_z2_algorithm_agreement.png"/>
                    <pic:cNvPicPr/>
                  </pic:nvPicPr>
                  <pic:blipFill>
                    <a:blip r:embed="rId15"/>
                    <a:stretch>
                      <a:fillRect/>
                    </a:stretch>
                  </pic:blipFill>
                  <pic:spPr>
                    <a:xfrm>
                      <a:off x="0" y="0"/>
                      <a:ext cx="5486400" cy="3657600"/>
                    </a:xfrm>
                    <a:prstGeom prst="rect"/>
                  </pic:spPr>
                </pic:pic>
              </a:graphicData>
            </a:graphic>
          </wp:inline>
        </w:drawing>
      </w:r>
    </w:p>
    <w:p>
      <w:pPr>
        <w:spacing w:before="40" w:after="200"/>
        <w:jc w:val="center"/>
      </w:pPr>
      <w:r>
        <w:rPr>
          <w:rFonts w:ascii="Arial" w:hAnsi="Arial"/>
          <w:b/>
          <w:color w:val="1E3A8A"/>
          <w:sz w:val="18"/>
        </w:rPr>
        <w:t xml:space="preserve">Figure 14: Unsupervised Anomaly Detection: Score Space Concordance &amp; Consensus Separation. </w:t>
      </w:r>
      <w:r>
        <w:rPr>
          <w:rFonts w:ascii="Arial" w:hAnsi="Arial"/>
          <w:i/>
          <w:color w:val="475569"/>
          <w:sz w:val="17"/>
        </w:rPr>
        <w:t>Scatter plot of Isolation Forest score vs Local Outlier Factor score across 5,000 sessions, highlighting the 33 consensus anomalies (amber) occupying the joint extreme quadrant.</w:t>
      </w:r>
    </w:p>
    <w:p>
      <w:pPr>
        <w:pStyle w:val="Heading2"/>
        <w:keepNext/>
        <w:spacing w:before="240" w:after="80"/>
        <w:jc w:val="left"/>
      </w:pPr>
      <w:r>
        <w:t>6.6. Computational Complexity, Training Latency, and Scalability</w:t>
      </w:r>
    </w:p>
    <w:p>
      <w:pPr>
        <w:spacing w:before="40" w:after="100" w:line="276" w:lineRule="auto"/>
        <w:jc w:val="both"/>
      </w:pPr>
      <w:r>
        <w:t>Computational resource requirements diverge dramatically across model classes. Ridge regression executed complete training across 10,995 historical hours in under 0.032 seconds on standard CPU hardware, with inference latency below 0.1 milliseconds per forecast step. In contrast, XGBoost required 1.24 seconds, Random Forest required 3.48 seconds, and deep recurrent networks in reviewed literature required minutes of GPU compute. For practical embedded deployment on resource-constrained EVSE microcontrollers (e.g., ARM Cortex-M processors), Ridge regression provides an optimal Pareto frontier of accuracy and execution efficiency.</w:t>
      </w:r>
    </w:p>
    <w:p>
      <w:pPr>
        <w:pStyle w:val="Heading2"/>
        <w:keepNext/>
        <w:spacing w:before="240" w:after="80"/>
        <w:jc w:val="left"/>
      </w:pPr>
      <w:r>
        <w:t>6.7. Methodological Boundaries &amp; Limitations of Experimental Setup</w:t>
      </w:r>
    </w:p>
    <w:p>
      <w:pPr>
        <w:spacing w:before="40" w:after="100" w:line="276" w:lineRule="auto"/>
        <w:jc w:val="both"/>
      </w:pPr>
      <w:r>
        <w:t>Despite rigorous validation, several methodological boundaries must be explicitly recognized: (1) The empirical observations reflect a single workplace charging garage (Caltech Garage Site 0002 / Cluster 0039), which may not generalize to commercial public plazas or residential fleets; (2) Telemetry reflects site EV power draw only, without transformer head loading or distribution line thermal data; (3) Point regression systematically under-predicts rare high-demand bursts (&gt;59.1 kWh) by +63.3 kWh on average, demonstrating that facility operators must deploy dynamic real-time current throttling rather than relying solely on deterministic point forecasts.</w:t>
      </w:r>
    </w:p>
    <w:p>
      <w:pPr>
        <w:pStyle w:val="Heading1"/>
        <w:keepNext/>
        <w:spacing w:before="320" w:after="120"/>
        <w:jc w:val="left"/>
      </w:pPr>
      <w:r>
        <w:t>7. Research Trends</w:t>
      </w:r>
    </w:p>
    <w:p>
      <w:pPr>
        <w:pStyle w:val="Heading2"/>
        <w:keepNext/>
        <w:spacing w:before="240" w:after="80"/>
        <w:jc w:val="left"/>
      </w:pPr>
      <w:r>
        <w:t>7.1. Most Popular Machine Learning &amp; Deep Learning Algorithms</w:t>
      </w:r>
    </w:p>
    <w:p>
      <w:pPr>
        <w:spacing w:before="40" w:after="100" w:line="276" w:lineRule="auto"/>
        <w:jc w:val="both"/>
      </w:pPr>
      <w:r>
        <w:t>Analysis of the 52 reviewed studies reveals distinct algorithmic preferences across the academic community. At the primary study level, the 52 core papers are distributed across four foundational methodological pillars: Deep Sequence Models and Transformers (15 studies, 28.8%), Tree-Based Ensembles and Boosted Machines (14 studies, 26.9%), Classical Statistical and Regularized Linear Models (12 studies, 23.1%), and Unsupervised Anomaly Detection and Operational Architectures (11 studies, 21.2%).</w:t>
        <w:br/>
        <w:br/>
        <w:t>When evaluating algorithmic benchmarks within these studies, individual publications frequently evaluate multiple model families simultaneously (averaging ~3.2 benchmarked algorithms per empirical study). Across the literature, we extract exactly 165 model benchmark evaluation instances. As illustrated in Figure 6, recurrent deep learning architectures (LSTM, BiLSTM, GRU) represent the most frequent model evaluation class, accounting for 23.0% of benchmark instances (n=38), followed closely by gradient-boosted decision trees (XGBoost, LightGBM) at 18.8% (n=31), and Random Forest at 14.5% (n=24). Regularized linear regression (Ridge, Lasso) comprises 10.9% (n=18), while Transformer-based attention mechanisms (Informer, PatchTST) represent an expanding 9.7% (n=16). Classical statistical baselines account for 8.5% (n=14), unsupervised anomaly detectors account for 7.9% (n=13), and Support Vector Machines (SVR/SVC) represent 6.7% (n=11). This multi-algorithm evaluation profile highlights that while deep sequence models receive substantial experimental attention, tree ensembles and linear regularizers remain primary comparative benchmarks.</w:t>
      </w:r>
    </w:p>
    <w:p>
      <w:pPr>
        <w:keepNext/>
        <w:spacing w:before="200" w:after="60"/>
        <w:jc w:val="center"/>
      </w:pPr>
      <w:r>
        <w:drawing>
          <wp:inline xmlns:a="http://schemas.openxmlformats.org/drawingml/2006/main" xmlns:pic="http://schemas.openxmlformats.org/drawingml/2006/picture">
            <wp:extent cx="5669280" cy="2182988"/>
            <wp:docPr id="6" name="Picture 6"/>
            <wp:cNvGraphicFramePr>
              <a:graphicFrameLocks noChangeAspect="1"/>
            </wp:cNvGraphicFramePr>
            <a:graphic>
              <a:graphicData uri="http://schemas.openxmlformats.org/drawingml/2006/picture">
                <pic:pic>
                  <pic:nvPicPr>
                    <pic:cNvPr id="0" name="fig6_algorithm_distribution.png"/>
                    <pic:cNvPicPr/>
                  </pic:nvPicPr>
                  <pic:blipFill>
                    <a:blip r:embed="rId16"/>
                    <a:stretch>
                      <a:fillRect/>
                    </a:stretch>
                  </pic:blipFill>
                  <pic:spPr>
                    <a:xfrm>
                      <a:off x="0" y="0"/>
                      <a:ext cx="5669280" cy="2182988"/>
                    </a:xfrm>
                    <a:prstGeom prst="rect"/>
                  </pic:spPr>
                </pic:pic>
              </a:graphicData>
            </a:graphic>
          </wp:inline>
        </w:drawing>
      </w:r>
    </w:p>
    <w:p>
      <w:pPr>
        <w:spacing w:before="40" w:after="200"/>
        <w:jc w:val="center"/>
      </w:pPr>
      <w:r>
        <w:rPr>
          <w:rFonts w:ascii="Arial" w:hAnsi="Arial"/>
          <w:b/>
          <w:color w:val="1E3A8A"/>
          <w:sz w:val="18"/>
        </w:rPr>
        <w:t xml:space="preserve">Figure 6: Algorithm Distribution in EV Charging Analytics Research (2021–2026). </w:t>
      </w:r>
      <w:r>
        <w:rPr>
          <w:rFonts w:ascii="Arial" w:hAnsi="Arial"/>
          <w:i/>
          <w:color w:val="475569"/>
          <w:sz w:val="17"/>
        </w:rPr>
        <w:t>Quantitative distribution and percentage share of analytical algorithms across 165 benchmark evaluation instances extracted from 52 reviewed studies (accounting for multi-model benchmarks per study), with summary ranking table and empirical observations.</w:t>
      </w:r>
    </w:p>
    <w:p>
      <w:pPr>
        <w:pStyle w:val="Heading2"/>
        <w:keepNext/>
        <w:spacing w:before="240" w:after="80"/>
        <w:jc w:val="left"/>
      </w:pPr>
      <w:r>
        <w:t>7.2. Prominent Public &amp; Private Datasets</w:t>
      </w:r>
    </w:p>
    <w:p>
      <w:pPr>
        <w:spacing w:before="40" w:after="100" w:line="276" w:lineRule="auto"/>
        <w:jc w:val="both"/>
      </w:pPr>
      <w:r>
        <w:t>Figure 5 illustrates the distribution of benchmark datasets utilized across surveyed literature instances (n=100 benchmark evaluations across studies). Caltech's ACN-Data constitutes the primary empirical foundation, utilized in 24.0% of evaluated benchmarks due to its high-resolution session timestamps and open accessibility. The Dutch ElaadNL dataset accounts for 18.0%, Boulder Open Data accounts for 14.0%, Pecan Street residential data represents 11.0%, and Dundee UK accounts for 8.0%. Notably, 16.0% of evaluations still rely entirely on synthetic or simulated charging profiles, highlighting an ongoing need for open empirical data.</w:t>
      </w:r>
    </w:p>
    <w:p>
      <w:pPr>
        <w:keepNext/>
        <w:spacing w:before="200" w:after="60"/>
        <w:jc w:val="center"/>
      </w:pPr>
      <w:r>
        <w:drawing>
          <wp:inline xmlns:a="http://schemas.openxmlformats.org/drawingml/2006/main" xmlns:pic="http://schemas.openxmlformats.org/drawingml/2006/picture">
            <wp:extent cx="5669280" cy="2817294"/>
            <wp:docPr id="7" name="Picture 7"/>
            <wp:cNvGraphicFramePr>
              <a:graphicFrameLocks noChangeAspect="1"/>
            </wp:cNvGraphicFramePr>
            <a:graphic>
              <a:graphicData uri="http://schemas.openxmlformats.org/drawingml/2006/picture">
                <pic:pic>
                  <pic:nvPicPr>
                    <pic:cNvPr id="0" name="fig5_dataset_distribution.png"/>
                    <pic:cNvPicPr/>
                  </pic:nvPicPr>
                  <pic:blipFill>
                    <a:blip r:embed="rId17"/>
                    <a:stretch>
                      <a:fillRect/>
                    </a:stretch>
                  </pic:blipFill>
                  <pic:spPr>
                    <a:xfrm>
                      <a:off x="0" y="0"/>
                      <a:ext cx="5669280" cy="2817294"/>
                    </a:xfrm>
                    <a:prstGeom prst="rect"/>
                  </pic:spPr>
                </pic:pic>
              </a:graphicData>
            </a:graphic>
          </wp:inline>
        </w:drawing>
      </w:r>
    </w:p>
    <w:p>
      <w:pPr>
        <w:spacing w:before="40" w:after="200"/>
        <w:jc w:val="center"/>
      </w:pPr>
      <w:r>
        <w:rPr>
          <w:rFonts w:ascii="Arial" w:hAnsi="Arial"/>
          <w:b/>
          <w:color w:val="1E3A8A"/>
          <w:sz w:val="18"/>
        </w:rPr>
        <w:t xml:space="preserve">Figure 5: Dataset Utilization Distribution across Reviewed Literature. </w:t>
      </w:r>
      <w:r>
        <w:rPr>
          <w:rFonts w:ascii="Arial" w:hAnsi="Arial"/>
          <w:i/>
          <w:color w:val="475569"/>
          <w:sz w:val="17"/>
        </w:rPr>
        <w:t>Empirical share of public and private datasets utilized across 100 benchmark evaluation instances in peer-reviewed studies (2021–2026), highlighting the prominence of ACN-Data and ElaadNL.</w:t>
      </w:r>
    </w:p>
    <w:p>
      <w:pPr>
        <w:pStyle w:val="Heading2"/>
        <w:keepNext/>
        <w:spacing w:before="240" w:after="80"/>
        <w:jc w:val="left"/>
      </w:pPr>
      <w:r>
        <w:t>7.3. Recent Methodological Advancements (2021–2026)</w:t>
      </w:r>
    </w:p>
    <w:p>
      <w:pPr>
        <w:spacing w:before="40" w:after="100" w:line="276" w:lineRule="auto"/>
        <w:jc w:val="both"/>
      </w:pPr>
      <w:r>
        <w:t>Methodological developments have evolved through three distinct phases: (1) Transition from static persistence baselines to non-linear tree ensembles (2021–2022); (2) Introduction of sequence models with attention and spatiotemporal graph convolutions to capture cross-station correlation (2023–2024); and (3) Adoption of distribution-free uncertainty quantification (Conformal Prediction) and physics-informed constraints (2025–2026) to enforce distribution transformer thermal limits.</w:t>
      </w:r>
    </w:p>
    <w:p>
      <w:pPr>
        <w:pStyle w:val="Heading2"/>
        <w:keepNext/>
        <w:spacing w:before="240" w:after="80"/>
        <w:jc w:val="left"/>
      </w:pPr>
      <w:r>
        <w:t>7.4. Publication Trends (2021–2026)</w:t>
      </w:r>
    </w:p>
    <w:p>
      <w:pPr>
        <w:spacing w:before="40" w:after="100" w:line="276" w:lineRule="auto"/>
        <w:jc w:val="both"/>
      </w:pPr>
      <w:r>
        <w:t>Figure 4 details the annual trajectory of reviewed publications, illustrating steady growth from 2021 through 2024 as transportation electrification accelerated globally. High-impact journals (IEEE Transactions on Smart Grid, Applied Energy, IEEE Transactions on Transportation Electrification) account for 73.1% of reviewed papers (n=38), while specialized ACM and IEEE conferences account for 26.9% (n=14).</w:t>
      </w:r>
    </w:p>
    <w:p>
      <w:pPr>
        <w:keepNext/>
        <w:spacing w:before="200" w:after="60"/>
        <w:jc w:val="center"/>
      </w:pPr>
      <w:r>
        <w:drawing>
          <wp:inline xmlns:a="http://schemas.openxmlformats.org/drawingml/2006/main" xmlns:pic="http://schemas.openxmlformats.org/drawingml/2006/picture">
            <wp:extent cx="5669280" cy="3775896"/>
            <wp:docPr id="8" name="Picture 8"/>
            <wp:cNvGraphicFramePr>
              <a:graphicFrameLocks noChangeAspect="1"/>
            </wp:cNvGraphicFramePr>
            <a:graphic>
              <a:graphicData uri="http://schemas.openxmlformats.org/drawingml/2006/picture">
                <pic:pic>
                  <pic:nvPicPr>
                    <pic:cNvPr id="0" name="fig4_publication_trend.png"/>
                    <pic:cNvPicPr/>
                  </pic:nvPicPr>
                  <pic:blipFill>
                    <a:blip r:embed="rId18"/>
                    <a:stretch>
                      <a:fillRect/>
                    </a:stretch>
                  </pic:blipFill>
                  <pic:spPr>
                    <a:xfrm>
                      <a:off x="0" y="0"/>
                      <a:ext cx="5669280" cy="3775896"/>
                    </a:xfrm>
                    <a:prstGeom prst="rect"/>
                  </pic:spPr>
                </pic:pic>
              </a:graphicData>
            </a:graphic>
          </wp:inline>
        </w:drawing>
      </w:r>
    </w:p>
    <w:p>
      <w:pPr>
        <w:spacing w:before="40" w:after="200"/>
        <w:jc w:val="center"/>
      </w:pPr>
      <w:r>
        <w:rPr>
          <w:rFonts w:ascii="Arial" w:hAnsi="Arial"/>
          <w:b/>
          <w:color w:val="1E3A8A"/>
          <w:sz w:val="18"/>
        </w:rPr>
        <w:t xml:space="preserve">Figure 4: Annual Publication Trends and Distribution (2021–2026). </w:t>
      </w:r>
      <w:r>
        <w:rPr>
          <w:rFonts w:ascii="Arial" w:hAnsi="Arial"/>
          <w:i/>
          <w:color w:val="475569"/>
          <w:sz w:val="17"/>
        </w:rPr>
        <w:t>Year-wise distribution of 52 reviewed studies categorized by journal and conference publications, showing sustained acceleration in smart-grid EV research.</w:t>
      </w:r>
    </w:p>
    <w:p>
      <w:pPr>
        <w:pStyle w:val="Heading2"/>
        <w:keepNext/>
        <w:spacing w:before="240" w:after="80"/>
        <w:jc w:val="left"/>
      </w:pPr>
      <w:r>
        <w:t>7.5. Geographic and Institutional Distribution</w:t>
      </w:r>
    </w:p>
    <w:p>
      <w:pPr>
        <w:spacing w:before="40" w:after="100" w:line="276" w:lineRule="auto"/>
        <w:jc w:val="both"/>
      </w:pPr>
      <w:r>
        <w:t>Research output is heavily concentrated in regions with aggressive EV adoption mandates: North America accounts for 38.5% of studies (predominantly utilizing Caltech ACN-Data and Pecan Street), Europe represents 34.6% (heavily utilizing Dutch ElaadNL and UK data), and the Asia-Pacific region comprises 26.9% (focusing on dense urban charging networks in China and South Korea).</w:t>
      </w:r>
    </w:p>
    <w:p>
      <w:pPr>
        <w:pStyle w:val="Heading1"/>
        <w:keepNext/>
        <w:spacing w:before="320" w:after="120"/>
        <w:jc w:val="left"/>
      </w:pPr>
      <w:r>
        <w:t>8. Research Gap Analysis</w:t>
      </w:r>
    </w:p>
    <w:p>
      <w:pPr>
        <w:spacing w:before="40" w:after="100" w:line="276" w:lineRule="auto"/>
        <w:jc w:val="both"/>
      </w:pPr>
      <w:r>
        <w:t>Synthesizing our systematic literature survey and empirical experimental findings reveals eight critical research gap dimensions, visualized in Figure 7 and detailed below:</w:t>
      </w:r>
    </w:p>
    <w:p>
      <w:pPr>
        <w:keepNext/>
        <w:spacing w:before="200" w:after="60"/>
        <w:jc w:val="center"/>
      </w:pPr>
      <w:r>
        <w:drawing>
          <wp:inline xmlns:a="http://schemas.openxmlformats.org/drawingml/2006/main" xmlns:pic="http://schemas.openxmlformats.org/drawingml/2006/picture">
            <wp:extent cx="5852160" cy="3627493"/>
            <wp:docPr id="9" name="Picture 9"/>
            <wp:cNvGraphicFramePr>
              <a:graphicFrameLocks noChangeAspect="1"/>
            </wp:cNvGraphicFramePr>
            <a:graphic>
              <a:graphicData uri="http://schemas.openxmlformats.org/drawingml/2006/picture">
                <pic:pic>
                  <pic:nvPicPr>
                    <pic:cNvPr id="0" name="fig7_research_gaps.png"/>
                    <pic:cNvPicPr/>
                  </pic:nvPicPr>
                  <pic:blipFill>
                    <a:blip r:embed="rId19"/>
                    <a:stretch>
                      <a:fillRect/>
                    </a:stretch>
                  </pic:blipFill>
                  <pic:spPr>
                    <a:xfrm>
                      <a:off x="0" y="0"/>
                      <a:ext cx="5852160" cy="3627493"/>
                    </a:xfrm>
                    <a:prstGeom prst="rect"/>
                  </pic:spPr>
                </pic:pic>
              </a:graphicData>
            </a:graphic>
          </wp:inline>
        </w:drawing>
      </w:r>
    </w:p>
    <w:p>
      <w:pPr>
        <w:spacing w:before="40" w:after="200"/>
        <w:jc w:val="center"/>
      </w:pPr>
      <w:r>
        <w:rPr>
          <w:rFonts w:ascii="Arial" w:hAnsi="Arial"/>
          <w:b/>
          <w:color w:val="1E3A8A"/>
          <w:sz w:val="18"/>
        </w:rPr>
        <w:t xml:space="preserve">Figure 7: Research Gap Diagram across Eight Thematic Dimensions. </w:t>
      </w:r>
      <w:r>
        <w:rPr>
          <w:rFonts w:ascii="Arial" w:hAnsi="Arial"/>
          <w:i/>
          <w:color w:val="475569"/>
          <w:sz w:val="17"/>
        </w:rPr>
        <w:t>Taxonomic mapping of data, model, methodological, application, security, technological, emerging, and future-oriented research gaps identified from literature and empirical benchmarks.</w:t>
      </w:r>
    </w:p>
    <w:p>
      <w:pPr>
        <w:pStyle w:val="Heading2"/>
        <w:keepNext/>
        <w:spacing w:before="240" w:after="80"/>
        <w:jc w:val="left"/>
      </w:pPr>
      <w:r>
        <w:t>8.1. Data-Related Gaps</w:t>
      </w:r>
    </w:p>
    <w:p>
      <w:pPr>
        <w:spacing w:before="40" w:after="100" w:line="276" w:lineRule="auto"/>
        <w:jc w:val="both"/>
      </w:pPr>
      <w:r>
        <w:t>The foremost data-related challenge is extreme zero-demand intermittency (79.14% zero hours in our 14,422-hour series). Traditional machine learning loss functions treat zero intervals identically to active load, leading to biased predictions. Furthermore, session-level delivered energy exhibits severe right-skewness (median 6.33 kWh vs 77.70 kWh maximum), while aggregate facility hourly demand reaches an acute peak of 179.93 kWh across the 54 chargers. Additionally, sensor streams contain unflagged telemetry corruptions (e.g., recorded rates of 688 kW caused by sub-minute disconnect timestamps).</w:t>
      </w:r>
    </w:p>
    <w:p>
      <w:pPr>
        <w:pStyle w:val="Heading2"/>
        <w:keepNext/>
        <w:spacing w:before="240" w:after="80"/>
        <w:jc w:val="left"/>
      </w:pPr>
      <w:r>
        <w:t>8.2. Model-Related Gaps</w:t>
      </w:r>
    </w:p>
    <w:p>
      <w:pPr>
        <w:spacing w:before="40" w:after="100" w:line="276" w:lineRule="auto"/>
        <w:jc w:val="both"/>
      </w:pPr>
      <w:r>
        <w:t>Existing models rely on deterministic point forecasting that systematically under-predicts acute peak bursts (&gt;59.1 kWh). Complex deep sequence models suffer from severe overfitting during consecutive zero hours, while lacking physical awareness of transformer thermal limits and cable capacity.</w:t>
      </w:r>
    </w:p>
    <w:p>
      <w:pPr>
        <w:pStyle w:val="Heading2"/>
        <w:keepNext/>
        <w:spacing w:before="240" w:after="80"/>
        <w:jc w:val="left"/>
      </w:pPr>
      <w:r>
        <w:t>8.3. Methodological and Evaluation Gaps</w:t>
      </w:r>
    </w:p>
    <w:p>
      <w:pPr>
        <w:spacing w:before="40" w:after="100" w:line="276" w:lineRule="auto"/>
        <w:jc w:val="both"/>
      </w:pPr>
      <w:r>
        <w:t>Literature frequently suffers from data leakage caused by randomized train/test cross-validation rather than strictly chronological splits. Additionally, reporting percentage metrics (sMAPE or MAPE) on zero-inflated demand produces severe metric inflation, distorting comparative benchmarks.</w:t>
      </w:r>
    </w:p>
    <w:p>
      <w:pPr>
        <w:pStyle w:val="Heading2"/>
        <w:keepNext/>
        <w:spacing w:before="240" w:after="80"/>
        <w:jc w:val="left"/>
      </w:pPr>
      <w:r>
        <w:t>8.4. Application-Related Gaps</w:t>
      </w:r>
    </w:p>
    <w:p>
      <w:pPr>
        <w:spacing w:before="40" w:after="100" w:line="276" w:lineRule="auto"/>
        <w:jc w:val="both"/>
      </w:pPr>
      <w:r>
        <w:t>There is a profound operational disconnect between site-level EVSE telemetry and upstream utility substation feeder loading. Most smart-charging algorithms optimize local facility consumption without visibility into transformer thermal headroom or regional distribution feeder voltage constraints.</w:t>
      </w:r>
    </w:p>
    <w:p>
      <w:pPr>
        <w:pStyle w:val="Heading2"/>
        <w:keepNext/>
        <w:spacing w:before="240" w:after="80"/>
        <w:jc w:val="left"/>
      </w:pPr>
      <w:r>
        <w:t>8.5. Security, Privacy, and Cyber-Physical Gaps</w:t>
      </w:r>
    </w:p>
    <w:p>
      <w:pPr>
        <w:spacing w:before="40" w:after="100" w:line="276" w:lineRule="auto"/>
        <w:jc w:val="both"/>
      </w:pPr>
      <w:r>
        <w:t>Centralized data collection across public charging plazas creates acute user privacy risks, as granular connection timestamps reveal private commuter travel patterns. Furthermore, unencrypted telemetry channels introduce vulnerabilities to spoofing and billing manipulation.</w:t>
      </w:r>
    </w:p>
    <w:p>
      <w:pPr>
        <w:pStyle w:val="Heading2"/>
        <w:keepNext/>
        <w:spacing w:before="240" w:after="80"/>
        <w:jc w:val="left"/>
      </w:pPr>
      <w:r>
        <w:t>8.6. Technological and Hardware Gaps</w:t>
      </w:r>
    </w:p>
    <w:p>
      <w:pPr>
        <w:spacing w:before="40" w:after="100" w:line="276" w:lineRule="auto"/>
        <w:jc w:val="both"/>
      </w:pPr>
      <w:r>
        <w:t>State-of-the-art transformer and deep learning models require heavy GPU hardware that cannot run on low-power ARM microcontrollers embedded within standard commercial EVSE, preventing real-time autonomous local dispatch.</w:t>
      </w:r>
    </w:p>
    <w:p>
      <w:pPr>
        <w:pStyle w:val="Heading2"/>
        <w:keepNext/>
        <w:spacing w:before="240" w:after="80"/>
        <w:jc w:val="left"/>
      </w:pPr>
      <w:r>
        <w:t>8.7. Emerging Gaps</w:t>
      </w:r>
    </w:p>
    <w:p>
      <w:pPr>
        <w:spacing w:before="40" w:after="100" w:line="276" w:lineRule="auto"/>
        <w:jc w:val="both"/>
      </w:pPr>
      <w:r>
        <w:t>The lack of standardized carbon-intensity data feeds prevents algorithms from aligning vehicle charging with real-time grid renewable curtailment, limiting the environmental benefits of electrification.</w:t>
      </w:r>
    </w:p>
    <w:p>
      <w:pPr>
        <w:pStyle w:val="Heading2"/>
        <w:keepNext/>
        <w:spacing w:before="240" w:after="80"/>
        <w:jc w:val="left"/>
      </w:pPr>
      <w:r>
        <w:t>8.8. Future Scope Gaps</w:t>
      </w:r>
    </w:p>
    <w:p>
      <w:pPr>
        <w:spacing w:before="40" w:after="100" w:line="276" w:lineRule="auto"/>
        <w:jc w:val="both"/>
      </w:pPr>
      <w:r>
        <w:t>Current algorithms do not co-optimize bidirectional vehicle-to-grid (V2G) power flows with battery degradation models, risking battery warranty invalidation during frequency regulation dispatch.</w:t>
      </w:r>
    </w:p>
    <w:p>
      <w:pPr>
        <w:pStyle w:val="Heading1"/>
        <w:keepNext/>
        <w:spacing w:before="320" w:after="120"/>
        <w:jc w:val="left"/>
      </w:pPr>
      <w:r>
        <w:t>9. Future Research Directions</w:t>
      </w:r>
    </w:p>
    <w:p>
      <w:pPr>
        <w:spacing w:before="40" w:after="100" w:line="276" w:lineRule="auto"/>
        <w:jc w:val="both"/>
      </w:pPr>
      <w:r>
        <w:t>To address the identified research gaps, Figure 8 outlines a strategic 2026–2030 future research roadmap structured across eight foundational domains:</w:t>
      </w:r>
    </w:p>
    <w:p>
      <w:pPr>
        <w:keepNext/>
        <w:spacing w:before="200" w:after="60"/>
        <w:jc w:val="center"/>
      </w:pPr>
      <w:r>
        <w:drawing>
          <wp:inline xmlns:a="http://schemas.openxmlformats.org/drawingml/2006/main" xmlns:pic="http://schemas.openxmlformats.org/drawingml/2006/picture">
            <wp:extent cx="5852160" cy="3429054"/>
            <wp:docPr id="10" name="Picture 10"/>
            <wp:cNvGraphicFramePr>
              <a:graphicFrameLocks noChangeAspect="1"/>
            </wp:cNvGraphicFramePr>
            <a:graphic>
              <a:graphicData uri="http://schemas.openxmlformats.org/drawingml/2006/picture">
                <pic:pic>
                  <pic:nvPicPr>
                    <pic:cNvPr id="0" name="fig8_future_roadmap.png"/>
                    <pic:cNvPicPr/>
                  </pic:nvPicPr>
                  <pic:blipFill>
                    <a:blip r:embed="rId20"/>
                    <a:stretch>
                      <a:fillRect/>
                    </a:stretch>
                  </pic:blipFill>
                  <pic:spPr>
                    <a:xfrm>
                      <a:off x="0" y="0"/>
                      <a:ext cx="5852160" cy="3429054"/>
                    </a:xfrm>
                    <a:prstGeom prst="rect"/>
                  </pic:spPr>
                </pic:pic>
              </a:graphicData>
            </a:graphic>
          </wp:inline>
        </w:drawing>
      </w:r>
    </w:p>
    <w:p>
      <w:pPr>
        <w:spacing w:before="40" w:after="200"/>
        <w:jc w:val="center"/>
      </w:pPr>
      <w:r>
        <w:rPr>
          <w:rFonts w:ascii="Arial" w:hAnsi="Arial"/>
          <w:b/>
          <w:color w:val="1E3A8A"/>
          <w:sz w:val="18"/>
        </w:rPr>
        <w:t xml:space="preserve">Figure 8: Strategic Future Research Roadmap (2026–2030). </w:t>
      </w:r>
      <w:r>
        <w:rPr>
          <w:rFonts w:ascii="Arial" w:hAnsi="Arial"/>
          <w:i/>
          <w:color w:val="475569"/>
          <w:sz w:val="17"/>
        </w:rPr>
        <w:t>Structured timeline and priority milestones for physics-informed networks, conformal prediction, federated multi-site learning, edge throttling, foundation models, and carbon-aware dispatch.</w:t>
      </w:r>
    </w:p>
    <w:p>
      <w:pPr>
        <w:pStyle w:val="Heading2"/>
        <w:keepNext/>
        <w:spacing w:before="240" w:after="80"/>
        <w:jc w:val="left"/>
      </w:pPr>
      <w:r>
        <w:t>9.1. Physics-Informed Neural Networks (PINNs)</w:t>
      </w:r>
    </w:p>
    <w:p>
      <w:pPr>
        <w:spacing w:before="40" w:after="100" w:line="276" w:lineRule="auto"/>
        <w:jc w:val="both"/>
      </w:pPr>
      <w:r>
        <w:t>Future charging analytics must embed electrical distribution grid equations directly into neural network loss formulations [46]. By penalizing violations of transformer top-oil thermal limits, cable ampacity bounds, and voltage tolerance ranges (ANSI C84.1 Range A), PINNs guarantee that forecasted dispatch schedules remain physically safe.</w:t>
      </w:r>
    </w:p>
    <w:p>
      <w:pPr>
        <w:pStyle w:val="Heading2"/>
        <w:keepNext/>
        <w:spacing w:before="240" w:after="80"/>
        <w:jc w:val="left"/>
      </w:pPr>
      <w:r>
        <w:t>9.2. Conformal Prediction &amp; Probabilistic Ramp Risk</w:t>
      </w:r>
    </w:p>
    <w:p>
      <w:pPr>
        <w:spacing w:before="40" w:after="100" w:line="276" w:lineRule="auto"/>
        <w:jc w:val="both"/>
      </w:pPr>
      <w:r>
        <w:t>Rather than relying on deterministic point forecasts that systematically clip acute morning spikes, smart charging management requires distribution-free Conformal Prediction [47]. By computing non-conformity scores on historical calibration slices, operators obtain mathematically guaranteed 90% or 95% confidence intervals, providing robust operating reserve margins.</w:t>
      </w:r>
    </w:p>
    <w:p>
      <w:pPr>
        <w:pStyle w:val="Heading2"/>
        <w:keepNext/>
        <w:spacing w:before="240" w:after="80"/>
        <w:jc w:val="left"/>
      </w:pPr>
      <w:r>
        <w:t>9.3. Privacy-Preserving Federated Multi-Site Learning</w:t>
      </w:r>
    </w:p>
    <w:p>
      <w:pPr>
        <w:spacing w:before="40" w:after="100" w:line="276" w:lineRule="auto"/>
        <w:jc w:val="both"/>
      </w:pPr>
      <w:r>
        <w:t>Federated learning paradigms enable multiple institutional charging sites to collaboratively train generalized predictive models without centralizing sensitive driver connection timestamps or travel mobility records, resolving critical privacy barriers [48].</w:t>
      </w:r>
    </w:p>
    <w:p>
      <w:pPr>
        <w:pStyle w:val="Heading2"/>
        <w:keepNext/>
        <w:spacing w:before="240" w:after="80"/>
        <w:jc w:val="left"/>
      </w:pPr>
      <w:r>
        <w:t>9.4. Potential Utilization of the 1.30-Hour Dwell Buffer for Managed Charging</w:t>
      </w:r>
    </w:p>
    <w:p>
      <w:pPr>
        <w:spacing w:before="40" w:after="100" w:line="276" w:lineRule="auto"/>
        <w:jc w:val="both"/>
      </w:pPr>
      <w:r>
        <w:t>Our empirical observation that vehicles dwell for a median of 1.30 idle hours after energy delivery ceases (41.7% idle ratio) suggests theoretical scheduling margin for potential managed charging frameworks such as Model Predictive Control (MPC). In concept, operators could theoretically stagger charging initiation across the 08:00–10:00 morning arrival peak, potentially shaving coincident demand while attempting to preserve driver departure state of charge. However, this observation is derived strictly from retrospective, unmanaged telemetry. The present study did not measure upstream transformer thermal loading, secondary feeder voltage drops, or actual real-world peak reduction, nor did it implement closed-loop actuation. Translating passive dwell observations into dependable real-time control without violating feeder safety or driver mobility guarantees remains a crucial avenue for future experimental research.</w:t>
      </w:r>
    </w:p>
    <w:p>
      <w:pPr>
        <w:pStyle w:val="Heading1"/>
        <w:keepNext/>
        <w:spacing w:before="320" w:after="120"/>
        <w:jc w:val="left"/>
      </w:pPr>
      <w:r>
        <w:t>10. Discussion</w:t>
      </w:r>
    </w:p>
    <w:p>
      <w:pPr>
        <w:pStyle w:val="Heading2"/>
        <w:keepNext/>
        <w:spacing w:before="240" w:after="80"/>
        <w:jc w:val="left"/>
      </w:pPr>
      <w:r>
        <w:t>10.1. What is Working Well?</w:t>
      </w:r>
    </w:p>
    <w:p>
      <w:pPr>
        <w:spacing w:before="40" w:after="100" w:line="276" w:lineRule="auto"/>
        <w:jc w:val="both"/>
      </w:pPr>
      <w:r>
        <w:t>Data-driven machine learning has successfully demonstrated that workplace EV charging follows strongly predictable diurnal and weekly commuter cycles. Tabular tree boosting and regularized linear models provide fast, highly accurate baseline predictions across routine operating days, substantially outperforming static persistence baselines.</w:t>
      </w:r>
    </w:p>
    <w:p>
      <w:pPr>
        <w:pStyle w:val="Heading2"/>
        <w:keepNext/>
        <w:spacing w:before="240" w:after="80"/>
        <w:jc w:val="left"/>
      </w:pPr>
      <w:r>
        <w:t>10.2. What is Crucially Missing?</w:t>
      </w:r>
    </w:p>
    <w:p>
      <w:pPr>
        <w:spacing w:before="40" w:after="100" w:line="276" w:lineRule="auto"/>
        <w:jc w:val="both"/>
      </w:pPr>
      <w:r>
        <w:t>The field critically lacks: (1) Standardized benchmark datasets paired with verified hardware maintenance logs to validate anomaly detection; (2) Co-simulation frameworks linking facility EVSE telemetry with distribution substation power flows; and (3) Dynamic real-time throttling controllers that translate static forecasts into actionable sub-minute power modulation.</w:t>
      </w:r>
    </w:p>
    <w:p>
      <w:pPr>
        <w:pStyle w:val="Heading2"/>
        <w:keepNext/>
        <w:spacing w:before="240" w:after="80"/>
        <w:jc w:val="left"/>
      </w:pPr>
      <w:r>
        <w:t>10.3. Algorithmic Dominance vs Operational Utility</w:t>
      </w:r>
    </w:p>
    <w:p>
      <w:pPr>
        <w:spacing w:before="40" w:after="100" w:line="276" w:lineRule="auto"/>
        <w:jc w:val="both"/>
      </w:pPr>
      <w:r>
        <w:t>While academic publications heavily prioritize deep sequential and transformer architectures, our empirical results present a more nuanced trade-off on sparse, zero-inflated demand. Regularized Ridge Regression was selected based on lowest Validation RMSE (13.168 kWh vs XGBoost's 13.267 kWh), adhering to rigorous non-snooping model selection protocols. On the holdout test set, XGBoost achieved a slightly lower Test RMSE (15.633 kWh vs Ridge's 15.713 kWh, a marginal difference of 0.080 kWh or 0.51%), while Ridge achieved a lower Test MAE (9.120 kWh vs 9.331 kWh). Crucially, neither model achieves strong explanatory power on this sparse demand series (R² = 0.1158 for Ridge, R² = 0.1248 for XGBoost; sMAPE ≈ 153%), where 79.14% of hours are zero load. Ridge cannot be claimed to possess universal superiority or robust predictive mastery; rather, its operational utility lies in parameter parsimony, deterministic closed-form estimation, and sub-millisecond execution (&lt;0.032s training latency) suitable for low-power edge microcontrollers where complex ensembles offer negligible practical accuracy gains relative to their computational footprint.</w:t>
      </w:r>
    </w:p>
    <w:p>
      <w:pPr>
        <w:pStyle w:val="Heading2"/>
        <w:keepNext/>
        <w:spacing w:before="240" w:after="80"/>
        <w:jc w:val="left"/>
      </w:pPr>
      <w:r>
        <w:t>10.4. Dataset Overreliance &amp; The ACN-Data Monoculture</w:t>
      </w:r>
    </w:p>
    <w:p>
      <w:pPr>
        <w:spacing w:before="40" w:after="100" w:line="276" w:lineRule="auto"/>
        <w:jc w:val="both"/>
      </w:pPr>
      <w:r>
        <w:t>Overreliance on Caltech's ACN-Data (24.0% of all reviewed studies) creates an academic monoculture reflecting an academic campus in Southern California. Future research must validate models across colder microclimates, commercial retail hubs, and highway fast-charging plazas.</w:t>
      </w:r>
    </w:p>
    <w:p>
      <w:pPr>
        <w:pStyle w:val="Heading1"/>
        <w:keepNext/>
        <w:spacing w:before="320" w:after="120"/>
        <w:jc w:val="left"/>
      </w:pPr>
      <w:r>
        <w:t>11. Conclusion</w:t>
      </w:r>
    </w:p>
    <w:p>
      <w:pPr>
        <w:pStyle w:val="Heading2"/>
        <w:keepNext/>
        <w:spacing w:before="240" w:after="80"/>
        <w:jc w:val="left"/>
      </w:pPr>
      <w:r>
        <w:t>11.1. Summary of Major Empirical Findings</w:t>
      </w:r>
    </w:p>
    <w:p>
      <w:pPr>
        <w:spacing w:before="40" w:after="100" w:line="276" w:lineRule="auto"/>
        <w:jc w:val="both"/>
      </w:pPr>
      <w:r>
        <w:t>This comprehensive case study executed an empirical benchmark and systematic review of data-driven EV charging analytics. Grounded in exactly 5,000 verified Caltech ACN-Data sessions from Site 0002 / Cluster 0039 (14,422 continuous hours, 53,668.78 kWh conserved), we demonstrated that regularized Ridge Regression was selected based on Validation RMSE (13.168 kWh, outperforming validation seasonal naive baselines by 23%–25%), achieving Test RMSE 15.713 kWh, Test MAE 9.120 kWh, and R² 0.1158, while XGBoost achieves a slightly lower Test RMSE of 15.633 kWh (Test MAE 9.331 kWh, R² 0.1248). Neither model achieves high explanatory power on the zero-inflated demand series. Dual-detector unsupervised consensus between Isolation Forest and LOF (150 flags each, 33 shared, 267 union, 117 unique to each detector, 234 in the symmetric difference) isolated 33 multivariate statistical anomalies (0.66%) with 4.87x higher energy delivery and 7.23x longer idle dwell, disclosed strictly as operational statistical outliers. Crucially, vehicles exhibit a median idle dwell buffer of 1.30 hours (41.7% idle ratio), suggesting theoretical operational flexibility for proposed managed load shifting, though real-world grid impacts, feeder constraints, and control efficacy remain unmeasured and require experimental validation.</w:t>
      </w:r>
    </w:p>
    <w:p>
      <w:pPr>
        <w:pStyle w:val="Heading2"/>
        <w:keepNext/>
        <w:spacing w:before="240" w:after="80"/>
        <w:jc w:val="left"/>
      </w:pPr>
      <w:r>
        <w:t>11.2. Actionable Engineering &amp; Policy Recommendations</w:t>
      </w:r>
    </w:p>
    <w:p>
      <w:pPr>
        <w:pStyle w:val="ListBullet"/>
        <w:spacing w:before="40" w:after="60" w:line="276" w:lineRule="auto"/>
        <w:jc w:val="both"/>
      </w:pPr>
      <w:r>
        <w:rPr>
          <w:b/>
        </w:rPr>
        <w:t xml:space="preserve">Mandate Chronological Validation: </w:t>
      </w:r>
      <w:r>
        <w:t>Academic benchmarks and utility procurement standards must prohibit randomized cross-validation to eliminate lookahead leakage.</w:t>
      </w:r>
    </w:p>
    <w:p>
      <w:pPr>
        <w:pStyle w:val="ListBullet"/>
        <w:spacing w:before="40" w:after="60" w:line="276" w:lineRule="auto"/>
        <w:jc w:val="both"/>
      </w:pPr>
      <w:r>
        <w:rPr>
          <w:b/>
        </w:rPr>
        <w:t xml:space="preserve">Deploy Staggered Morning Dispatch: </w:t>
      </w:r>
      <w:r>
        <w:t>Facility operators could theoretically explore utilizing the 1.30-hour median idle buffer to stagger charging initiation between 08:00 and 10:00 AM in simulation testbeds, while rigorously validating distribution transformer headroom and driver departure satisfaction prior to field deployment.</w:t>
      </w:r>
    </w:p>
    <w:p>
      <w:pPr>
        <w:pStyle w:val="ListBullet"/>
        <w:spacing w:before="40" w:after="60" w:line="276" w:lineRule="auto"/>
        <w:jc w:val="both"/>
      </w:pPr>
      <w:r>
        <w:rPr>
          <w:b/>
        </w:rPr>
        <w:t xml:space="preserve">Pair Point Models with Dynamic Throttling: </w:t>
      </w:r>
      <w:r>
        <w:t>Utilities must augment deterministic regression with probabilistic bounds and real-time current throttling to manage extreme peak bursts.</w:t>
      </w:r>
    </w:p>
    <w:p>
      <w:pPr>
        <w:pStyle w:val="ListBullet"/>
        <w:spacing w:before="40" w:after="60" w:line="276" w:lineRule="auto"/>
        <w:jc w:val="both"/>
      </w:pPr>
      <w:r>
        <w:rPr>
          <w:b/>
        </w:rPr>
        <w:t xml:space="preserve">Adopt Dual-Detector Anomaly Consensus: </w:t>
      </w:r>
      <w:r>
        <w:t>Charging network operators should deploy both isolation-based and density-based anomaly detectors, requiring consensus confirmation before flagging sessions.</w:t>
      </w:r>
    </w:p>
    <w:p>
      <w:pPr>
        <w:pStyle w:val="Heading1"/>
        <w:keepNext/>
        <w:spacing w:before="320" w:after="120"/>
        <w:jc w:val="left"/>
      </w:pPr>
      <w:r>
        <w:t>12. Visual Artifacts and Figures</w:t>
      </w:r>
    </w:p>
    <w:p>
      <w:pPr>
        <w:spacing w:before="40" w:after="100" w:line="276" w:lineRule="auto"/>
        <w:jc w:val="both"/>
      </w:pPr>
      <w:r>
        <w:t>In accordance with faculty formatting specifications, all sixteen analytical figures (Figure 1 through Figure 8 review diagrams, and Figure 9 through Figure 16 empirical project figures) have been embedded within their relevant topical sections. Below, Figure 15 (Weekly Demand Heatmap) and Figure 16 (Multivariate Anomaly Feature Profiling) provide operational insights into commuter cycles and outlier characteristics.</w:t>
      </w:r>
    </w:p>
    <w:p>
      <w:pPr>
        <w:keepNext/>
        <w:spacing w:before="200" w:after="60"/>
        <w:jc w:val="center"/>
      </w:pPr>
      <w:r>
        <w:drawing>
          <wp:inline xmlns:a="http://schemas.openxmlformats.org/drawingml/2006/main" xmlns:pic="http://schemas.openxmlformats.org/drawingml/2006/picture">
            <wp:extent cx="5303520" cy="2892829"/>
            <wp:docPr id="11" name="Picture 11"/>
            <wp:cNvGraphicFramePr>
              <a:graphicFrameLocks noChangeAspect="1"/>
            </wp:cNvGraphicFramePr>
            <a:graphic>
              <a:graphicData uri="http://schemas.openxmlformats.org/drawingml/2006/picture">
                <pic:pic>
                  <pic:nvPicPr>
                    <pic:cNvPr id="0" name="fig_l_peak_demand_heatmap.png"/>
                    <pic:cNvPicPr/>
                  </pic:nvPicPr>
                  <pic:blipFill>
                    <a:blip r:embed="rId21"/>
                    <a:stretch>
                      <a:fillRect/>
                    </a:stretch>
                  </pic:blipFill>
                  <pic:spPr>
                    <a:xfrm>
                      <a:off x="0" y="0"/>
                      <a:ext cx="5303520" cy="2892829"/>
                    </a:xfrm>
                    <a:prstGeom prst="rect"/>
                  </pic:spPr>
                </pic:pic>
              </a:graphicData>
            </a:graphic>
          </wp:inline>
        </w:drawing>
      </w:r>
    </w:p>
    <w:p>
      <w:pPr>
        <w:spacing w:before="40" w:after="200"/>
        <w:jc w:val="center"/>
      </w:pPr>
      <w:r>
        <w:rPr>
          <w:rFonts w:ascii="Arial" w:hAnsi="Arial"/>
          <w:b/>
          <w:color w:val="1E3A8A"/>
          <w:sz w:val="18"/>
        </w:rPr>
        <w:t xml:space="preserve">Figure 15: Facility Charging Demand Intensity Heatmap (Hour of Day vs Day of Week). </w:t>
      </w:r>
      <w:r>
        <w:rPr>
          <w:rFonts w:ascii="Arial" w:hAnsi="Arial"/>
          <w:i/>
          <w:color w:val="475569"/>
          <w:sz w:val="17"/>
        </w:rPr>
        <w:t>Empirical demand density across 14,422 hours confirming acute morning commuter concentration (08:00–11:00 PST/PDT) on Monday through Thursday and near-zero weekend occupancy.</w:t>
      </w:r>
    </w:p>
    <w:p>
      <w:r>
        <w:br w:type="page"/>
      </w:r>
    </w:p>
    <w:p>
      <w:pPr>
        <w:keepNext/>
        <w:spacing w:before="200" w:after="60"/>
        <w:jc w:val="center"/>
      </w:pPr>
      <w:r>
        <w:drawing>
          <wp:inline xmlns:a="http://schemas.openxmlformats.org/drawingml/2006/main" xmlns:pic="http://schemas.openxmlformats.org/drawingml/2006/picture">
            <wp:extent cx="5303520" cy="1767840"/>
            <wp:docPr id="12" name="Picture 12"/>
            <wp:cNvGraphicFramePr>
              <a:graphicFrameLocks noChangeAspect="1"/>
            </wp:cNvGraphicFramePr>
            <a:graphic>
              <a:graphicData uri="http://schemas.openxmlformats.org/drawingml/2006/picture">
                <pic:pic>
                  <pic:nvPicPr>
                    <pic:cNvPr id="0" name="fig_z_anomaly_feature_comparison.png"/>
                    <pic:cNvPicPr/>
                  </pic:nvPicPr>
                  <pic:blipFill>
                    <a:blip r:embed="rId22"/>
                    <a:stretch>
                      <a:fillRect/>
                    </a:stretch>
                  </pic:blipFill>
                  <pic:spPr>
                    <a:xfrm>
                      <a:off x="0" y="0"/>
                      <a:ext cx="5303520" cy="1767840"/>
                    </a:xfrm>
                    <a:prstGeom prst="rect"/>
                  </pic:spPr>
                </pic:pic>
              </a:graphicData>
            </a:graphic>
          </wp:inline>
        </w:drawing>
      </w:r>
    </w:p>
    <w:p>
      <w:pPr>
        <w:spacing w:before="40" w:after="200"/>
        <w:jc w:val="center"/>
      </w:pPr>
      <w:r>
        <w:rPr>
          <w:rFonts w:ascii="Arial" w:hAnsi="Arial"/>
          <w:b/>
          <w:color w:val="1E3A8A"/>
          <w:sz w:val="18"/>
        </w:rPr>
        <w:t xml:space="preserve">Figure 16: Multivariate Anomaly Feature Profiling (Normal vs Consensus Anomalous Sessions). </w:t>
      </w:r>
      <w:r>
        <w:rPr>
          <w:rFonts w:ascii="Arial" w:hAnsi="Arial"/>
          <w:i/>
          <w:color w:val="475569"/>
          <w:sz w:val="17"/>
        </w:rPr>
        <w:t>Comparative boxplot distributions of delivered energy, connection hours, charging rates, and idle dwell, illustrating the 4.87x energy and 7.23x idle dwell divergence characterizing consensus outliers.</w:t>
      </w:r>
    </w:p>
    <w:p>
      <w:r>
        <w:br w:type="page"/>
      </w:r>
    </w:p>
    <w:p>
      <w:pPr>
        <w:pStyle w:val="Heading1"/>
        <w:keepNext/>
        <w:spacing w:before="320" w:after="120"/>
        <w:jc w:val="left"/>
      </w:pPr>
      <w:r>
        <w:t>13. References</w:t>
      </w:r>
    </w:p>
    <w:p>
      <w:pPr>
        <w:spacing w:before="20" w:after="30" w:line="252" w:lineRule="auto"/>
        <w:ind w:left="504" w:hanging="504"/>
        <w:jc w:val="both"/>
      </w:pPr>
      <w:r>
        <w:rPr>
          <w:rFonts w:ascii="Arial" w:hAnsi="Arial"/>
          <w:color w:val="1E293B"/>
          <w:sz w:val="15"/>
        </w:rPr>
        <w:t>[1] M. Yilmaz and P. T. Krein, "Review of the impact of vehicle-to-grid technologies on electrical power networks," IEEE Trans. Power Electron., vol. 28, no. 12, pp. 5673–5689, Dec. 2013, doi: 10.1109/TPEL.2012.2237562.</w:t>
      </w:r>
    </w:p>
    <w:p>
      <w:pPr>
        <w:spacing w:before="20" w:after="30" w:line="252" w:lineRule="auto"/>
        <w:ind w:left="504" w:hanging="504"/>
        <w:jc w:val="both"/>
      </w:pPr>
      <w:r>
        <w:rPr>
          <w:rFonts w:ascii="Arial" w:hAnsi="Arial"/>
          <w:color w:val="1E293B"/>
          <w:sz w:val="15"/>
        </w:rPr>
        <w:t>[2] F. Ahmad, M. S. Alam, and M. S. J. Asghar, "Electric utility grid of the future: An overview of smart grid technologies and EV integration," IEEE Trans. Smart Grid, vol. 9, no. 1, pp. 245–258, Jan. 2018, doi: 10.1109/TSG.2016.2555776.</w:t>
      </w:r>
    </w:p>
    <w:p>
      <w:pPr>
        <w:spacing w:before="20" w:after="30" w:line="252" w:lineRule="auto"/>
        <w:ind w:left="504" w:hanging="504"/>
        <w:jc w:val="both"/>
      </w:pPr>
      <w:r>
        <w:rPr>
          <w:rFonts w:ascii="Arial" w:hAnsi="Arial"/>
          <w:color w:val="1E293B"/>
          <w:sz w:val="15"/>
        </w:rPr>
        <w:t>[3] S. Habib, M. M. Khan, F. Abbas, L. Sang, M. U. Shahid, and H. Z. Tang, "A comprehensive study of electric vehicles charging stations and grid integration: Challenges and opportunities," IEEE Access, vol. 6, pp. 60161–60187, Oct. 2018, doi: 10.1109/ACCESS.2018.2872322.</w:t>
      </w:r>
    </w:p>
    <w:p>
      <w:pPr>
        <w:spacing w:before="20" w:after="30" w:line="252" w:lineRule="auto"/>
        <w:ind w:left="504" w:hanging="504"/>
        <w:jc w:val="both"/>
      </w:pPr>
      <w:r>
        <w:rPr>
          <w:rFonts w:ascii="Arial" w:hAnsi="Arial"/>
          <w:color w:val="1E293B"/>
          <w:sz w:val="15"/>
        </w:rPr>
        <w:t>[4] W. Kempton and J. Tomić, "Vehicle-to-grid power fundamentals: Calculating capacity and net revenue," J. Power Sources, vol. 144, no. 1, pp. 268–279, Jun. 2005, doi: 10.1016/j.jpowsour.2004.12.025.</w:t>
      </w:r>
    </w:p>
    <w:p>
      <w:pPr>
        <w:spacing w:before="20" w:after="30" w:line="252" w:lineRule="auto"/>
        <w:ind w:left="504" w:hanging="504"/>
        <w:jc w:val="both"/>
      </w:pPr>
      <w:r>
        <w:rPr>
          <w:rFonts w:ascii="Arial" w:hAnsi="Arial"/>
          <w:color w:val="1E293B"/>
          <w:sz w:val="15"/>
        </w:rPr>
        <w:t>[5] Z. Darabi and M. Ferdowsi, "Aggregated impact of plug-in hybrid electric vehicles on electricity demand profile," IEEE Trans. Sustain. Energy, vol. 2, no. 4, pp. 501–508, Oct. 2011, doi: 10.1109/TSTE.2011.2158123.</w:t>
      </w:r>
    </w:p>
    <w:p>
      <w:pPr>
        <w:spacing w:before="20" w:after="30" w:line="252" w:lineRule="auto"/>
        <w:ind w:left="504" w:hanging="504"/>
        <w:jc w:val="both"/>
      </w:pPr>
      <w:r>
        <w:rPr>
          <w:rFonts w:ascii="Arial" w:hAnsi="Arial"/>
          <w:color w:val="1E293B"/>
          <w:sz w:val="15"/>
        </w:rPr>
        <w:t>[6] J. Kelly, J. S. MacDonald, and D. Keoleian, "Time-dependent plug-in electric vehicle charging: Grid impacts and greenhouse gas emissions," Appl. Energy, vol. 90, no. 1, pp. 261–273, Feb. 2012, doi: 10.1016/j.apenergy.2011.08.016.</w:t>
      </w:r>
    </w:p>
    <w:p>
      <w:pPr>
        <w:spacing w:before="20" w:after="30" w:line="252" w:lineRule="auto"/>
        <w:ind w:left="504" w:hanging="504"/>
        <w:jc w:val="both"/>
      </w:pPr>
      <w:r>
        <w:rPr>
          <w:rFonts w:ascii="Arial" w:hAnsi="Arial"/>
          <w:color w:val="1E293B"/>
          <w:sz w:val="15"/>
        </w:rPr>
        <w:t>[7] Z. J. Lee, T. Li, and S. H. Low, "ACN-Data: Analysis and applications of an open EV charging dataset," in Proc. 10th ACM Int. Conf. Future Energy Syst. (e-Energy '19), Phoenix, AZ, USA, Jun. 2019, pp. 139–149, doi: 10.1145/3307772.3328313.</w:t>
      </w:r>
    </w:p>
    <w:p>
      <w:pPr>
        <w:spacing w:before="20" w:after="30" w:line="252" w:lineRule="auto"/>
        <w:ind w:left="504" w:hanging="504"/>
        <w:jc w:val="both"/>
      </w:pPr>
      <w:r>
        <w:rPr>
          <w:rFonts w:ascii="Arial" w:hAnsi="Arial"/>
          <w:color w:val="1E293B"/>
          <w:sz w:val="15"/>
        </w:rPr>
        <w:t>[8] Z. J. Lee, G. Lee, T. Lee, C. Jin, R. Lee, Z. Low, D. Chang, C. Ortega, and S. H. Low, "Adaptive Charging Networks: A framework for smart electric vehicle charging," IEEE Trans. Smart Grid, vol. 12, no. 5, pp. 4339–4352, Sep. 2021, doi: 10.1109/TSG.2021.3073998.</w:t>
      </w:r>
    </w:p>
    <w:p>
      <w:pPr>
        <w:spacing w:before="20" w:after="30" w:line="252" w:lineRule="auto"/>
        <w:ind w:left="504" w:hanging="504"/>
        <w:jc w:val="both"/>
      </w:pPr>
      <w:r>
        <w:rPr>
          <w:rFonts w:ascii="Arial" w:hAnsi="Arial"/>
          <w:color w:val="1E293B"/>
          <w:sz w:val="15"/>
        </w:rPr>
        <w:t>[9] S. Basnet and M. H. Ali, "Cy-Phy ADS: Cyber-Physical Anomaly Detection Framework for EV Charging Systems," IEEE Trans. Transport. Electrific., vol. 10, no. 2, pp. 2845–2858, Jun. 2024, doi: 10.1109/TTE.2023.3323086.</w:t>
      </w:r>
    </w:p>
    <w:p>
      <w:pPr>
        <w:spacing w:before="20" w:after="30" w:line="252" w:lineRule="auto"/>
        <w:ind w:left="504" w:hanging="504"/>
        <w:jc w:val="both"/>
      </w:pPr>
      <w:r>
        <w:rPr>
          <w:rFonts w:ascii="Arial" w:hAnsi="Arial"/>
          <w:color w:val="1E293B"/>
          <w:sz w:val="15"/>
        </w:rPr>
        <w:t>[10] M. S. Hossain, M. R. Sarker, et al., "Anomaly Detection Using Bi-Directional Long Short-Term Memory Networks for Cyber-Physical Electric Vehicle Charging Stations," IEEE Trans. Ind. Cyber-Phys. Syst., vol. 2, pp. 112–122, 2024, doi: 10.1109/TICPS.2024.3437349.</w:t>
      </w:r>
    </w:p>
    <w:p>
      <w:pPr>
        <w:spacing w:before="20" w:after="30" w:line="252" w:lineRule="auto"/>
        <w:ind w:left="504" w:hanging="504"/>
        <w:jc w:val="both"/>
      </w:pPr>
      <w:r>
        <w:rPr>
          <w:rFonts w:ascii="Arial" w:hAnsi="Arial"/>
          <w:color w:val="1E293B"/>
          <w:sz w:val="15"/>
        </w:rPr>
        <w:t>[11] T. Hong, P. Pinson, S. Fan, H. Zareipour, A. Troccoli, and R. J. Hyndman, "Probabilistic energy forecasting: Global energy forecasting competition 2014 and beyond," Int. J. Forecast., vol. 32, no. 3, pp. 896–913, Jul. 2016, doi: 10.1016/j.ijforecast.2016.02.001.</w:t>
      </w:r>
    </w:p>
    <w:p>
      <w:pPr>
        <w:spacing w:before="20" w:after="30" w:line="252" w:lineRule="auto"/>
        <w:ind w:left="504" w:hanging="504"/>
        <w:jc w:val="both"/>
      </w:pPr>
      <w:r>
        <w:rPr>
          <w:rFonts w:ascii="Arial" w:hAnsi="Arial"/>
          <w:color w:val="1E293B"/>
          <w:sz w:val="15"/>
        </w:rPr>
        <w:t>[12] J. Antonanzas, N. Osorio, R. Escobar, R. Urraca, F. J. Martinez-de-Pison, and F. Antonanzas-Torres, "Review of photovoltaic power forecasting," Sol. Energy, vol. 136, pp. 78–111, Oct. 2016, doi: 10.1016/j.solener.2016.06.069.</w:t>
      </w:r>
    </w:p>
    <w:p>
      <w:pPr>
        <w:spacing w:before="20" w:after="30" w:line="252" w:lineRule="auto"/>
        <w:ind w:left="504" w:hanging="504"/>
        <w:jc w:val="both"/>
      </w:pPr>
      <w:r>
        <w:rPr>
          <w:rFonts w:ascii="Arial" w:hAnsi="Arial"/>
          <w:color w:val="1E293B"/>
          <w:sz w:val="15"/>
        </w:rPr>
        <w:t>[13] R. J. Hyndman and Y. Khandakar, "Automatic time series forecasting: The forecast package for R," J. Stat. Softw., vol. 27, no. 3, pp. 1–22, Jul. 2008, doi: 10.18637/jss.v027.i03.</w:t>
      </w:r>
    </w:p>
    <w:p>
      <w:pPr>
        <w:spacing w:before="20" w:after="30" w:line="252" w:lineRule="auto"/>
        <w:ind w:left="504" w:hanging="504"/>
        <w:jc w:val="both"/>
      </w:pPr>
      <w:r>
        <w:rPr>
          <w:rFonts w:ascii="Arial" w:hAnsi="Arial"/>
          <w:color w:val="1E293B"/>
          <w:sz w:val="15"/>
        </w:rPr>
        <w:t>[14] C. Bergmeir and J. M. Benítez, "On the use of cross-validation for time series predictor evaluation," Inf. Sci., vol. 191, pp. 192–213, May 2012, doi: 10.1016/j.ins.2011.12.028.</w:t>
      </w:r>
    </w:p>
    <w:p>
      <w:pPr>
        <w:spacing w:before="20" w:after="30" w:line="252" w:lineRule="auto"/>
        <w:ind w:left="504" w:hanging="504"/>
        <w:jc w:val="both"/>
      </w:pPr>
      <w:r>
        <w:rPr>
          <w:rFonts w:ascii="Arial" w:hAnsi="Arial"/>
          <w:color w:val="1E293B"/>
          <w:sz w:val="15"/>
        </w:rPr>
        <w:t>[15] C. Crozier, T. Morstyn, and M. McCulloch, "The opportunity for smart charging to mitigate the impact of electric vehicles on transmission and distribution systems," Appl. Energy, vol. 268, p. 114973, Jun. 2020, doi: 10.1016/j.apenergy.2020.114973.</w:t>
      </w:r>
    </w:p>
    <w:p>
      <w:pPr>
        <w:spacing w:before="20" w:after="30" w:line="252" w:lineRule="auto"/>
        <w:ind w:left="504" w:hanging="504"/>
        <w:jc w:val="both"/>
      </w:pPr>
      <w:r>
        <w:rPr>
          <w:rFonts w:ascii="Arial" w:hAnsi="Arial"/>
          <w:color w:val="1E293B"/>
          <w:sz w:val="15"/>
        </w:rPr>
        <w:t>[16] M. Goldstein and S. Uchida, "A comparative evaluation of unsupervised anomaly detection algorithms for multivariate data," PLoS ONE, vol. 11, no. 4, p. e0152173, Apr. 2016, doi: 10.1371/journal.pone.0152173.</w:t>
      </w:r>
    </w:p>
    <w:p>
      <w:pPr>
        <w:spacing w:before="20" w:after="30" w:line="252" w:lineRule="auto"/>
        <w:ind w:left="504" w:hanging="504"/>
        <w:jc w:val="both"/>
      </w:pPr>
      <w:r>
        <w:rPr>
          <w:rFonts w:ascii="Arial" w:hAnsi="Arial"/>
          <w:color w:val="1E293B"/>
          <w:sz w:val="15"/>
        </w:rPr>
        <w:t>[17] SAE International, "SAE J1772: SAE Electric Vehicle and Plug in Hybrid Electric Vehicle Conductive Charge Coupler," SAE Standard J1772_201710, Oct. 2017, doi: 10.4271/J1772_201710.</w:t>
      </w:r>
    </w:p>
    <w:p>
      <w:pPr>
        <w:spacing w:before="20" w:after="30" w:line="252" w:lineRule="auto"/>
        <w:ind w:left="504" w:hanging="504"/>
        <w:jc w:val="both"/>
      </w:pPr>
      <w:r>
        <w:rPr>
          <w:rFonts w:ascii="Arial" w:hAnsi="Arial"/>
          <w:color w:val="1E293B"/>
          <w:sz w:val="15"/>
        </w:rPr>
        <w:t>[18] M. Muratori, "Impact of uncoordinated plug-in electric vehicle charging on residential power demand," Nat. Energy, vol. 3, no. 3, pp. 193–201, Mar. 2018, doi: 10.1038/s41560-017-0074-z.</w:t>
      </w:r>
    </w:p>
    <w:p>
      <w:pPr>
        <w:spacing w:before="20" w:after="30" w:line="252" w:lineRule="auto"/>
        <w:ind w:left="504" w:hanging="504"/>
        <w:jc w:val="both"/>
      </w:pPr>
      <w:r>
        <w:rPr>
          <w:rFonts w:ascii="Arial" w:hAnsi="Arial"/>
          <w:color w:val="1E293B"/>
          <w:sz w:val="15"/>
        </w:rPr>
        <w:t>[19] S. Powell, G. V. Cezar, L. Min, B. M. Liang, and R. Rajagopal, "Charging infrastructure access and operation to mitigate the grid impacts of electric vehicles," Nat. Energy, vol. 7, no. 10, pp. 958–969, Oct. 2022, doi: 10.1038/s41560-022-01105-7.</w:t>
      </w:r>
    </w:p>
    <w:p>
      <w:pPr>
        <w:spacing w:before="20" w:after="30" w:line="252" w:lineRule="auto"/>
        <w:ind w:left="504" w:hanging="504"/>
        <w:jc w:val="both"/>
      </w:pPr>
      <w:r>
        <w:rPr>
          <w:rFonts w:ascii="Arial" w:hAnsi="Arial"/>
          <w:color w:val="1E293B"/>
          <w:sz w:val="15"/>
        </w:rPr>
        <w:t>[20] G. E. Box, G. M. Jenkins, G. C. Reinsel, and G. M. Ljung, Time Series Analysis: Forecasting and Control, 5th ed. Hoboken, NJ, USA: John Wiley &amp; Sons, 2015, ISBN: 978-1-118-67502-1.</w:t>
      </w:r>
    </w:p>
    <w:p>
      <w:pPr>
        <w:spacing w:before="20" w:after="30" w:line="252" w:lineRule="auto"/>
        <w:ind w:left="504" w:hanging="504"/>
        <w:jc w:val="both"/>
      </w:pPr>
      <w:r>
        <w:rPr>
          <w:rFonts w:ascii="Arial" w:hAnsi="Arial"/>
          <w:color w:val="1E293B"/>
          <w:sz w:val="15"/>
        </w:rPr>
        <w:t>[21] S. X. Chen, H. B. Gooi, and M. Q. Wang, "Sizing of energy storage for microgrids using design space exploration," IEEE Trans. Smart Grid, vol. 3, no. 4, pp. 1970–1978, Dec. 2012, doi: 10.1109/TSG.2012.2215948.</w:t>
      </w:r>
    </w:p>
    <w:p>
      <w:pPr>
        <w:spacing w:before="20" w:after="30" w:line="252" w:lineRule="auto"/>
        <w:ind w:left="504" w:hanging="504"/>
        <w:jc w:val="both"/>
      </w:pPr>
      <w:r>
        <w:rPr>
          <w:rFonts w:ascii="Arial" w:hAnsi="Arial"/>
          <w:color w:val="1E293B"/>
          <w:sz w:val="15"/>
        </w:rPr>
        <w:t>[22] M. B. Arias and S. Bae, "Electric vehicle charging demand forecasting model based on big data technologies," Appl. Energy, vol. 183, pp. 327–339, Dec. 2016, doi: 10.1016/j.apenergy.2016.08.080.</w:t>
      </w:r>
    </w:p>
    <w:p>
      <w:pPr>
        <w:spacing w:before="20" w:after="30" w:line="252" w:lineRule="auto"/>
        <w:ind w:left="504" w:hanging="504"/>
        <w:jc w:val="both"/>
      </w:pPr>
      <w:r>
        <w:rPr>
          <w:rFonts w:ascii="Arial" w:hAnsi="Arial"/>
          <w:color w:val="1E293B"/>
          <w:sz w:val="15"/>
        </w:rPr>
        <w:t>[23] J. W. Taylor, "Short-term load forecasting with exponentially weighted methods," IEEE Trans. Power Syst., vol. 27, no. 1, pp. 458–464, Feb. 2012, doi: 10.1109/TPWRS.2011.2161780.</w:t>
      </w:r>
    </w:p>
    <w:p>
      <w:pPr>
        <w:spacing w:before="20" w:after="30" w:line="252" w:lineRule="auto"/>
        <w:ind w:left="504" w:hanging="504"/>
        <w:jc w:val="both"/>
      </w:pPr>
      <w:r>
        <w:rPr>
          <w:rFonts w:ascii="Arial" w:hAnsi="Arial"/>
          <w:color w:val="1E293B"/>
          <w:sz w:val="15"/>
        </w:rPr>
        <w:t>[24] A. E. Hoerl and R. W. Kennard, "Ridge regression: Biased estimation for nonorthogonal problems," Technometrics, vol. 12, no. 1, pp. 55–67, Feb. 1970, doi: 10.1080/00401706.1970.10488634.</w:t>
      </w:r>
    </w:p>
    <w:p>
      <w:pPr>
        <w:spacing w:before="20" w:after="30" w:line="252" w:lineRule="auto"/>
        <w:ind w:left="504" w:hanging="504"/>
        <w:jc w:val="both"/>
      </w:pPr>
      <w:r>
        <w:rPr>
          <w:rFonts w:ascii="Arial" w:hAnsi="Arial"/>
          <w:color w:val="1E293B"/>
          <w:sz w:val="15"/>
        </w:rPr>
        <w:t>[25] R. Tibshirani, "Regression shrinkage and selection via the lasso," J. R. Stat. Soc. Ser. B (Methodol.), vol. 58, no. 1, pp. 267–288, 1996, doi: 10.1111/j.2517-6161.1996.tb02080.x.</w:t>
      </w:r>
    </w:p>
    <w:p>
      <w:pPr>
        <w:spacing w:before="20" w:after="30" w:line="252" w:lineRule="auto"/>
        <w:ind w:left="504" w:hanging="504"/>
        <w:jc w:val="both"/>
      </w:pPr>
      <w:r>
        <w:rPr>
          <w:rFonts w:ascii="Arial" w:hAnsi="Arial"/>
          <w:color w:val="1E293B"/>
          <w:sz w:val="15"/>
        </w:rPr>
        <w:t>[26] A. Almaghrebi, F. Aljuheishi, M. Rafaie, K. James, and M. Alahmad, "Data-driven charging demand prediction at public charging stations using machine learning," IEEE Access, vol. 8, pp. 111475–111488, Jun. 2020, doi: 10.1109/ACCESS.2020.3002320.</w:t>
      </w:r>
    </w:p>
    <w:p>
      <w:pPr>
        <w:spacing w:before="20" w:after="30" w:line="252" w:lineRule="auto"/>
        <w:ind w:left="504" w:hanging="504"/>
        <w:jc w:val="both"/>
      </w:pPr>
      <w:r>
        <w:rPr>
          <w:rFonts w:ascii="Arial" w:hAnsi="Arial"/>
          <w:color w:val="1E293B"/>
          <w:sz w:val="15"/>
        </w:rPr>
        <w:t>[27] T. Hastie, R. Tibshirani, and J. Friedman, The Elements of Statistical Learning: Data Mining, Inference, and Prediction, 2nd ed. New York, NY, USA: Springer, 2009, doi: 10.1007/978-0-387-84858-7.</w:t>
      </w:r>
    </w:p>
    <w:p>
      <w:pPr>
        <w:spacing w:before="20" w:after="30" w:line="252" w:lineRule="auto"/>
        <w:ind w:left="504" w:hanging="504"/>
        <w:jc w:val="both"/>
      </w:pPr>
      <w:r>
        <w:rPr>
          <w:rFonts w:ascii="Arial" w:hAnsi="Arial"/>
          <w:color w:val="1E293B"/>
          <w:sz w:val="15"/>
        </w:rPr>
        <w:t>[28] L. Breiman, "Random forests," Mach. Learn., vol. 45, no. 1, pp. 5–32, Oct. 2001, doi: 10.1023/A:1010933404324.</w:t>
      </w:r>
    </w:p>
    <w:p>
      <w:pPr>
        <w:spacing w:before="20" w:after="30" w:line="252" w:lineRule="auto"/>
        <w:ind w:left="504" w:hanging="504"/>
        <w:jc w:val="both"/>
      </w:pPr>
      <w:r>
        <w:rPr>
          <w:rFonts w:ascii="Arial" w:hAnsi="Arial"/>
          <w:color w:val="1E293B"/>
          <w:sz w:val="15"/>
        </w:rPr>
        <w:t>[29] T. Chen and C. Guestrin, "XGBoost: A scalable tree boosting system," in Proc. 22nd ACM SIGKDD Int. Conf. Knowl. Discov. Data Min. (KDD '16), San Francisco, CA, USA, Aug. 2016, pp. 785–794, doi: 10.1145/2939672.2939785.</w:t>
      </w:r>
    </w:p>
    <w:p>
      <w:pPr>
        <w:spacing w:before="20" w:after="30" w:line="252" w:lineRule="auto"/>
        <w:ind w:left="504" w:hanging="504"/>
        <w:jc w:val="both"/>
      </w:pPr>
      <w:r>
        <w:rPr>
          <w:rFonts w:ascii="Arial" w:hAnsi="Arial"/>
          <w:color w:val="1E293B"/>
          <w:sz w:val="15"/>
        </w:rPr>
        <w:t>[30] O. Frendo, N. Graf, N. Gaertner, and H. Stuckenschmidt, "Data-driven smart charging for electric vehicle fleets," Energy AI, vol. 1, p. 100007, Aug. 2020, doi: 10.1016/j.egyai.2020.100007.</w:t>
      </w:r>
    </w:p>
    <w:p>
      <w:pPr>
        <w:spacing w:before="20" w:after="30" w:line="252" w:lineRule="auto"/>
        <w:ind w:left="504" w:hanging="504"/>
        <w:jc w:val="both"/>
      </w:pPr>
      <w:r>
        <w:rPr>
          <w:rFonts w:ascii="Arial" w:hAnsi="Arial"/>
          <w:color w:val="1E293B"/>
          <w:sz w:val="15"/>
        </w:rPr>
        <w:t>[31] L. Buzna, R. Carvalho, P. Bonsall, and M. J. de Bok, "Ensemble methods for electric vehicle charging demand prediction," IEEE Trans. Intell. Transp. Syst., vol. 22, no. 8, pp. 5045–5056, Aug. 2021, doi: 10.1109/TITS.2020.2982827.</w:t>
      </w:r>
    </w:p>
    <w:p>
      <w:pPr>
        <w:spacing w:before="20" w:after="30" w:line="252" w:lineRule="auto"/>
        <w:ind w:left="504" w:hanging="504"/>
        <w:jc w:val="both"/>
      </w:pPr>
      <w:r>
        <w:rPr>
          <w:rFonts w:ascii="Arial" w:hAnsi="Arial"/>
          <w:color w:val="1E293B"/>
          <w:sz w:val="15"/>
        </w:rPr>
        <w:t>[32] G. Ke et al., "LightGBM: A highly efficient gradient boosting decision tree," in Adv. Neural Inf. Process. Syst. (NeurIPS 2017), Long Beach, CA, USA, Dec. 2017, vol. 30, pp. 3146–3154.</w:t>
      </w:r>
    </w:p>
    <w:p>
      <w:pPr>
        <w:spacing w:before="20" w:after="30" w:line="252" w:lineRule="auto"/>
        <w:ind w:left="504" w:hanging="504"/>
        <w:jc w:val="both"/>
      </w:pPr>
      <w:r>
        <w:rPr>
          <w:rFonts w:ascii="Arial" w:hAnsi="Arial"/>
          <w:color w:val="1E293B"/>
          <w:sz w:val="15"/>
        </w:rPr>
        <w:t>[33] S. Hochreiter and J. Schmidhuber, "Long short-term memory," Neural Comput., vol. 9, no. 8, pp. 1735–1780, Nov. 1997, doi: 10.1162/neco.1997.9.8.1735.</w:t>
      </w:r>
    </w:p>
    <w:p>
      <w:pPr>
        <w:spacing w:before="20" w:after="30" w:line="252" w:lineRule="auto"/>
        <w:ind w:left="504" w:hanging="504"/>
        <w:jc w:val="both"/>
      </w:pPr>
      <w:r>
        <w:rPr>
          <w:rFonts w:ascii="Arial" w:hAnsi="Arial"/>
          <w:color w:val="1E293B"/>
          <w:sz w:val="15"/>
        </w:rPr>
        <w:t>[34] K. Cho et al., "Learning phrase representations using RNN encoder-decoder for statistical machine translation," in Proc. Conf. Empirical Methods Nat. Lang. Process. (EMNLP 2014), Doha, Qatar, Oct. 2014, pp. 1724–1734, doi: 10.3115/v1/D14-1179.</w:t>
      </w:r>
    </w:p>
    <w:p>
      <w:pPr>
        <w:spacing w:before="20" w:after="30" w:line="252" w:lineRule="auto"/>
        <w:ind w:left="504" w:hanging="504"/>
        <w:jc w:val="both"/>
      </w:pPr>
      <w:r>
        <w:rPr>
          <w:rFonts w:ascii="Arial" w:hAnsi="Arial"/>
          <w:color w:val="1E293B"/>
          <w:sz w:val="15"/>
        </w:rPr>
        <w:t>[35] Y. He, H. Zhang, et al., "Load Forecasting of Electric Vehicle Charging Stations: Attention-Based Spatiotemporal Multi-Graph Convolutional Networks," IEEE Trans. Smart Grid, vol. 15, no. 3, pp. 2894–2906, May 2024, doi: 10.1109/TSG.2023.3321116.</w:t>
      </w:r>
    </w:p>
    <w:p>
      <w:pPr>
        <w:spacing w:before="20" w:after="30" w:line="252" w:lineRule="auto"/>
        <w:ind w:left="504" w:hanging="504"/>
        <w:jc w:val="both"/>
      </w:pPr>
      <w:r>
        <w:rPr>
          <w:rFonts w:ascii="Arial" w:hAnsi="Arial"/>
          <w:color w:val="1E293B"/>
          <w:sz w:val="15"/>
        </w:rPr>
        <w:t>[36] N. Sadeghianpourhamamin, M. Deleu, and C. Develder, "Quantifying flexibility in electric vehicle charging: A survival analysis approach using ElaadNL data," IEEE Trans. Smart Grid, vol. 11, no. 5, pp. 3968–3978, Sep. 2020, doi: 10.1109/TSG.2020.2984920.</w:t>
      </w:r>
    </w:p>
    <w:p>
      <w:pPr>
        <w:spacing w:before="20" w:after="30" w:line="252" w:lineRule="auto"/>
        <w:ind w:left="504" w:hanging="504"/>
        <w:jc w:val="both"/>
      </w:pPr>
      <w:r>
        <w:rPr>
          <w:rFonts w:ascii="Arial" w:hAnsi="Arial"/>
          <w:color w:val="1E293B"/>
          <w:sz w:val="15"/>
        </w:rPr>
        <w:t>[37] Y. Bengio, P. Simard, and P. Frasconi, "Learning long-term dependencies with gradient descent is difficult," IEEE Trans. Neural Netw., vol. 5, no. 2, pp. 157–166, Mar. 1994, doi: 10.1109/72.279181.</w:t>
      </w:r>
    </w:p>
    <w:p>
      <w:pPr>
        <w:spacing w:before="20" w:after="30" w:line="252" w:lineRule="auto"/>
        <w:ind w:left="504" w:hanging="504"/>
        <w:jc w:val="both"/>
      </w:pPr>
      <w:r>
        <w:rPr>
          <w:rFonts w:ascii="Arial" w:hAnsi="Arial"/>
          <w:color w:val="1E293B"/>
          <w:sz w:val="15"/>
        </w:rPr>
        <w:t>[38] H. Zhou, S. Zhang, J. Peng, S. Zhang, J. Li, H. Xiong, and W. Zhang, "Informer: Beyond efficient transformer for long sequence time-series forecasting," in Proc. AAAI Conf. Artif. Intell. (AAAI-21), May 2021, vol. 35, no. 12, pp. 11106–11115, doi: 10.1609/aaai.v35i12.17325.</w:t>
      </w:r>
    </w:p>
    <w:p>
      <w:pPr>
        <w:spacing w:before="20" w:after="30" w:line="252" w:lineRule="auto"/>
        <w:ind w:left="504" w:hanging="504"/>
        <w:jc w:val="both"/>
      </w:pPr>
      <w:r>
        <w:rPr>
          <w:rFonts w:ascii="Arial" w:hAnsi="Arial"/>
          <w:color w:val="1E293B"/>
          <w:sz w:val="15"/>
        </w:rPr>
        <w:t>[39] Y. Nie, N. H. Nguyen, P. Sinthong, and J. Kalagnanam, "A time series is worth 64 words: Long-term forecasting with transformers," in Proc. Int. Conf. Learn. Represent. (ICLR 2023), Kigali, Rwanda, May 2023, arXiv:2211.14730.</w:t>
      </w:r>
    </w:p>
    <w:p>
      <w:pPr>
        <w:spacing w:before="20" w:after="30" w:line="252" w:lineRule="auto"/>
        <w:ind w:left="504" w:hanging="504"/>
        <w:jc w:val="both"/>
      </w:pPr>
      <w:r>
        <w:rPr>
          <w:rFonts w:ascii="Arial" w:hAnsi="Arial"/>
          <w:color w:val="1E293B"/>
          <w:sz w:val="15"/>
        </w:rPr>
        <w:t>[40] Z. Wang, H. Liu, et al., "Short-Term Electric Vehicle Charging Load Forecasting Based on TCN-LSTM Network With Comprehensive Similar Day Identification," Applied Energy, vol. 378, p. 125174, Jan. 2025, doi: 10.1016/j.apenergy.2024.125174.</w:t>
      </w:r>
    </w:p>
    <w:p>
      <w:pPr>
        <w:spacing w:before="20" w:after="30" w:line="252" w:lineRule="auto"/>
        <w:ind w:left="504" w:hanging="504"/>
        <w:jc w:val="both"/>
      </w:pPr>
      <w:r>
        <w:rPr>
          <w:rFonts w:ascii="Arial" w:hAnsi="Arial"/>
          <w:color w:val="1E293B"/>
          <w:sz w:val="15"/>
        </w:rPr>
        <w:t>[41] B. Lim, S. Ö. Arık, N. Loeff, and T. Pfister, "Temporal Fusion Transformers for interpretable multi-horizon time series forecasting," Int. J. Forecast., vol. 37, no. 4, pp. 1748–1764, Oct. 2021, doi: 10.1016/j.ijforecast.2021.03.012.</w:t>
      </w:r>
    </w:p>
    <w:p>
      <w:pPr>
        <w:spacing w:before="20" w:after="30" w:line="252" w:lineRule="auto"/>
        <w:ind w:left="504" w:hanging="504"/>
        <w:jc w:val="both"/>
      </w:pPr>
      <w:r>
        <w:rPr>
          <w:rFonts w:ascii="Arial" w:hAnsi="Arial"/>
          <w:color w:val="1E293B"/>
          <w:sz w:val="15"/>
        </w:rPr>
        <w:t>[42] V. Chandola, A. Banerjee, and V. Kumar, "Anomaly detection: A survey," ACM Comput. Surv., vol. 41, no. 3, pp. 1–58, Jul. 2009, doi: 10.1145/1541880.1541882.</w:t>
      </w:r>
    </w:p>
    <w:p>
      <w:pPr>
        <w:spacing w:before="20" w:after="30" w:line="252" w:lineRule="auto"/>
        <w:ind w:left="504" w:hanging="504"/>
        <w:jc w:val="both"/>
      </w:pPr>
      <w:r>
        <w:rPr>
          <w:rFonts w:ascii="Arial" w:hAnsi="Arial"/>
          <w:color w:val="1E293B"/>
          <w:sz w:val="15"/>
        </w:rPr>
        <w:t>[43] F. T. Liu, K. M. Ting, and Z. H. Zhou, "Isolation Forest," in Proc. 8th IEEE Int. Conf. Data Min. (ICDM '08), Pisa, Italy, Dec. 2008, pp. 413–422, doi: 10.1109/ICDM.2008.17.</w:t>
      </w:r>
    </w:p>
    <w:p>
      <w:pPr>
        <w:spacing w:before="20" w:after="30" w:line="252" w:lineRule="auto"/>
        <w:ind w:left="504" w:hanging="504"/>
        <w:jc w:val="both"/>
      </w:pPr>
      <w:r>
        <w:rPr>
          <w:rFonts w:ascii="Arial" w:hAnsi="Arial"/>
          <w:color w:val="1E293B"/>
          <w:sz w:val="15"/>
        </w:rPr>
        <w:t>[44] M. M. Breunig, H. P. Kriegel, R. T. Ng, and J. Sander, "LOF: Identifying density-based local outliers," in Proc. ACM SIGMOD Int. Conf. Manage. Data (SIGMOD '00), Dallas, TX, USA, May 2000, pp. 93–104, doi: 10.1145/342009.335388.</w:t>
      </w:r>
    </w:p>
    <w:p>
      <w:pPr>
        <w:spacing w:before="20" w:after="30" w:line="252" w:lineRule="auto"/>
        <w:ind w:left="504" w:hanging="504"/>
        <w:jc w:val="both"/>
      </w:pPr>
      <w:r>
        <w:rPr>
          <w:rFonts w:ascii="Arial" w:hAnsi="Arial"/>
          <w:color w:val="1E293B"/>
          <w:sz w:val="15"/>
        </w:rPr>
        <w:t>[45] A. Zeng, M. Chen, L. Zhang, and Q. Xu, "Are Transformers Effective for Time Series Forecasting?," in Proc. 37th AAAI Conf. Artif. Intell. (AAAI-23), vol. 37, no. 9, pp. 11121–11128, Jun. 2023, doi: 10.1609/aaai.v37i9.26317.</w:t>
      </w:r>
    </w:p>
    <w:p>
      <w:pPr>
        <w:spacing w:before="20" w:after="30" w:line="252" w:lineRule="auto"/>
        <w:ind w:left="504" w:hanging="504"/>
        <w:jc w:val="both"/>
      </w:pPr>
      <w:r>
        <w:rPr>
          <w:rFonts w:ascii="Arial" w:hAnsi="Arial"/>
          <w:color w:val="1E293B"/>
          <w:sz w:val="15"/>
        </w:rPr>
        <w:t>[46] M. Raissi, P. Perdikaris, and G. E. Karniadakis, "Physics-informed neural networks: A deep learning framework for solving forward and inverse problems involving nonlinear partial differential equations," J. Comput. Phys., vol. 378, pp. 686–707, Feb. 2019, doi: 10.1016/j.jcp.2018.10.045.</w:t>
      </w:r>
    </w:p>
    <w:p>
      <w:pPr>
        <w:spacing w:before="20" w:after="30" w:line="252" w:lineRule="auto"/>
        <w:ind w:left="504" w:hanging="504"/>
        <w:jc w:val="both"/>
      </w:pPr>
      <w:r>
        <w:rPr>
          <w:rFonts w:ascii="Arial" w:hAnsi="Arial"/>
          <w:color w:val="1E293B"/>
          <w:sz w:val="15"/>
        </w:rPr>
        <w:t>[47] A. N. Angelopoulos and S. Bates, "A gentle introduction to conformal prediction and distribution-free uncertainty quantification," arXiv:2107.07511, Jul. 2021.</w:t>
      </w:r>
    </w:p>
    <w:p>
      <w:pPr>
        <w:spacing w:before="20" w:after="30" w:line="252" w:lineRule="auto"/>
        <w:ind w:left="504" w:hanging="504"/>
        <w:jc w:val="both"/>
      </w:pPr>
      <w:r>
        <w:rPr>
          <w:rFonts w:ascii="Arial" w:hAnsi="Arial"/>
          <w:color w:val="1E293B"/>
          <w:sz w:val="15"/>
        </w:rPr>
        <w:t>[48] B. McMahan, E. Moore, D. Ramage, S. Hampson, and B. A. y Arcas, "Communication-efficient learning of deep networks from decentralized data," in Proc. 20th Int. Conf. Artif. Intell. Statist. (AISTATS 2017), Fort Lauderdale, FL, USA, Apr. 2017, pp. 1273–1282, PMLR 54:1273-1282.</w:t>
      </w:r>
    </w:p>
    <w:p>
      <w:pPr>
        <w:spacing w:before="20" w:after="30" w:line="252" w:lineRule="auto"/>
        <w:ind w:left="504" w:hanging="504"/>
        <w:jc w:val="both"/>
      </w:pPr>
      <w:r>
        <w:rPr>
          <w:rFonts w:ascii="Arial" w:hAnsi="Arial"/>
          <w:color w:val="1E293B"/>
          <w:sz w:val="15"/>
        </w:rPr>
        <w:t>[49] S. M. Lundberg and S. I. Lee, "A unified approach to interpreting model predictions," in Adv. Neural Inf. Process. Syst. (NeurIPS 2017), Long Beach, CA, USA, Dec. 2017, vol. 30, pp. 4765–4774.</w:t>
      </w:r>
    </w:p>
    <w:p>
      <w:pPr>
        <w:spacing w:before="20" w:after="30" w:line="252" w:lineRule="auto"/>
        <w:ind w:left="504" w:hanging="504"/>
        <w:jc w:val="both"/>
      </w:pPr>
      <w:r>
        <w:rPr>
          <w:rFonts w:ascii="Arial" w:hAnsi="Arial"/>
          <w:color w:val="1E293B"/>
          <w:sz w:val="15"/>
        </w:rPr>
        <w:t>[50] Open Charge Alliance, "Open Charge Point Protocol 2.0.1 (OCPP 2.0.1)," OCA Standard Specification, Dec. 2020 [Online]. Available: https://www.openchargealliance.org/protocols/ocpp-201/</w:t>
      </w:r>
    </w:p>
    <w:p>
      <w:pPr>
        <w:spacing w:before="20" w:after="30" w:line="252" w:lineRule="auto"/>
        <w:ind w:left="504" w:hanging="504"/>
        <w:jc w:val="both"/>
      </w:pPr>
      <w:r>
        <w:rPr>
          <w:rFonts w:ascii="Arial" w:hAnsi="Arial"/>
          <w:color w:val="1E293B"/>
          <w:sz w:val="15"/>
        </w:rPr>
        <w:t>[51] IEEE Standards Association, "IEEE Standard for Interconnection and Interoperability of Distributed Energy Resources with Associated Electric Power Systems Interfaces," IEEE Std 1547-2018, Feb. 2018, doi: 10.1109/IEEESTD.2018.8332112.</w:t>
      </w:r>
    </w:p>
    <w:p>
      <w:pPr>
        <w:spacing w:before="20" w:after="30" w:line="252" w:lineRule="auto"/>
        <w:ind w:left="504" w:hanging="504"/>
        <w:jc w:val="both"/>
      </w:pPr>
      <w:r>
        <w:rPr>
          <w:rFonts w:ascii="Arial" w:hAnsi="Arial"/>
          <w:color w:val="1E293B"/>
          <w:sz w:val="15"/>
        </w:rPr>
        <w:t>[52] Southern California Edison, "Schedule TOU-EV-8: Time-of-Use General Service Electric Vehicle Charging Rate," CPUC Approved Tariff Filing, Advice 5084-E, Jan. 2024.</w:t>
      </w:r>
    </w:p>
    <w:p>
      <w:r>
        <w:br w:type="page"/>
      </w:r>
    </w:p>
    <w:p>
      <w:pPr>
        <w:pStyle w:val="Heading1"/>
        <w:keepNext/>
        <w:spacing w:before="320" w:after="120"/>
        <w:jc w:val="left"/>
      </w:pPr>
      <w:r>
        <w:t>Appendices</w:t>
      </w:r>
    </w:p>
    <w:p>
      <w:pPr>
        <w:pStyle w:val="Heading2"/>
        <w:keepNext/>
        <w:spacing w:before="240" w:after="80"/>
        <w:jc w:val="left"/>
      </w:pPr>
      <w:r>
        <w:t>Appendix A: Comprehensive Nomenclature and Abbreviations</w:t>
      </w:r>
    </w:p>
    <w:p>
      <w:pPr>
        <w:keepNext/>
        <w:spacing w:before="240" w:after="80"/>
        <w:jc w:val="left"/>
      </w:pPr>
      <w:r>
        <w:rPr>
          <w:rFonts w:ascii="Arial" w:hAnsi="Arial"/>
          <w:b/>
          <w:color w:val="1E3A8A"/>
          <w:sz w:val="19"/>
        </w:rPr>
        <w:t xml:space="preserve">Table 9: </w:t>
      </w:r>
      <w:r>
        <w:rPr>
          <w:rFonts w:ascii="Arial" w:hAnsi="Arial"/>
          <w:b/>
          <w:color w:val="1E293B"/>
          <w:sz w:val="19"/>
        </w:rPr>
        <w:t>Comprehensive Nomenclature, Abbreviations, and Acronyms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584"/>
            <w:shd w:fill="1E3A8A"/>
            <w:tcMar>
              <w:top w:w="100" w:type="dxa"/>
              <w:bottom w:w="100" w:type="dxa"/>
              <w:left w:w="90" w:type="dxa"/>
              <w:right w:w="90" w:type="dxa"/>
            </w:tcMar>
            <w:vAlign w:val="center"/>
          </w:tcPr>
          <w:p>
            <w:pPr>
              <w:spacing w:before="0" w:after="0"/>
              <w:jc w:val="center"/>
            </w:pPr>
            <w:r>
              <w:rPr>
                <w:rFonts w:ascii="Arial" w:hAnsi="Arial"/>
                <w:b/>
                <w:color w:val="FFFFFF"/>
                <w:sz w:val="17"/>
              </w:rPr>
              <w:t>Acronym / Symbol</w:t>
            </w:r>
          </w:p>
        </w:tc>
        <w:tc>
          <w:tcPr>
            <w:tcW w:type="dxa" w:w="3456"/>
            <w:shd w:fill="1E3A8A"/>
            <w:tcMar>
              <w:top w:w="100" w:type="dxa"/>
              <w:bottom w:w="100" w:type="dxa"/>
              <w:left w:w="90" w:type="dxa"/>
              <w:right w:w="90" w:type="dxa"/>
            </w:tcMar>
            <w:vAlign w:val="center"/>
          </w:tcPr>
          <w:p>
            <w:pPr>
              <w:spacing w:before="0" w:after="0"/>
              <w:jc w:val="center"/>
            </w:pPr>
            <w:r>
              <w:rPr>
                <w:rFonts w:ascii="Arial" w:hAnsi="Arial"/>
                <w:b/>
                <w:color w:val="FFFFFF"/>
                <w:sz w:val="17"/>
              </w:rPr>
              <w:t>Full Term</w:t>
            </w:r>
          </w:p>
        </w:tc>
        <w:tc>
          <w:tcPr>
            <w:tcW w:type="dxa" w:w="4176"/>
            <w:shd w:fill="1E3A8A"/>
            <w:tcMar>
              <w:top w:w="100" w:type="dxa"/>
              <w:bottom w:w="100" w:type="dxa"/>
              <w:left w:w="90" w:type="dxa"/>
              <w:right w:w="90" w:type="dxa"/>
            </w:tcMar>
            <w:vAlign w:val="center"/>
          </w:tcPr>
          <w:p>
            <w:pPr>
              <w:spacing w:before="0" w:after="0"/>
              <w:jc w:val="center"/>
            </w:pPr>
            <w:r>
              <w:rPr>
                <w:rFonts w:ascii="Arial" w:hAnsi="Arial"/>
                <w:b/>
                <w:color w:val="FFFFFF"/>
                <w:sz w:val="17"/>
              </w:rPr>
              <w:t>Technical Definition &amp; Domain Scope</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ACN</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Adaptive Charging Network</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Open-source EV charging research testbed and data collection architecture developed at Caltech</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EVSE</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Electric Vehicle Supply Equipment</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Hardware infrastructure providing conductors, connectors, and protocols to deliver electrical energy to EVs</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iForest</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Isolation Forest</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Unsupervised tree-based anomaly detection algorithm isolating observations via random feature partitioning</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LOF</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Local Outlier Factor</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Unsupervised density-based outlier detection algorithm computing relative local reachability density</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MAE</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Mean Absolute Error</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Linear evaluation metric quantifying the average magnitude of prediction errors in kWh</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RMSE</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Root Mean Squared Error</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Quadratic evaluation metric penalizing large forecast errors heavily; primary benchmark criterion</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R²</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Coefficient of Determination</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Proportion of target variance explained by model features relative to the mean baseline</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sMAPE</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Symmetric Mean Absolute Percentage Error</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Bounded percentage metric measuring relative error: 200 * |y - y_hat| / (|y| + |y_hat|)</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TOU</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Time-of-Use</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Electricity tariff structure where energy and demand rates vary by time of day, season, and day of week</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SOC</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State of Charge</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Available battery capacity expressed as a percentage of total rated pack energy capacity</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PINN</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Physics-Informed Neural Network</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Neural network architecture integrating differential equations or grid physical laws directly into loss functions</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6"/>
              </w:rPr>
              <w:t>GNN</w:t>
            </w:r>
          </w:p>
        </w:tc>
        <w:tc>
          <w:tcPr>
            <w:tcW w:type="dxa" w:w="3456"/>
            <w:shd w:fill="FFFFFF"/>
            <w:tcMar>
              <w:top w:w="70" w:type="dxa"/>
              <w:bottom w:w="70" w:type="dxa"/>
              <w:left w:w="80" w:type="dxa"/>
              <w:right w:w="80" w:type="dxa"/>
            </w:tcMar>
            <w:vAlign w:val="center"/>
          </w:tcPr>
          <w:p>
            <w:pPr>
              <w:spacing w:before="0" w:after="0"/>
            </w:pPr>
            <w:r>
              <w:rPr>
                <w:rFonts w:ascii="Arial" w:hAnsi="Arial"/>
                <w:color w:val="1E293B"/>
                <w:sz w:val="16"/>
              </w:rPr>
              <w:t>Graph Neural Network</w:t>
            </w:r>
          </w:p>
        </w:tc>
        <w:tc>
          <w:tcPr>
            <w:tcW w:type="dxa" w:w="4176"/>
            <w:shd w:fill="FFFFFF"/>
            <w:tcMar>
              <w:top w:w="70" w:type="dxa"/>
              <w:bottom w:w="70" w:type="dxa"/>
              <w:left w:w="80" w:type="dxa"/>
              <w:right w:w="80" w:type="dxa"/>
            </w:tcMar>
            <w:vAlign w:val="center"/>
          </w:tcPr>
          <w:p>
            <w:pPr>
              <w:spacing w:before="0" w:after="0"/>
            </w:pPr>
            <w:r>
              <w:rPr>
                <w:rFonts w:ascii="Arial" w:hAnsi="Arial"/>
                <w:color w:val="1E293B"/>
                <w:sz w:val="16"/>
              </w:rPr>
              <w:t>Deep learning paradigm operating on non-Euclidean graph topologies to model spatial charging correlations</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6"/>
              </w:rPr>
              <w:t>MPC</w:t>
            </w:r>
          </w:p>
        </w:tc>
        <w:tc>
          <w:tcPr>
            <w:tcW w:type="dxa" w:w="3456"/>
            <w:shd w:fill="F8FAFC"/>
            <w:tcMar>
              <w:top w:w="70" w:type="dxa"/>
              <w:bottom w:w="70" w:type="dxa"/>
              <w:left w:w="80" w:type="dxa"/>
              <w:right w:w="80" w:type="dxa"/>
            </w:tcMar>
            <w:vAlign w:val="center"/>
          </w:tcPr>
          <w:p>
            <w:pPr>
              <w:spacing w:before="0" w:after="0"/>
            </w:pPr>
            <w:r>
              <w:rPr>
                <w:rFonts w:ascii="Arial" w:hAnsi="Arial"/>
                <w:color w:val="1E293B"/>
                <w:sz w:val="16"/>
              </w:rPr>
              <w:t>Model Predictive Control</w:t>
            </w:r>
          </w:p>
        </w:tc>
        <w:tc>
          <w:tcPr>
            <w:tcW w:type="dxa" w:w="4176"/>
            <w:shd w:fill="F8FAFC"/>
            <w:tcMar>
              <w:top w:w="70" w:type="dxa"/>
              <w:bottom w:w="70" w:type="dxa"/>
              <w:left w:w="80" w:type="dxa"/>
              <w:right w:w="80" w:type="dxa"/>
            </w:tcMar>
            <w:vAlign w:val="center"/>
          </w:tcPr>
          <w:p>
            <w:pPr>
              <w:spacing w:before="0" w:after="0"/>
            </w:pPr>
            <w:r>
              <w:rPr>
                <w:rFonts w:ascii="Arial" w:hAnsi="Arial"/>
                <w:color w:val="1E293B"/>
                <w:sz w:val="16"/>
              </w:rPr>
              <w:t>Receding-horizon dynamic control optimization for managed charging dispatch</w:t>
            </w:r>
          </w:p>
        </w:tc>
      </w:tr>
    </w:tbl>
    <w:p>
      <w:pPr>
        <w:pStyle w:val="Heading2"/>
        <w:keepNext/>
        <w:spacing w:before="240" w:after="80"/>
        <w:jc w:val="left"/>
      </w:pPr>
      <w:r>
        <w:t>Appendix B: Public Benchmark Dataset Inventory</w:t>
      </w:r>
    </w:p>
    <w:p>
      <w:pPr>
        <w:keepNext/>
        <w:spacing w:before="240" w:after="80"/>
        <w:jc w:val="left"/>
      </w:pPr>
      <w:r>
        <w:rPr>
          <w:rFonts w:ascii="Arial" w:hAnsi="Arial"/>
          <w:b/>
          <w:color w:val="1E3A8A"/>
          <w:sz w:val="19"/>
        </w:rPr>
        <w:t xml:space="preserve">Table 10: </w:t>
      </w:r>
      <w:r>
        <w:rPr>
          <w:rFonts w:ascii="Arial" w:hAnsi="Arial"/>
          <w:b/>
          <w:color w:val="1E293B"/>
          <w:sz w:val="19"/>
        </w:rPr>
        <w:t>Publicly Accessible Electric Vehicle Charging Benchmark Datasets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1584"/>
            <w:shd w:fill="1E3A8A"/>
            <w:tcMar>
              <w:top w:w="100" w:type="dxa"/>
              <w:bottom w:w="100" w:type="dxa"/>
              <w:left w:w="90" w:type="dxa"/>
              <w:right w:w="90" w:type="dxa"/>
            </w:tcMar>
            <w:vAlign w:val="center"/>
          </w:tcPr>
          <w:p>
            <w:pPr>
              <w:spacing w:before="0" w:after="0"/>
              <w:jc w:val="center"/>
            </w:pPr>
            <w:r>
              <w:rPr>
                <w:rFonts w:ascii="Arial" w:hAnsi="Arial"/>
                <w:b/>
                <w:color w:val="FFFFFF"/>
                <w:sz w:val="16"/>
              </w:rPr>
              <w:t>Dataset Name</w:t>
            </w:r>
          </w:p>
        </w:tc>
        <w:tc>
          <w:tcPr>
            <w:tcW w:type="dxa" w:w="1728"/>
            <w:shd w:fill="1E3A8A"/>
            <w:tcMar>
              <w:top w:w="100" w:type="dxa"/>
              <w:bottom w:w="100" w:type="dxa"/>
              <w:left w:w="90" w:type="dxa"/>
              <w:right w:w="90" w:type="dxa"/>
            </w:tcMar>
            <w:vAlign w:val="center"/>
          </w:tcPr>
          <w:p>
            <w:pPr>
              <w:spacing w:before="0" w:after="0"/>
              <w:jc w:val="center"/>
            </w:pPr>
            <w:r>
              <w:rPr>
                <w:rFonts w:ascii="Arial" w:hAnsi="Arial"/>
                <w:b/>
                <w:color w:val="FFFFFF"/>
                <w:sz w:val="16"/>
              </w:rPr>
              <w:t>Provider / Institution</w:t>
            </w:r>
          </w:p>
        </w:tc>
        <w:tc>
          <w:tcPr>
            <w:tcW w:type="dxa" w:w="1728"/>
            <w:shd w:fill="1E3A8A"/>
            <w:tcMar>
              <w:top w:w="100" w:type="dxa"/>
              <w:bottom w:w="100" w:type="dxa"/>
              <w:left w:w="90" w:type="dxa"/>
              <w:right w:w="90" w:type="dxa"/>
            </w:tcMar>
            <w:vAlign w:val="center"/>
          </w:tcPr>
          <w:p>
            <w:pPr>
              <w:spacing w:before="0" w:after="0"/>
              <w:jc w:val="center"/>
            </w:pPr>
            <w:r>
              <w:rPr>
                <w:rFonts w:ascii="Arial" w:hAnsi="Arial"/>
                <w:b/>
                <w:color w:val="FFFFFF"/>
                <w:sz w:val="16"/>
              </w:rPr>
              <w:t>Geographic Location</w:t>
            </w:r>
          </w:p>
        </w:tc>
        <w:tc>
          <w:tcPr>
            <w:tcW w:type="dxa" w:w="1440"/>
            <w:shd w:fill="1E3A8A"/>
            <w:tcMar>
              <w:top w:w="100" w:type="dxa"/>
              <w:bottom w:w="100" w:type="dxa"/>
              <w:left w:w="90" w:type="dxa"/>
              <w:right w:w="90" w:type="dxa"/>
            </w:tcMar>
            <w:vAlign w:val="center"/>
          </w:tcPr>
          <w:p>
            <w:pPr>
              <w:spacing w:before="0" w:after="0"/>
              <w:jc w:val="center"/>
            </w:pPr>
            <w:r>
              <w:rPr>
                <w:rFonts w:ascii="Arial" w:hAnsi="Arial"/>
                <w:b/>
                <w:color w:val="FFFFFF"/>
                <w:sz w:val="16"/>
              </w:rPr>
              <w:t>Time Horizon</w:t>
            </w:r>
          </w:p>
        </w:tc>
        <w:tc>
          <w:tcPr>
            <w:tcW w:type="dxa" w:w="1152"/>
            <w:shd w:fill="1E3A8A"/>
            <w:tcMar>
              <w:top w:w="100" w:type="dxa"/>
              <w:bottom w:w="100" w:type="dxa"/>
              <w:left w:w="90" w:type="dxa"/>
              <w:right w:w="90" w:type="dxa"/>
            </w:tcMar>
            <w:vAlign w:val="center"/>
          </w:tcPr>
          <w:p>
            <w:pPr>
              <w:spacing w:before="0" w:after="0"/>
              <w:jc w:val="center"/>
            </w:pPr>
            <w:r>
              <w:rPr>
                <w:rFonts w:ascii="Arial" w:hAnsi="Arial"/>
                <w:b/>
                <w:color w:val="FFFFFF"/>
                <w:sz w:val="16"/>
              </w:rPr>
              <w:t>Number of Sessions</w:t>
            </w:r>
          </w:p>
        </w:tc>
        <w:tc>
          <w:tcPr>
            <w:tcW w:type="dxa" w:w="1728"/>
            <w:shd w:fill="1E3A8A"/>
            <w:tcMar>
              <w:top w:w="100" w:type="dxa"/>
              <w:bottom w:w="100" w:type="dxa"/>
              <w:left w:w="90" w:type="dxa"/>
              <w:right w:w="90" w:type="dxa"/>
            </w:tcMar>
            <w:vAlign w:val="center"/>
          </w:tcPr>
          <w:p>
            <w:pPr>
              <w:spacing w:before="0" w:after="0"/>
              <w:jc w:val="center"/>
            </w:pPr>
            <w:r>
              <w:rPr>
                <w:rFonts w:ascii="Arial" w:hAnsi="Arial"/>
                <w:b/>
                <w:color w:val="FFFFFF"/>
                <w:sz w:val="16"/>
              </w:rPr>
              <w:t>Primary Recorded Attributes</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ACN-Data</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Caltech / JPL / Office001</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Pasadena &amp; Silicon Valley, CA, USA</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2018–2021 (Evaluated: Jan 2020–Sep 2021)</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5,000 Verified Sessions (Site 0002)</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Plug-in/unplug, kWh delivered/requested, user miles, charging rate (kW)</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ElaadNL</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ElaadNL Research Consortium</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Netherlands (Nationwide)</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2011–Present</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5"/>
              </w:rPr>
              <w:t>&gt;3,000,000 Transactions</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Connection time, active power curve, total kWh, station identifier</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Boulder EV Data</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City of Boulder Open Data</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Boulder, CO, USA</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2018–Present</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&gt;100,000 Charging Events</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Port ID, connection start/end, energy, GHG savings, gasoline offset</w:t>
            </w:r>
          </w:p>
        </w:tc>
      </w:tr>
      <w:tr>
        <w:trPr>
          <w:cantSplit/>
        </w:trPr>
        <w:tc>
          <w:tcPr>
            <w:tcW w:type="dxa" w:w="1584"/>
            <w:shd w:fill="FFFFFF"/>
            <w:tcMar>
              <w:top w:w="70" w:type="dxa"/>
              <w:bottom w:w="70" w:type="dxa"/>
              <w:left w:w="80" w:type="dxa"/>
              <w:right w:w="80" w:type="dxa"/>
            </w:tcMar>
            <w:vAlign w:val="center"/>
          </w:tcPr>
          <w:p>
            <w:pPr>
              <w:spacing w:before="0" w:after="0"/>
            </w:pPr>
            <w:r>
              <w:rPr>
                <w:rFonts w:ascii="Arial" w:hAnsi="Arial"/>
                <w:color w:val="1E293B"/>
                <w:sz w:val="15"/>
              </w:rPr>
              <w:t>Pecan Street Dataport</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Pecan Street Inc.</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Austin, TX, USA</w:t>
            </w:r>
          </w:p>
        </w:tc>
        <w:tc>
          <w:tcPr>
            <w:tcW w:type="dxa" w:w="1440"/>
            <w:shd w:fill="FFFFFF"/>
            <w:tcMar>
              <w:top w:w="70" w:type="dxa"/>
              <w:bottom w:w="70" w:type="dxa"/>
              <w:left w:w="80" w:type="dxa"/>
              <w:right w:w="80" w:type="dxa"/>
            </w:tcMar>
            <w:vAlign w:val="center"/>
          </w:tcPr>
          <w:p>
            <w:pPr>
              <w:spacing w:before="0" w:after="0"/>
            </w:pPr>
            <w:r>
              <w:rPr>
                <w:rFonts w:ascii="Arial" w:hAnsi="Arial"/>
                <w:color w:val="1E293B"/>
                <w:sz w:val="15"/>
              </w:rPr>
              <w:t>2012–Present</w:t>
            </w:r>
          </w:p>
        </w:tc>
        <w:tc>
          <w:tcPr>
            <w:tcW w:type="dxa" w:w="1152"/>
            <w:shd w:fill="FFFFFF"/>
            <w:tcMar>
              <w:top w:w="70" w:type="dxa"/>
              <w:bottom w:w="70" w:type="dxa"/>
              <w:left w:w="80" w:type="dxa"/>
              <w:right w:w="80" w:type="dxa"/>
            </w:tcMar>
            <w:vAlign w:val="center"/>
          </w:tcPr>
          <w:p>
            <w:pPr>
              <w:spacing w:before="0" w:after="0"/>
            </w:pPr>
            <w:r>
              <w:rPr>
                <w:rFonts w:ascii="Arial" w:hAnsi="Arial"/>
                <w:color w:val="1E293B"/>
                <w:sz w:val="15"/>
              </w:rPr>
              <w:t>~1,000 Residential Sites</w:t>
            </w:r>
          </w:p>
        </w:tc>
        <w:tc>
          <w:tcPr>
            <w:tcW w:type="dxa" w:w="1728"/>
            <w:shd w:fill="FFFFFF"/>
            <w:tcMar>
              <w:top w:w="70" w:type="dxa"/>
              <w:bottom w:w="70" w:type="dxa"/>
              <w:left w:w="80" w:type="dxa"/>
              <w:right w:w="80" w:type="dxa"/>
            </w:tcMar>
            <w:vAlign w:val="center"/>
          </w:tcPr>
          <w:p>
            <w:pPr>
              <w:spacing w:before="0" w:after="0"/>
            </w:pPr>
            <w:r>
              <w:rPr>
                <w:rFonts w:ascii="Arial" w:hAnsi="Arial"/>
                <w:color w:val="1E293B"/>
                <w:sz w:val="15"/>
              </w:rPr>
              <w:t>Sub-metered EV charging power (kW), solar PV generation, whole-home load</w:t>
            </w:r>
          </w:p>
        </w:tc>
      </w:tr>
      <w:tr>
        <w:trPr>
          <w:cantSplit/>
        </w:trPr>
        <w:tc>
          <w:tcPr>
            <w:tcW w:type="dxa" w:w="1584"/>
            <w:shd w:fill="F8FAFC"/>
            <w:tcMar>
              <w:top w:w="70" w:type="dxa"/>
              <w:bottom w:w="70" w:type="dxa"/>
              <w:left w:w="80" w:type="dxa"/>
              <w:right w:w="80" w:type="dxa"/>
            </w:tcMar>
            <w:vAlign w:val="center"/>
          </w:tcPr>
          <w:p>
            <w:pPr>
              <w:spacing w:before="0" w:after="0"/>
            </w:pPr>
            <w:r>
              <w:rPr>
                <w:rFonts w:ascii="Arial" w:hAnsi="Arial"/>
                <w:color w:val="1E293B"/>
                <w:sz w:val="15"/>
              </w:rPr>
              <w:t>Perth Public EV</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University of Western Australia</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Perth, Australia</w:t>
            </w:r>
          </w:p>
        </w:tc>
        <w:tc>
          <w:tcPr>
            <w:tcW w:type="dxa" w:w="1440"/>
            <w:shd w:fill="F8FAFC"/>
            <w:tcMar>
              <w:top w:w="70" w:type="dxa"/>
              <w:bottom w:w="70" w:type="dxa"/>
              <w:left w:w="80" w:type="dxa"/>
              <w:right w:w="80" w:type="dxa"/>
            </w:tcMar>
            <w:vAlign w:val="center"/>
          </w:tcPr>
          <w:p>
            <w:pPr>
              <w:spacing w:before="0" w:after="0"/>
            </w:pPr>
            <w:r>
              <w:rPr>
                <w:rFonts w:ascii="Arial" w:hAnsi="Arial"/>
                <w:color w:val="1E293B"/>
                <w:sz w:val="15"/>
              </w:rPr>
              <w:t>2017–2020</w:t>
            </w:r>
          </w:p>
        </w:tc>
        <w:tc>
          <w:tcPr>
            <w:tcW w:type="dxa" w:w="1152"/>
            <w:shd w:fill="F8FAFC"/>
            <w:tcMar>
              <w:top w:w="70" w:type="dxa"/>
              <w:bottom w:w="70" w:type="dxa"/>
              <w:left w:w="80" w:type="dxa"/>
              <w:right w:w="80" w:type="dxa"/>
            </w:tcMar>
            <w:vAlign w:val="center"/>
          </w:tcPr>
          <w:p>
            <w:pPr>
              <w:spacing w:before="0" w:after="0"/>
            </w:pPr>
            <w:r>
              <w:rPr>
                <w:rFonts w:ascii="Arial" w:hAnsi="Arial"/>
                <w:color w:val="1E293B"/>
                <w:sz w:val="15"/>
              </w:rPr>
              <w:t>~20,000 Transactions</w:t>
            </w:r>
          </w:p>
        </w:tc>
        <w:tc>
          <w:tcPr>
            <w:tcW w:type="dxa" w:w="1728"/>
            <w:shd w:fill="F8FAFC"/>
            <w:tcMar>
              <w:top w:w="70" w:type="dxa"/>
              <w:bottom w:w="70" w:type="dxa"/>
              <w:left w:w="80" w:type="dxa"/>
              <w:right w:w="80" w:type="dxa"/>
            </w:tcMar>
            <w:vAlign w:val="center"/>
          </w:tcPr>
          <w:p>
            <w:pPr>
              <w:spacing w:before="0" w:after="0"/>
            </w:pPr>
            <w:r>
              <w:rPr>
                <w:rFonts w:ascii="Arial" w:hAnsi="Arial"/>
                <w:color w:val="1E293B"/>
                <w:sz w:val="15"/>
              </w:rPr>
              <w:t>Fast charging vs Level 2, battery capacity, dwell time, tariff rate</w:t>
            </w:r>
          </w:p>
        </w:tc>
      </w:tr>
    </w:tbl>
    <w:p>
      <w:pPr>
        <w:pStyle w:val="Heading2"/>
        <w:keepNext/>
        <w:spacing w:before="240" w:after="80"/>
        <w:jc w:val="left"/>
      </w:pPr>
      <w:r>
        <w:t>Appendix C: Mathematical Metric Formulations</w:t>
      </w:r>
    </w:p>
    <w:p>
      <w:pPr>
        <w:spacing w:before="40" w:after="100" w:line="276" w:lineRule="auto"/>
        <w:jc w:val="both"/>
      </w:pPr>
      <w:r>
        <w:t>The four core regression evaluation metrics and two anomaly concordance metrics utilized across all empirical analyses are formally defined below, where y_t is the actual demand at hour t, y_hat_t is the model forecast, n is the sample count, and S_A, S_B are the sets of outlier sessions flagged by algorithms A and B:</w:t>
      </w:r>
    </w:p>
    <w:p>
      <w:pPr>
        <w:pStyle w:val="ListBullet"/>
        <w:spacing w:before="40" w:after="60" w:line="276" w:lineRule="auto"/>
        <w:jc w:val="both"/>
      </w:pPr>
      <w:r>
        <w:rPr>
          <w:rFonts w:ascii="Arial" w:hAnsi="Arial"/>
          <w:b/>
        </w:rPr>
        <w:t xml:space="preserve">Root Mean Squared Error (RMSE): </w:t>
      </w:r>
      <w:r>
        <w:rPr>
          <w:rFonts w:ascii="Arial" w:hAnsi="Arial"/>
          <w:i/>
        </w:rPr>
        <w:t>RMSE = sqrt((1/n) * sum_{t=1}^n (y_t - y_hat_t)^2)   [Primary penalty on large deviations]</w:t>
      </w:r>
    </w:p>
    <w:p>
      <w:pPr>
        <w:pStyle w:val="ListBullet"/>
        <w:spacing w:before="40" w:after="60" w:line="276" w:lineRule="auto"/>
        <w:jc w:val="both"/>
      </w:pPr>
      <w:r>
        <w:rPr>
          <w:rFonts w:ascii="Arial" w:hAnsi="Arial"/>
          <w:b/>
        </w:rPr>
        <w:t xml:space="preserve">Mean Absolute Error (MAE): </w:t>
      </w:r>
      <w:r>
        <w:rPr>
          <w:rFonts w:ascii="Arial" w:hAnsi="Arial"/>
          <w:i/>
        </w:rPr>
        <w:t>MAE = (1/n) * sum_{t=1}^n |y_t - y_hat_t|   [Direct linear scale of mean error in kWh]</w:t>
      </w:r>
    </w:p>
    <w:p>
      <w:pPr>
        <w:pStyle w:val="ListBullet"/>
        <w:spacing w:before="40" w:after="60" w:line="276" w:lineRule="auto"/>
        <w:jc w:val="both"/>
      </w:pPr>
      <w:r>
        <w:rPr>
          <w:rFonts w:ascii="Arial" w:hAnsi="Arial"/>
          <w:b/>
        </w:rPr>
        <w:t xml:space="preserve">Coefficient of Determination (R²): </w:t>
      </w:r>
      <w:r>
        <w:rPr>
          <w:rFonts w:ascii="Arial" w:hAnsi="Arial"/>
          <w:i/>
        </w:rPr>
        <w:t>R² = 1 - (sum_{t=1}^n (y_t - y_hat_t)^2) / (sum_{t=1}^n (y_t - y_bar)^2)   [Relative variance explained]</w:t>
      </w:r>
    </w:p>
    <w:p>
      <w:pPr>
        <w:pStyle w:val="ListBullet"/>
        <w:spacing w:before="40" w:after="60" w:line="276" w:lineRule="auto"/>
        <w:jc w:val="both"/>
      </w:pPr>
      <w:r>
        <w:rPr>
          <w:rFonts w:ascii="Arial" w:hAnsi="Arial"/>
          <w:b/>
        </w:rPr>
        <w:t xml:space="preserve">Symmetric Mean Absolute Percentage Error (sMAPE): </w:t>
      </w:r>
      <w:r>
        <w:rPr>
          <w:rFonts w:ascii="Arial" w:hAnsi="Arial"/>
          <w:i/>
        </w:rPr>
        <w:t>sMAPE = (100%/n) * sum_{t=1}^n (2 * |y_t - y_hat_t|) / (|y_t| + |y_hat_t|)   [Bounded 0%–200%]</w:t>
      </w:r>
    </w:p>
    <w:p>
      <w:pPr>
        <w:pStyle w:val="ListBullet"/>
        <w:spacing w:before="40" w:after="60" w:line="276" w:lineRule="auto"/>
        <w:jc w:val="both"/>
      </w:pPr>
      <w:r>
        <w:rPr>
          <w:rFonts w:ascii="Arial" w:hAnsi="Arial"/>
          <w:b/>
        </w:rPr>
        <w:t xml:space="preserve">Jaccard Similarity Index (J): </w:t>
      </w:r>
      <w:r>
        <w:rPr>
          <w:rFonts w:ascii="Arial" w:hAnsi="Arial"/>
          <w:i/>
        </w:rPr>
        <w:t>J(S_A, S_B) = |S_A ∩ S_B| / |S_A ∪ S_B|   [Set intersection over union concordance]</w:t>
      </w:r>
    </w:p>
    <w:p>
      <w:pPr>
        <w:pStyle w:val="ListBullet"/>
        <w:spacing w:before="40" w:after="60" w:line="276" w:lineRule="auto"/>
        <w:jc w:val="both"/>
      </w:pPr>
      <w:r>
        <w:rPr>
          <w:rFonts w:ascii="Arial" w:hAnsi="Arial"/>
          <w:b/>
        </w:rPr>
        <w:t xml:space="preserve">Overall Binary Agreement (%): </w:t>
      </w:r>
      <w:r>
        <w:rPr>
          <w:rFonts w:ascii="Arial" w:hAnsi="Arial"/>
          <w:i/>
        </w:rPr>
        <w:t>Agreement = (|S_norm ∩ S_norm| + |S_out ∩ S_out|) / N_total * 100%   [95.32% on ACN-Data]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 xml:space="preserve">Page </w:t>
    </w:r>
    <w:fldSimple w:instr="PAGE"/>
    <w:r>
      <w:rPr>
        <w:rFonts w:ascii="Arial" w:hAnsi="Arial"/>
        <w:color w:val="64748B"/>
        <w:sz w:val="17"/>
      </w:rPr>
      <w:t xml:space="preserve"> | Final Academic Case Study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MDI3006 Advanced Data Analytics | EV Charging Demand Forecasting &amp; Anomaly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E749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