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EBB2" w14:textId="77777777" w:rsidR="00AF7A62" w:rsidRPr="00AF7A62" w:rsidRDefault="00AF7A62" w:rsidP="00AF7A62">
      <w:pPr>
        <w:shd w:val="clear" w:color="auto" w:fill="FFFFFF"/>
        <w:spacing w:after="300" w:line="540" w:lineRule="atLeast"/>
        <w:outlineLvl w:val="0"/>
        <w:rPr>
          <w:rFonts w:ascii="Arial" w:eastAsia="Times New Roman" w:hAnsi="Arial" w:cs="Arial"/>
          <w:color w:val="1F1F1F"/>
          <w:kern w:val="36"/>
          <w:sz w:val="48"/>
          <w:szCs w:val="48"/>
        </w:rPr>
      </w:pPr>
      <w:r w:rsidRPr="00AF7A62">
        <w:rPr>
          <w:rFonts w:ascii="Arial" w:eastAsia="Times New Roman" w:hAnsi="Arial" w:cs="Arial"/>
          <w:color w:val="1F1F1F"/>
          <w:kern w:val="36"/>
          <w:sz w:val="48"/>
          <w:szCs w:val="48"/>
        </w:rPr>
        <w:t>Model Representation</w:t>
      </w:r>
    </w:p>
    <w:p w14:paraId="1FC4EBF3" w14:textId="77777777" w:rsidR="00AF7A62" w:rsidRPr="00AF7A62" w:rsidRDefault="00AF7A62" w:rsidP="00AF7A62">
      <w:pPr>
        <w:shd w:val="clear" w:color="auto" w:fill="FFFFFF"/>
        <w:spacing w:after="0" w:line="315" w:lineRule="atLeast"/>
        <w:rPr>
          <w:rFonts w:ascii="Arial" w:eastAsia="Times New Roman" w:hAnsi="Arial" w:cs="Arial"/>
          <w:color w:val="1F1F1F"/>
          <w:sz w:val="21"/>
          <w:szCs w:val="21"/>
        </w:rPr>
      </w:pPr>
      <w:r w:rsidRPr="00AF7A62">
        <w:rPr>
          <w:rFonts w:ascii="Arial" w:eastAsia="Times New Roman" w:hAnsi="Arial" w:cs="Arial"/>
          <w:color w:val="1F1F1F"/>
          <w:sz w:val="21"/>
          <w:szCs w:val="21"/>
        </w:rPr>
        <w:t>To establish notation for future use, we’ll use </w:t>
      </w:r>
      <w:r w:rsidRPr="00AF7A62">
        <w:rPr>
          <w:rFonts w:ascii="Times New Roman" w:eastAsia="Times New Roman" w:hAnsi="Times New Roman" w:cs="Times New Roman"/>
          <w:color w:val="1F1F1F"/>
          <w:sz w:val="25"/>
          <w:szCs w:val="25"/>
          <w:bdr w:val="none" w:sz="0" w:space="0" w:color="auto" w:frame="1"/>
        </w:rPr>
        <w:t>x^{(i)}</w:t>
      </w:r>
      <w:r w:rsidRPr="00AF7A62">
        <w:rPr>
          <w:rFonts w:ascii="KaTeX_Math" w:eastAsia="Times New Roman" w:hAnsi="KaTeX_Math" w:cs="Times New Roman"/>
          <w:i/>
          <w:iCs/>
          <w:color w:val="1F1F1F"/>
          <w:sz w:val="25"/>
          <w:szCs w:val="25"/>
        </w:rPr>
        <w:t>x</w:t>
      </w:r>
      <w:r w:rsidRPr="00AF7A62">
        <w:rPr>
          <w:rFonts w:ascii="Times New Roman" w:eastAsia="Times New Roman" w:hAnsi="Times New Roman" w:cs="Times New Roman"/>
          <w:color w:val="1F1F1F"/>
          <w:sz w:val="18"/>
          <w:szCs w:val="18"/>
        </w:rPr>
        <w:t>(</w:t>
      </w:r>
      <w:r w:rsidRPr="00AF7A62">
        <w:rPr>
          <w:rFonts w:ascii="KaTeX_Math" w:eastAsia="Times New Roman" w:hAnsi="KaTeX_Math" w:cs="Times New Roman"/>
          <w:i/>
          <w:iCs/>
          <w:color w:val="1F1F1F"/>
          <w:sz w:val="18"/>
          <w:szCs w:val="18"/>
        </w:rPr>
        <w:t>i</w:t>
      </w:r>
      <w:r w:rsidRPr="00AF7A62">
        <w:rPr>
          <w:rFonts w:ascii="Times New Roman" w:eastAsia="Times New Roman" w:hAnsi="Times New Roman" w:cs="Times New Roman"/>
          <w:color w:val="1F1F1F"/>
          <w:sz w:val="18"/>
          <w:szCs w:val="18"/>
        </w:rPr>
        <w:t>)</w:t>
      </w:r>
      <w:r w:rsidRPr="00AF7A62">
        <w:rPr>
          <w:rFonts w:ascii="Arial" w:eastAsia="Times New Roman" w:hAnsi="Arial" w:cs="Arial"/>
          <w:color w:val="1F1F1F"/>
          <w:sz w:val="21"/>
          <w:szCs w:val="21"/>
        </w:rPr>
        <w:t> to denote the “input” variables (living area in this example), also called input features, and </w:t>
      </w:r>
      <w:r w:rsidRPr="00AF7A62">
        <w:rPr>
          <w:rFonts w:ascii="Times New Roman" w:eastAsia="Times New Roman" w:hAnsi="Times New Roman" w:cs="Times New Roman"/>
          <w:color w:val="1F1F1F"/>
          <w:sz w:val="25"/>
          <w:szCs w:val="25"/>
          <w:bdr w:val="none" w:sz="0" w:space="0" w:color="auto" w:frame="1"/>
        </w:rPr>
        <w:t>y^{(i)}</w:t>
      </w:r>
      <w:r w:rsidRPr="00AF7A62">
        <w:rPr>
          <w:rFonts w:ascii="KaTeX_Math" w:eastAsia="Times New Roman" w:hAnsi="KaTeX_Math" w:cs="Times New Roman"/>
          <w:i/>
          <w:iCs/>
          <w:color w:val="1F1F1F"/>
          <w:sz w:val="25"/>
          <w:szCs w:val="25"/>
        </w:rPr>
        <w:t>y</w:t>
      </w:r>
      <w:r w:rsidRPr="00AF7A62">
        <w:rPr>
          <w:rFonts w:ascii="Times New Roman" w:eastAsia="Times New Roman" w:hAnsi="Times New Roman" w:cs="Times New Roman"/>
          <w:color w:val="1F1F1F"/>
          <w:sz w:val="18"/>
          <w:szCs w:val="18"/>
        </w:rPr>
        <w:t>(</w:t>
      </w:r>
      <w:r w:rsidRPr="00AF7A62">
        <w:rPr>
          <w:rFonts w:ascii="KaTeX_Math" w:eastAsia="Times New Roman" w:hAnsi="KaTeX_Math" w:cs="Times New Roman"/>
          <w:i/>
          <w:iCs/>
          <w:color w:val="1F1F1F"/>
          <w:sz w:val="18"/>
          <w:szCs w:val="18"/>
        </w:rPr>
        <w:t>i</w:t>
      </w:r>
      <w:r w:rsidRPr="00AF7A62">
        <w:rPr>
          <w:rFonts w:ascii="Times New Roman" w:eastAsia="Times New Roman" w:hAnsi="Times New Roman" w:cs="Times New Roman"/>
          <w:color w:val="1F1F1F"/>
          <w:sz w:val="18"/>
          <w:szCs w:val="18"/>
        </w:rPr>
        <w:t>)</w:t>
      </w:r>
      <w:r w:rsidRPr="00AF7A62">
        <w:rPr>
          <w:rFonts w:ascii="Arial" w:eastAsia="Times New Roman" w:hAnsi="Arial" w:cs="Arial"/>
          <w:color w:val="1F1F1F"/>
          <w:sz w:val="21"/>
          <w:szCs w:val="21"/>
        </w:rPr>
        <w:t> to denote the “output” or target variable that we are trying to predict (price). A pair </w:t>
      </w:r>
      <w:r w:rsidRPr="00AF7A62">
        <w:rPr>
          <w:rFonts w:ascii="Times New Roman" w:eastAsia="Times New Roman" w:hAnsi="Times New Roman" w:cs="Times New Roman"/>
          <w:color w:val="1F1F1F"/>
          <w:sz w:val="25"/>
          <w:szCs w:val="25"/>
          <w:bdr w:val="none" w:sz="0" w:space="0" w:color="auto" w:frame="1"/>
        </w:rPr>
        <w:t>(x^{(i)} , y^{(i)} )</w:t>
      </w:r>
      <w:r w:rsidRPr="00AF7A62">
        <w:rPr>
          <w:rFonts w:ascii="Times New Roman" w:eastAsia="Times New Roman" w:hAnsi="Times New Roman" w:cs="Times New Roman"/>
          <w:color w:val="1F1F1F"/>
          <w:sz w:val="25"/>
          <w:szCs w:val="25"/>
        </w:rPr>
        <w:t>(</w:t>
      </w:r>
      <w:r w:rsidRPr="00AF7A62">
        <w:rPr>
          <w:rFonts w:ascii="KaTeX_Math" w:eastAsia="Times New Roman" w:hAnsi="KaTeX_Math" w:cs="Times New Roman"/>
          <w:i/>
          <w:iCs/>
          <w:color w:val="1F1F1F"/>
          <w:sz w:val="25"/>
          <w:szCs w:val="25"/>
        </w:rPr>
        <w:t>x</w:t>
      </w:r>
      <w:r w:rsidRPr="00AF7A62">
        <w:rPr>
          <w:rFonts w:ascii="Times New Roman" w:eastAsia="Times New Roman" w:hAnsi="Times New Roman" w:cs="Times New Roman"/>
          <w:color w:val="1F1F1F"/>
          <w:sz w:val="18"/>
          <w:szCs w:val="18"/>
        </w:rPr>
        <w:t>(</w:t>
      </w:r>
      <w:r w:rsidRPr="00AF7A62">
        <w:rPr>
          <w:rFonts w:ascii="KaTeX_Math" w:eastAsia="Times New Roman" w:hAnsi="KaTeX_Math" w:cs="Times New Roman"/>
          <w:i/>
          <w:iCs/>
          <w:color w:val="1F1F1F"/>
          <w:sz w:val="18"/>
          <w:szCs w:val="18"/>
        </w:rPr>
        <w:t>i</w:t>
      </w:r>
      <w:r w:rsidRPr="00AF7A62">
        <w:rPr>
          <w:rFonts w:ascii="Times New Roman" w:eastAsia="Times New Roman" w:hAnsi="Times New Roman" w:cs="Times New Roman"/>
          <w:color w:val="1F1F1F"/>
          <w:sz w:val="18"/>
          <w:szCs w:val="18"/>
        </w:rPr>
        <w:t>)</w:t>
      </w:r>
      <w:r w:rsidRPr="00AF7A62">
        <w:rPr>
          <w:rFonts w:ascii="Times New Roman" w:eastAsia="Times New Roman" w:hAnsi="Times New Roman" w:cs="Times New Roman"/>
          <w:color w:val="1F1F1F"/>
          <w:sz w:val="25"/>
          <w:szCs w:val="25"/>
        </w:rPr>
        <w:t>,</w:t>
      </w:r>
      <w:r w:rsidRPr="00AF7A62">
        <w:rPr>
          <w:rFonts w:ascii="KaTeX_Math" w:eastAsia="Times New Roman" w:hAnsi="KaTeX_Math" w:cs="Times New Roman"/>
          <w:i/>
          <w:iCs/>
          <w:color w:val="1F1F1F"/>
          <w:sz w:val="25"/>
          <w:szCs w:val="25"/>
        </w:rPr>
        <w:t>y</w:t>
      </w:r>
      <w:r w:rsidRPr="00AF7A62">
        <w:rPr>
          <w:rFonts w:ascii="Times New Roman" w:eastAsia="Times New Roman" w:hAnsi="Times New Roman" w:cs="Times New Roman"/>
          <w:color w:val="1F1F1F"/>
          <w:sz w:val="18"/>
          <w:szCs w:val="18"/>
        </w:rPr>
        <w:t>(</w:t>
      </w:r>
      <w:r w:rsidRPr="00AF7A62">
        <w:rPr>
          <w:rFonts w:ascii="KaTeX_Math" w:eastAsia="Times New Roman" w:hAnsi="KaTeX_Math" w:cs="Times New Roman"/>
          <w:i/>
          <w:iCs/>
          <w:color w:val="1F1F1F"/>
          <w:sz w:val="18"/>
          <w:szCs w:val="18"/>
        </w:rPr>
        <w:t>i</w:t>
      </w:r>
      <w:r w:rsidRPr="00AF7A62">
        <w:rPr>
          <w:rFonts w:ascii="Times New Roman" w:eastAsia="Times New Roman" w:hAnsi="Times New Roman" w:cs="Times New Roman"/>
          <w:color w:val="1F1F1F"/>
          <w:sz w:val="18"/>
          <w:szCs w:val="18"/>
        </w:rPr>
        <w:t>)</w:t>
      </w:r>
      <w:r w:rsidRPr="00AF7A62">
        <w:rPr>
          <w:rFonts w:ascii="Times New Roman" w:eastAsia="Times New Roman" w:hAnsi="Times New Roman" w:cs="Times New Roman"/>
          <w:color w:val="1F1F1F"/>
          <w:sz w:val="25"/>
          <w:szCs w:val="25"/>
        </w:rPr>
        <w:t>)</w:t>
      </w:r>
      <w:r w:rsidRPr="00AF7A62">
        <w:rPr>
          <w:rFonts w:ascii="Arial" w:eastAsia="Times New Roman" w:hAnsi="Arial" w:cs="Arial"/>
          <w:color w:val="1F1F1F"/>
          <w:sz w:val="21"/>
          <w:szCs w:val="21"/>
        </w:rPr>
        <w:t> is called a training example, and the dataset that we’ll be using to learn—a list of m training examples </w:t>
      </w:r>
      <w:r w:rsidRPr="00AF7A62">
        <w:rPr>
          <w:rFonts w:ascii="MathJax_Main" w:eastAsia="Times New Roman" w:hAnsi="MathJax_Main" w:cs="Arial"/>
          <w:color w:val="1F1F1F"/>
          <w:sz w:val="26"/>
          <w:szCs w:val="26"/>
          <w:bdr w:val="none" w:sz="0" w:space="0" w:color="auto" w:frame="1"/>
        </w:rPr>
        <w:t>(</w:t>
      </w:r>
      <w:r w:rsidRPr="00AF7A62">
        <w:rPr>
          <w:rFonts w:ascii="MathJax_Math" w:eastAsia="Times New Roman" w:hAnsi="MathJax_Math" w:cs="Arial"/>
          <w:i/>
          <w:iCs/>
          <w:color w:val="1F1F1F"/>
          <w:sz w:val="26"/>
          <w:szCs w:val="26"/>
          <w:bdr w:val="none" w:sz="0" w:space="0" w:color="auto" w:frame="1"/>
        </w:rPr>
        <w:t>x</w:t>
      </w:r>
      <w:r w:rsidRPr="00AF7A62">
        <w:rPr>
          <w:rFonts w:ascii="MathJax_Main" w:eastAsia="Times New Roman" w:hAnsi="MathJax_Main" w:cs="Arial"/>
          <w:color w:val="1F1F1F"/>
          <w:sz w:val="18"/>
          <w:szCs w:val="18"/>
          <w:bdr w:val="none" w:sz="0" w:space="0" w:color="auto" w:frame="1"/>
        </w:rPr>
        <w:t>(</w:t>
      </w:r>
      <w:r w:rsidRPr="00AF7A62">
        <w:rPr>
          <w:rFonts w:ascii="MathJax_Math" w:eastAsia="Times New Roman" w:hAnsi="MathJax_Math" w:cs="Arial"/>
          <w:i/>
          <w:iCs/>
          <w:color w:val="1F1F1F"/>
          <w:sz w:val="18"/>
          <w:szCs w:val="18"/>
          <w:bdr w:val="none" w:sz="0" w:space="0" w:color="auto" w:frame="1"/>
        </w:rPr>
        <w:t>i</w:t>
      </w:r>
      <w:r w:rsidRPr="00AF7A62">
        <w:rPr>
          <w:rFonts w:ascii="MathJax_Main" w:eastAsia="Times New Roman" w:hAnsi="MathJax_Main" w:cs="Arial"/>
          <w:color w:val="1F1F1F"/>
          <w:sz w:val="18"/>
          <w:szCs w:val="18"/>
          <w:bdr w:val="none" w:sz="0" w:space="0" w:color="auto" w:frame="1"/>
        </w:rPr>
        <w:t>)</w:t>
      </w:r>
      <w:r w:rsidRPr="00AF7A62">
        <w:rPr>
          <w:rFonts w:ascii="MathJax_Main" w:eastAsia="Times New Roman" w:hAnsi="MathJax_Main" w:cs="Arial"/>
          <w:color w:val="1F1F1F"/>
          <w:sz w:val="26"/>
          <w:szCs w:val="26"/>
          <w:bdr w:val="none" w:sz="0" w:space="0" w:color="auto" w:frame="1"/>
        </w:rPr>
        <w:t>,</w:t>
      </w:r>
      <w:r w:rsidRPr="00AF7A62">
        <w:rPr>
          <w:rFonts w:ascii="MathJax_Math" w:eastAsia="Times New Roman" w:hAnsi="MathJax_Math" w:cs="Arial"/>
          <w:i/>
          <w:iCs/>
          <w:color w:val="1F1F1F"/>
          <w:sz w:val="26"/>
          <w:szCs w:val="26"/>
          <w:bdr w:val="none" w:sz="0" w:space="0" w:color="auto" w:frame="1"/>
        </w:rPr>
        <w:t>y</w:t>
      </w:r>
      <w:r w:rsidRPr="00AF7A62">
        <w:rPr>
          <w:rFonts w:ascii="MathJax_Main" w:eastAsia="Times New Roman" w:hAnsi="MathJax_Main" w:cs="Arial"/>
          <w:color w:val="1F1F1F"/>
          <w:sz w:val="18"/>
          <w:szCs w:val="18"/>
          <w:bdr w:val="none" w:sz="0" w:space="0" w:color="auto" w:frame="1"/>
        </w:rPr>
        <w:t>(</w:t>
      </w:r>
      <w:r w:rsidRPr="00AF7A62">
        <w:rPr>
          <w:rFonts w:ascii="MathJax_Math" w:eastAsia="Times New Roman" w:hAnsi="MathJax_Math" w:cs="Arial"/>
          <w:i/>
          <w:iCs/>
          <w:color w:val="1F1F1F"/>
          <w:sz w:val="18"/>
          <w:szCs w:val="18"/>
          <w:bdr w:val="none" w:sz="0" w:space="0" w:color="auto" w:frame="1"/>
        </w:rPr>
        <w:t>i</w:t>
      </w:r>
      <w:r w:rsidRPr="00AF7A62">
        <w:rPr>
          <w:rFonts w:ascii="MathJax_Main" w:eastAsia="Times New Roman" w:hAnsi="MathJax_Main" w:cs="Arial"/>
          <w:color w:val="1F1F1F"/>
          <w:sz w:val="18"/>
          <w:szCs w:val="18"/>
          <w:bdr w:val="none" w:sz="0" w:space="0" w:color="auto" w:frame="1"/>
        </w:rPr>
        <w:t>)</w:t>
      </w:r>
      <w:r w:rsidRPr="00AF7A62">
        <w:rPr>
          <w:rFonts w:ascii="MathJax_Main" w:eastAsia="Times New Roman" w:hAnsi="MathJax_Main" w:cs="Arial"/>
          <w:color w:val="1F1F1F"/>
          <w:sz w:val="26"/>
          <w:szCs w:val="26"/>
          <w:bdr w:val="none" w:sz="0" w:space="0" w:color="auto" w:frame="1"/>
        </w:rPr>
        <w:t>);</w:t>
      </w:r>
      <w:r w:rsidRPr="00AF7A62">
        <w:rPr>
          <w:rFonts w:ascii="MathJax_Math" w:eastAsia="Times New Roman" w:hAnsi="MathJax_Math" w:cs="Arial"/>
          <w:i/>
          <w:iCs/>
          <w:color w:val="1F1F1F"/>
          <w:sz w:val="26"/>
          <w:szCs w:val="26"/>
          <w:bdr w:val="none" w:sz="0" w:space="0" w:color="auto" w:frame="1"/>
        </w:rPr>
        <w:t>i</w:t>
      </w:r>
      <w:r w:rsidRPr="00AF7A62">
        <w:rPr>
          <w:rFonts w:ascii="MathJax_Main" w:eastAsia="Times New Roman" w:hAnsi="MathJax_Main" w:cs="Arial"/>
          <w:color w:val="1F1F1F"/>
          <w:sz w:val="26"/>
          <w:szCs w:val="26"/>
          <w:bdr w:val="none" w:sz="0" w:space="0" w:color="auto" w:frame="1"/>
        </w:rPr>
        <w:t>=1,...,</w:t>
      </w:r>
      <w:r w:rsidRPr="00AF7A62">
        <w:rPr>
          <w:rFonts w:ascii="MathJax_Math" w:eastAsia="Times New Roman" w:hAnsi="MathJax_Math" w:cs="Arial"/>
          <w:i/>
          <w:iCs/>
          <w:color w:val="1F1F1F"/>
          <w:sz w:val="26"/>
          <w:szCs w:val="26"/>
          <w:bdr w:val="none" w:sz="0" w:space="0" w:color="auto" w:frame="1"/>
        </w:rPr>
        <w:t>m</w:t>
      </w:r>
      <w:r w:rsidRPr="00AF7A62">
        <w:rPr>
          <w:rFonts w:ascii="Arial" w:eastAsia="Times New Roman" w:hAnsi="Arial" w:cs="Arial"/>
          <w:color w:val="1F1F1F"/>
          <w:sz w:val="21"/>
          <w:szCs w:val="21"/>
        </w:rPr>
        <w:t xml:space="preserve">—is called a training set. Note that the superscript “(i)” in the notation is simply an index into the training set, and has nothing to do with exponentiation. We will also use X to denote the space of input values, and Y to denote the space of output values. In this example, X = Y = </w:t>
      </w:r>
      <w:r w:rsidRPr="00AF7A62">
        <w:rPr>
          <w:rFonts w:ascii="Cambria Math" w:eastAsia="Times New Roman" w:hAnsi="Cambria Math" w:cs="Cambria Math"/>
          <w:color w:val="1F1F1F"/>
          <w:sz w:val="21"/>
          <w:szCs w:val="21"/>
        </w:rPr>
        <w:t>ℝ</w:t>
      </w:r>
      <w:r w:rsidRPr="00AF7A62">
        <w:rPr>
          <w:rFonts w:ascii="Arial" w:eastAsia="Times New Roman" w:hAnsi="Arial" w:cs="Arial"/>
          <w:color w:val="1F1F1F"/>
          <w:sz w:val="21"/>
          <w:szCs w:val="21"/>
        </w:rPr>
        <w:t>.</w:t>
      </w:r>
    </w:p>
    <w:p w14:paraId="609C8C69" w14:textId="77777777" w:rsidR="00AF7A62" w:rsidRPr="00AF7A62" w:rsidRDefault="00AF7A62" w:rsidP="00AF7A62">
      <w:pPr>
        <w:shd w:val="clear" w:color="auto" w:fill="FFFFFF"/>
        <w:spacing w:after="300" w:line="315" w:lineRule="atLeast"/>
        <w:rPr>
          <w:rFonts w:ascii="Arial" w:eastAsia="Times New Roman" w:hAnsi="Arial" w:cs="Arial"/>
          <w:color w:val="1F1F1F"/>
          <w:sz w:val="21"/>
          <w:szCs w:val="21"/>
        </w:rPr>
      </w:pPr>
      <w:r w:rsidRPr="00AF7A62">
        <w:rPr>
          <w:rFonts w:ascii="Arial" w:eastAsia="Times New Roman" w:hAnsi="Arial" w:cs="Arial"/>
          <w:color w:val="1F1F1F"/>
          <w:sz w:val="21"/>
          <w:szCs w:val="21"/>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14:paraId="70C38EC1" w14:textId="2FD6B3DA" w:rsidR="00AF7A62" w:rsidRPr="00AF7A62" w:rsidRDefault="00AF7A62" w:rsidP="00AF7A62">
      <w:pPr>
        <w:spacing w:after="0" w:line="240" w:lineRule="auto"/>
        <w:rPr>
          <w:rFonts w:ascii="Times New Roman" w:eastAsia="Times New Roman" w:hAnsi="Times New Roman" w:cs="Times New Roman"/>
          <w:sz w:val="24"/>
          <w:szCs w:val="24"/>
        </w:rPr>
      </w:pPr>
      <w:r w:rsidRPr="00AF7A62">
        <w:rPr>
          <w:rFonts w:ascii="Times New Roman" w:eastAsia="Times New Roman" w:hAnsi="Times New Roman" w:cs="Times New Roman"/>
          <w:noProof/>
          <w:sz w:val="24"/>
          <w:szCs w:val="24"/>
        </w:rPr>
        <w:drawing>
          <wp:inline distT="0" distB="0" distL="0" distR="0" wp14:anchorId="5DA2AB9F" wp14:editId="5F4687DB">
            <wp:extent cx="3763645" cy="24784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3645" cy="2478405"/>
                    </a:xfrm>
                    <a:prstGeom prst="rect">
                      <a:avLst/>
                    </a:prstGeom>
                    <a:noFill/>
                    <a:ln>
                      <a:noFill/>
                    </a:ln>
                  </pic:spPr>
                </pic:pic>
              </a:graphicData>
            </a:graphic>
          </wp:inline>
        </w:drawing>
      </w:r>
    </w:p>
    <w:p w14:paraId="1948708F" w14:textId="77777777" w:rsidR="00AF7A62" w:rsidRPr="00AF7A62" w:rsidRDefault="00AF7A62" w:rsidP="00AF7A62">
      <w:pPr>
        <w:shd w:val="clear" w:color="auto" w:fill="FFFFFF"/>
        <w:spacing w:after="300" w:line="315" w:lineRule="atLeast"/>
        <w:rPr>
          <w:rFonts w:ascii="Arial" w:eastAsia="Times New Roman" w:hAnsi="Arial" w:cs="Arial"/>
          <w:color w:val="1F1F1F"/>
          <w:sz w:val="21"/>
          <w:szCs w:val="21"/>
        </w:rPr>
      </w:pPr>
      <w:r w:rsidRPr="00AF7A62">
        <w:rPr>
          <w:rFonts w:ascii="Arial" w:eastAsia="Times New Roman" w:hAnsi="Arial" w:cs="Arial"/>
          <w:color w:val="1F1F1F"/>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562EF020" w14:textId="77777777" w:rsidR="00C259B7" w:rsidRDefault="00C259B7" w:rsidP="00C259B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w:t>
      </w:r>
    </w:p>
    <w:p w14:paraId="61BEE246" w14:textId="77777777" w:rsidR="00C259B7" w:rsidRDefault="00C259B7" w:rsidP="00C259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14:paraId="72FB91C9" w14:textId="43C8B1C6" w:rsidR="00C259B7" w:rsidRDefault="00C259B7" w:rsidP="00C259B7">
      <w:pPr>
        <w:pStyle w:val="NormalWeb"/>
        <w:shd w:val="clear" w:color="auto" w:fill="FFFFFF"/>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1/2</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1/2</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18"/>
          <w:szCs w:val="18"/>
          <w:bdr w:val="none" w:sz="0" w:space="0" w:color="auto" w:frame="1"/>
        </w:rPr>
        <w:t>2</w:t>
      </w:r>
    </w:p>
    <w:p w14:paraId="3814BD9D" w14:textId="77777777" w:rsidR="00C259B7" w:rsidRDefault="00C259B7" w:rsidP="00C259B7">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lastRenderedPageBreak/>
        <w:t>To break it apart, it is </w:t>
      </w:r>
      <w:r>
        <w:rPr>
          <w:rStyle w:val="katex-mathml"/>
          <w:color w:val="1F1F1F"/>
          <w:sz w:val="25"/>
          <w:szCs w:val="25"/>
          <w:bdr w:val="none" w:sz="0" w:space="0" w:color="auto" w:frame="1"/>
        </w:rPr>
        <w:t>\frac{1}{2}</w:t>
      </w:r>
      <w:r>
        <w:rPr>
          <w:rStyle w:val="mord"/>
          <w:color w:val="1F1F1F"/>
          <w:sz w:val="18"/>
          <w:szCs w:val="18"/>
        </w:rPr>
        <w:t>21</w:t>
      </w:r>
      <w:r>
        <w:rPr>
          <w:rStyle w:val="vlist-s"/>
          <w:color w:val="1F1F1F"/>
          <w:sz w:val="2"/>
          <w:szCs w:val="2"/>
        </w:rPr>
        <w:t>​</w:t>
      </w:r>
      <w:r>
        <w:rPr>
          <w:rFonts w:ascii="Arial" w:hAnsi="Arial" w:cs="Arial"/>
          <w:color w:val="1F1F1F"/>
          <w:sz w:val="21"/>
          <w:szCs w:val="21"/>
        </w:rPr>
        <w:t> </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Fonts w:ascii="Arial" w:hAnsi="Arial" w:cs="Arial"/>
          <w:color w:val="1F1F1F"/>
          <w:sz w:val="21"/>
          <w:szCs w:val="21"/>
        </w:rPr>
        <w:t> where </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Fonts w:ascii="Arial" w:hAnsi="Arial" w:cs="Arial"/>
          <w:color w:val="1F1F1F"/>
          <w:sz w:val="21"/>
          <w:szCs w:val="21"/>
        </w:rPr>
        <w:t> is the mean of the squares of </w:t>
      </w:r>
      <w:r>
        <w:rPr>
          <w:rStyle w:val="katex-mathml"/>
          <w:color w:val="1F1F1F"/>
          <w:sz w:val="25"/>
          <w:szCs w:val="25"/>
          <w:bdr w:val="none" w:sz="0" w:space="0" w:color="auto" w:frame="1"/>
        </w:rPr>
        <w:t>h_\theta (x_{i}) - y_{i}</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Fonts w:ascii="Arial" w:hAnsi="Arial" w:cs="Arial"/>
          <w:color w:val="1F1F1F"/>
          <w:sz w:val="21"/>
          <w:szCs w:val="21"/>
        </w:rPr>
        <w:t> , or the difference between the predicted value and the actual value.</w:t>
      </w:r>
    </w:p>
    <w:p w14:paraId="0EBAF19A" w14:textId="77777777" w:rsidR="00C259B7" w:rsidRDefault="00C259B7" w:rsidP="00C259B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function is otherwise called the "Squared error function", or "Mean squared error". The mean is halved </w:t>
      </w:r>
      <w:r>
        <w:rPr>
          <w:rStyle w:val="katex-mathml"/>
          <w:color w:val="1F1F1F"/>
          <w:sz w:val="25"/>
          <w:szCs w:val="25"/>
          <w:bdr w:val="none" w:sz="0" w:space="0" w:color="auto" w:frame="1"/>
        </w:rPr>
        <w:t>\left(\frac{1}{2}\right)</w:t>
      </w:r>
      <w:r>
        <w:rPr>
          <w:rStyle w:val="delimsizing"/>
          <w:rFonts w:ascii="KaTeX_Size1" w:hAnsi="KaTeX_Size1"/>
          <w:color w:val="1F1F1F"/>
          <w:sz w:val="25"/>
          <w:szCs w:val="25"/>
        </w:rPr>
        <w:t>(</w:t>
      </w:r>
      <w:r>
        <w:rPr>
          <w:rStyle w:val="mord"/>
          <w:color w:val="1F1F1F"/>
          <w:sz w:val="18"/>
          <w:szCs w:val="18"/>
        </w:rPr>
        <w:t>21</w:t>
      </w:r>
      <w:r>
        <w:rPr>
          <w:rStyle w:val="vlist-s"/>
          <w:color w:val="1F1F1F"/>
          <w:sz w:val="2"/>
          <w:szCs w:val="2"/>
        </w:rPr>
        <w:t>​</w:t>
      </w:r>
      <w:r>
        <w:rPr>
          <w:rStyle w:val="delimsizing"/>
          <w:rFonts w:ascii="KaTeX_Size1" w:hAnsi="KaTeX_Size1"/>
          <w:color w:val="1F1F1F"/>
          <w:sz w:val="25"/>
          <w:szCs w:val="25"/>
        </w:rPr>
        <w:t>)</w:t>
      </w:r>
      <w:r>
        <w:rPr>
          <w:rFonts w:ascii="Arial" w:hAnsi="Arial" w:cs="Arial"/>
          <w:color w:val="1F1F1F"/>
          <w:sz w:val="21"/>
          <w:szCs w:val="21"/>
        </w:rPr>
        <w:t> as a convenience for the computation of the gradient descent, as the derivative term of the square function will cancel out the </w:t>
      </w:r>
      <w:r>
        <w:rPr>
          <w:rStyle w:val="katex-mathml"/>
          <w:color w:val="1F1F1F"/>
          <w:sz w:val="25"/>
          <w:szCs w:val="25"/>
          <w:bdr w:val="none" w:sz="0" w:space="0" w:color="auto" w:frame="1"/>
        </w:rPr>
        <w:t>\frac{1}{2}</w:t>
      </w:r>
      <w:r>
        <w:rPr>
          <w:rStyle w:val="mord"/>
          <w:color w:val="1F1F1F"/>
          <w:sz w:val="18"/>
          <w:szCs w:val="18"/>
        </w:rPr>
        <w:t>21</w:t>
      </w:r>
      <w:r>
        <w:rPr>
          <w:rStyle w:val="vlist-s"/>
          <w:color w:val="1F1F1F"/>
          <w:sz w:val="2"/>
          <w:szCs w:val="2"/>
        </w:rPr>
        <w:t>​</w:t>
      </w:r>
      <w:r>
        <w:rPr>
          <w:rFonts w:ascii="Arial" w:hAnsi="Arial" w:cs="Arial"/>
          <w:color w:val="1F1F1F"/>
          <w:sz w:val="21"/>
          <w:szCs w:val="21"/>
        </w:rPr>
        <w:t> term. The following image summarizes what the cost function does:</w:t>
      </w:r>
    </w:p>
    <w:p w14:paraId="2594133B" w14:textId="42BE0276" w:rsidR="0068555B" w:rsidRDefault="00C259B7" w:rsidP="00C259B7">
      <w:r>
        <w:rPr>
          <w:noProof/>
        </w:rPr>
        <w:drawing>
          <wp:inline distT="0" distB="0" distL="0" distR="0" wp14:anchorId="3BE4DE3F" wp14:editId="5097EBB1">
            <wp:extent cx="5943600" cy="3363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14:paraId="24C8821A" w14:textId="77777777" w:rsidR="003638F6" w:rsidRDefault="003638F6" w:rsidP="003638F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 - Intuition I</w:t>
      </w:r>
    </w:p>
    <w:p w14:paraId="3B33F28B"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try to think of it in visual terms, our training data set is scattered on the x-y plane. We are trying to make a straight line (defined by </w:t>
      </w:r>
      <w:r>
        <w:rPr>
          <w:rStyle w:val="katex-mathml"/>
          <w:color w:val="1F1F1F"/>
          <w:sz w:val="25"/>
          <w:szCs w:val="25"/>
          <w:bdr w:val="none" w:sz="0" w:space="0" w:color="auto" w:frame="1"/>
        </w:rPr>
        <w:t>h_\theta(x)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which passes through these scattered data points.</w:t>
      </w:r>
    </w:p>
    <w:p w14:paraId="52EC82D4"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Pr>
          <w:rStyle w:val="katex-mathml"/>
          <w:color w:val="1F1F1F"/>
          <w:sz w:val="25"/>
          <w:szCs w:val="25"/>
          <w:bdr w:val="none" w:sz="0" w:space="0" w:color="auto" w:frame="1"/>
        </w:rPr>
        <w:t>J(\theta_0, \theta_1)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will be 0. The following example shows the ideal situation where we have a cost function of 0.</w:t>
      </w:r>
    </w:p>
    <w:p w14:paraId="5663F208" w14:textId="616E9A13" w:rsidR="003638F6" w:rsidRDefault="003638F6" w:rsidP="003638F6">
      <w:pPr>
        <w:rPr>
          <w:rFonts w:ascii="Times New Roman" w:hAnsi="Times New Roman" w:cs="Times New Roman"/>
          <w:sz w:val="24"/>
          <w:szCs w:val="24"/>
        </w:rPr>
      </w:pPr>
      <w:r>
        <w:rPr>
          <w:noProof/>
        </w:rPr>
        <w:lastRenderedPageBreak/>
        <w:drawing>
          <wp:inline distT="0" distB="0" distL="0" distR="0" wp14:anchorId="6FFA0B2A" wp14:editId="7CA85916">
            <wp:extent cx="3916045" cy="21399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045" cy="2139950"/>
                    </a:xfrm>
                    <a:prstGeom prst="rect">
                      <a:avLst/>
                    </a:prstGeom>
                    <a:noFill/>
                    <a:ln>
                      <a:noFill/>
                    </a:ln>
                  </pic:spPr>
                </pic:pic>
              </a:graphicData>
            </a:graphic>
          </wp:inline>
        </w:drawing>
      </w:r>
    </w:p>
    <w:p w14:paraId="5348EFC7"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we get a slope of 1 which goes through every single data point in our model. Conversely, when </w:t>
      </w:r>
      <w:r>
        <w:rPr>
          <w:rStyle w:val="katex-mathml"/>
          <w:color w:val="1F1F1F"/>
          <w:sz w:val="25"/>
          <w:szCs w:val="25"/>
          <w:bdr w:val="none" w:sz="0" w:space="0" w:color="auto" w:frame="1"/>
        </w:rPr>
        <w:t>\theta_1 = 0.5</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0.5</w:t>
      </w:r>
      <w:r>
        <w:rPr>
          <w:rFonts w:ascii="Arial" w:hAnsi="Arial" w:cs="Arial"/>
          <w:color w:val="1F1F1F"/>
          <w:sz w:val="21"/>
          <w:szCs w:val="21"/>
        </w:rPr>
        <w:t>, we see the vertical distance from our fit to the data points increase.</w:t>
      </w:r>
    </w:p>
    <w:p w14:paraId="30237B16" w14:textId="6BB93669" w:rsidR="003638F6" w:rsidRDefault="003638F6" w:rsidP="003638F6">
      <w:pPr>
        <w:rPr>
          <w:rFonts w:ascii="Times New Roman" w:hAnsi="Times New Roman" w:cs="Times New Roman"/>
          <w:sz w:val="24"/>
          <w:szCs w:val="24"/>
        </w:rPr>
      </w:pPr>
      <w:r>
        <w:rPr>
          <w:noProof/>
        </w:rPr>
        <w:drawing>
          <wp:inline distT="0" distB="0" distL="0" distR="0" wp14:anchorId="668B4B6F" wp14:editId="54A226D9">
            <wp:extent cx="3869690" cy="215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690" cy="2153285"/>
                    </a:xfrm>
                    <a:prstGeom prst="rect">
                      <a:avLst/>
                    </a:prstGeom>
                    <a:noFill/>
                    <a:ln>
                      <a:noFill/>
                    </a:ln>
                  </pic:spPr>
                </pic:pic>
              </a:graphicData>
            </a:graphic>
          </wp:inline>
        </w:drawing>
      </w:r>
    </w:p>
    <w:p w14:paraId="5C35D401"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increases our cost function to 0.58. Plotting several other points yields to the following graph:</w:t>
      </w:r>
    </w:p>
    <w:p w14:paraId="1813227A" w14:textId="54DBEFB9" w:rsidR="003638F6" w:rsidRDefault="003638F6" w:rsidP="003638F6">
      <w:pPr>
        <w:rPr>
          <w:rFonts w:ascii="Times New Roman" w:hAnsi="Times New Roman" w:cs="Times New Roman"/>
          <w:sz w:val="24"/>
          <w:szCs w:val="24"/>
        </w:rPr>
      </w:pPr>
      <w:r>
        <w:rPr>
          <w:noProof/>
        </w:rPr>
        <w:lastRenderedPageBreak/>
        <w:drawing>
          <wp:inline distT="0" distB="0" distL="0" distR="0" wp14:anchorId="08D9C0DD" wp14:editId="6EC69F58">
            <wp:extent cx="289560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749550"/>
                    </a:xfrm>
                    <a:prstGeom prst="rect">
                      <a:avLst/>
                    </a:prstGeom>
                    <a:noFill/>
                    <a:ln>
                      <a:noFill/>
                    </a:ln>
                  </pic:spPr>
                </pic:pic>
              </a:graphicData>
            </a:graphic>
          </wp:inline>
        </w:drawing>
      </w:r>
    </w:p>
    <w:p w14:paraId="311E5C51"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Thus as a goal, we should try to minimize the cost function. In this case,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is our global minimum.</w:t>
      </w:r>
    </w:p>
    <w:p w14:paraId="4AE8820E" w14:textId="77777777" w:rsidR="003638F6" w:rsidRDefault="003638F6" w:rsidP="003638F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 - Intuition II</w:t>
      </w:r>
    </w:p>
    <w:p w14:paraId="54D226EE"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contour plot is a graph that contains many contour lines. A contour line of a two variable function has a constant value at all points of the same line. An example of such a graph is the one to the right below.</w:t>
      </w:r>
    </w:p>
    <w:p w14:paraId="1D2C5C1E" w14:textId="68CE408F" w:rsidR="003638F6" w:rsidRDefault="003638F6" w:rsidP="003638F6">
      <w:pPr>
        <w:rPr>
          <w:rFonts w:ascii="Times New Roman" w:hAnsi="Times New Roman" w:cs="Times New Roman"/>
          <w:sz w:val="24"/>
          <w:szCs w:val="24"/>
        </w:rPr>
      </w:pPr>
      <w:r>
        <w:rPr>
          <w:noProof/>
        </w:rPr>
        <w:drawing>
          <wp:inline distT="0" distB="0" distL="0" distR="0" wp14:anchorId="11E3F985" wp14:editId="7C3A6F56">
            <wp:extent cx="5943600" cy="3150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49D6B4B4"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Taking any color and going along the 'circle', one would expect to get the same value of the cost function. For example, the three green points found on the green line above have the same value for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and as a result, they are found along the same line. The circled x displays the value of the cost function for the graph on the left 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800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-0.15. Taking another h(x) and plotting its contour plot, one gets the following graphs:</w:t>
      </w:r>
    </w:p>
    <w:p w14:paraId="4CDF3402" w14:textId="0DEE3623" w:rsidR="003638F6" w:rsidRDefault="003638F6" w:rsidP="003638F6">
      <w:pPr>
        <w:rPr>
          <w:rFonts w:ascii="Times New Roman" w:hAnsi="Times New Roman" w:cs="Times New Roman"/>
          <w:sz w:val="24"/>
          <w:szCs w:val="24"/>
        </w:rPr>
      </w:pPr>
      <w:r>
        <w:rPr>
          <w:noProof/>
        </w:rPr>
        <w:drawing>
          <wp:inline distT="0" distB="0" distL="0" distR="0" wp14:anchorId="71E82EEB" wp14:editId="61B23D80">
            <wp:extent cx="594360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29DB09AB"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360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 0, the value of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in the contour plot gets closer to the center thus reducing the cost function error. Now giving our hypothesis function a slightly positive slope results in a better fit of the data.</w:t>
      </w:r>
    </w:p>
    <w:p w14:paraId="530EAFE6" w14:textId="5DEEAF39" w:rsidR="003638F6" w:rsidRDefault="003638F6" w:rsidP="003638F6">
      <w:pPr>
        <w:rPr>
          <w:rFonts w:ascii="Times New Roman" w:hAnsi="Times New Roman" w:cs="Times New Roman"/>
          <w:sz w:val="24"/>
          <w:szCs w:val="24"/>
        </w:rPr>
      </w:pPr>
      <w:r>
        <w:rPr>
          <w:noProof/>
        </w:rPr>
        <w:lastRenderedPageBreak/>
        <w:drawing>
          <wp:inline distT="0" distB="0" distL="0" distR="0" wp14:anchorId="735CD1C6" wp14:editId="7F28DE8C">
            <wp:extent cx="5943600" cy="2885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5440"/>
                    </a:xfrm>
                    <a:prstGeom prst="rect">
                      <a:avLst/>
                    </a:prstGeom>
                    <a:noFill/>
                    <a:ln>
                      <a:noFill/>
                    </a:ln>
                  </pic:spPr>
                </pic:pic>
              </a:graphicData>
            </a:graphic>
          </wp:inline>
        </w:drawing>
      </w:r>
    </w:p>
    <w:p w14:paraId="757EEF08" w14:textId="77777777" w:rsidR="003638F6" w:rsidRDefault="003638F6" w:rsidP="003638F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graph above minimizes the cost function as much as possible and consequently, the result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tend to be around 0.12 and 250 respectively. Plotting those values on our graph to the right seems to put our point in the center of the inner most 'circle'.</w:t>
      </w:r>
    </w:p>
    <w:p w14:paraId="0E714C86" w14:textId="77777777" w:rsidR="003638F6" w:rsidRDefault="003638F6" w:rsidP="00C259B7"/>
    <w:sectPr w:rsidR="0036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62"/>
    <w:rsid w:val="003638F6"/>
    <w:rsid w:val="0068555B"/>
    <w:rsid w:val="00AF7A62"/>
    <w:rsid w:val="00C2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725B"/>
  <w15:chartTrackingRefBased/>
  <w15:docId w15:val="{58A1ECF0-8927-4AA3-AC84-A3F06F09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A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A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7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F7A62"/>
  </w:style>
  <w:style w:type="character" w:customStyle="1" w:styleId="mord">
    <w:name w:val="mord"/>
    <w:basedOn w:val="DefaultParagraphFont"/>
    <w:rsid w:val="00AF7A62"/>
  </w:style>
  <w:style w:type="character" w:customStyle="1" w:styleId="mopen">
    <w:name w:val="mopen"/>
    <w:basedOn w:val="DefaultParagraphFont"/>
    <w:rsid w:val="00AF7A62"/>
  </w:style>
  <w:style w:type="character" w:customStyle="1" w:styleId="mclose">
    <w:name w:val="mclose"/>
    <w:basedOn w:val="DefaultParagraphFont"/>
    <w:rsid w:val="00AF7A62"/>
  </w:style>
  <w:style w:type="character" w:customStyle="1" w:styleId="mpunct">
    <w:name w:val="mpunct"/>
    <w:basedOn w:val="DefaultParagraphFont"/>
    <w:rsid w:val="00AF7A62"/>
  </w:style>
  <w:style w:type="character" w:customStyle="1" w:styleId="mo">
    <w:name w:val="mo"/>
    <w:basedOn w:val="DefaultParagraphFont"/>
    <w:rsid w:val="00AF7A62"/>
  </w:style>
  <w:style w:type="character" w:customStyle="1" w:styleId="mi">
    <w:name w:val="mi"/>
    <w:basedOn w:val="DefaultParagraphFont"/>
    <w:rsid w:val="00AF7A62"/>
  </w:style>
  <w:style w:type="character" w:customStyle="1" w:styleId="mn">
    <w:name w:val="mn"/>
    <w:basedOn w:val="DefaultParagraphFont"/>
    <w:rsid w:val="00AF7A62"/>
  </w:style>
  <w:style w:type="character" w:styleId="Strong">
    <w:name w:val="Strong"/>
    <w:basedOn w:val="DefaultParagraphFont"/>
    <w:uiPriority w:val="22"/>
    <w:qFormat/>
    <w:rsid w:val="00C259B7"/>
    <w:rPr>
      <w:b/>
      <w:bCs/>
    </w:rPr>
  </w:style>
  <w:style w:type="character" w:customStyle="1" w:styleId="vlist-s">
    <w:name w:val="vlist-s"/>
    <w:basedOn w:val="DefaultParagraphFont"/>
    <w:rsid w:val="00C259B7"/>
  </w:style>
  <w:style w:type="character" w:customStyle="1" w:styleId="mbin">
    <w:name w:val="mbin"/>
    <w:basedOn w:val="DefaultParagraphFont"/>
    <w:rsid w:val="00C259B7"/>
  </w:style>
  <w:style w:type="character" w:customStyle="1" w:styleId="delimsizing">
    <w:name w:val="delimsizing"/>
    <w:basedOn w:val="DefaultParagraphFont"/>
    <w:rsid w:val="00C259B7"/>
  </w:style>
  <w:style w:type="character" w:customStyle="1" w:styleId="mrel">
    <w:name w:val="mrel"/>
    <w:basedOn w:val="DefaultParagraphFont"/>
    <w:rsid w:val="0036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73682">
      <w:bodyDiv w:val="1"/>
      <w:marLeft w:val="0"/>
      <w:marRight w:val="0"/>
      <w:marTop w:val="0"/>
      <w:marBottom w:val="0"/>
      <w:divBdr>
        <w:top w:val="none" w:sz="0" w:space="0" w:color="auto"/>
        <w:left w:val="none" w:sz="0" w:space="0" w:color="auto"/>
        <w:bottom w:val="none" w:sz="0" w:space="0" w:color="auto"/>
        <w:right w:val="none" w:sz="0" w:space="0" w:color="auto"/>
      </w:divBdr>
    </w:div>
    <w:div w:id="1099791036">
      <w:bodyDiv w:val="1"/>
      <w:marLeft w:val="0"/>
      <w:marRight w:val="0"/>
      <w:marTop w:val="0"/>
      <w:marBottom w:val="0"/>
      <w:divBdr>
        <w:top w:val="none" w:sz="0" w:space="0" w:color="auto"/>
        <w:left w:val="none" w:sz="0" w:space="0" w:color="auto"/>
        <w:bottom w:val="none" w:sz="0" w:space="0" w:color="auto"/>
        <w:right w:val="none" w:sz="0" w:space="0" w:color="auto"/>
      </w:divBdr>
    </w:div>
    <w:div w:id="1162627136">
      <w:bodyDiv w:val="1"/>
      <w:marLeft w:val="0"/>
      <w:marRight w:val="0"/>
      <w:marTop w:val="0"/>
      <w:marBottom w:val="0"/>
      <w:divBdr>
        <w:top w:val="none" w:sz="0" w:space="0" w:color="auto"/>
        <w:left w:val="none" w:sz="0" w:space="0" w:color="auto"/>
        <w:bottom w:val="none" w:sz="0" w:space="0" w:color="auto"/>
        <w:right w:val="none" w:sz="0" w:space="0" w:color="auto"/>
      </w:divBdr>
    </w:div>
    <w:div w:id="17730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3</cp:revision>
  <dcterms:created xsi:type="dcterms:W3CDTF">2020-04-14T05:58:00Z</dcterms:created>
  <dcterms:modified xsi:type="dcterms:W3CDTF">2020-04-14T08:02:00Z</dcterms:modified>
</cp:coreProperties>
</file>