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35A30">
      <w:pPr>
        <w:spacing w:before="1500" w:after="1500"/>
        <w:rPr>
          <w:rFonts w:hint="default"/>
          <w:lang w:val="en-US"/>
        </w:rPr>
      </w:pPr>
    </w:p>
    <w:p w14:paraId="68D1D15F">
      <w:pPr>
        <w:spacing w:before="0" w:after="200"/>
        <w:jc w:val="center"/>
      </w:pPr>
      <w:r>
        <w:rPr>
          <w:rFonts w:ascii="Arial" w:hAnsi="Arial" w:eastAsia="Arial" w:cs="Arial"/>
          <w:b/>
          <w:bCs/>
          <w:color w:val="5C2D0A"/>
          <w:sz w:val="52"/>
          <w:szCs w:val="52"/>
        </w:rPr>
        <w:t>CHOCOLATE SALES ANALYTICS</w:t>
      </w:r>
    </w:p>
    <w:p w14:paraId="7FFC0633">
      <w:pPr>
        <w:spacing w:before="0" w:after="400"/>
        <w:jc w:val="center"/>
      </w:pPr>
      <w:r>
        <w:rPr>
          <w:rFonts w:ascii="Arial" w:hAnsi="Arial" w:eastAsia="Arial" w:cs="Arial"/>
          <w:b/>
          <w:bCs/>
          <w:color w:val="D2691E"/>
          <w:sz w:val="36"/>
          <w:szCs w:val="36"/>
        </w:rPr>
        <w:t>PROJECT REPORT</w:t>
      </w:r>
    </w:p>
    <w:p w14:paraId="70EB685B">
      <w:pPr>
        <w:pBdr>
          <w:bottom w:val="single" w:color="5C2D0A" w:sz="8" w:space="1"/>
        </w:pBdr>
        <w:spacing w:before="0" w:after="400"/>
      </w:pPr>
    </w:p>
    <w:p w14:paraId="1418AE43">
      <w:pPr>
        <w:spacing w:before="0" w:after="200"/>
        <w:jc w:val="center"/>
      </w:pPr>
      <w:r>
        <w:rPr>
          <w:rFonts w:ascii="Arial" w:hAnsi="Arial" w:eastAsia="Arial" w:cs="Arial"/>
          <w:i/>
          <w:iCs/>
          <w:color w:val="555555"/>
          <w:sz w:val="28"/>
          <w:szCs w:val="28"/>
        </w:rPr>
        <w:t>Global Sales Performance Analysis</w:t>
      </w:r>
    </w:p>
    <w:p w14:paraId="2B1FBFEC">
      <w:pPr>
        <w:spacing w:before="0" w:after="600"/>
        <w:jc w:val="center"/>
      </w:pPr>
      <w:r>
        <w:rPr>
          <w:rFonts w:ascii="Arial" w:hAnsi="Arial" w:eastAsia="Arial" w:cs="Arial"/>
          <w:color w:val="777777"/>
          <w:sz w:val="24"/>
          <w:szCs w:val="24"/>
        </w:rPr>
        <w:t>January 2023 — September 2024</w:t>
      </w:r>
    </w:p>
    <w:p w14:paraId="1BC0B492">
      <w:pPr>
        <w:spacing w:before="800" w:after="8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D214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FFF8EE"/>
            <w:tcMar>
              <w:top w:w="140" w:type="dxa"/>
              <w:left w:w="200" w:type="dxa"/>
              <w:bottom w:w="140" w:type="dxa"/>
              <w:right w:w="200" w:type="dxa"/>
            </w:tcMar>
          </w:tcPr>
          <w:p w14:paraId="1AE87EC2">
            <w:pPr>
              <w:jc w:val="center"/>
            </w:pPr>
            <w:r>
              <w:rPr>
                <w:rFonts w:ascii="Arial" w:hAnsi="Arial" w:eastAsia="Arial" w:cs="Arial"/>
                <w:b/>
                <w:bCs/>
                <w:color w:val="5C2D0A"/>
                <w:sz w:val="20"/>
                <w:szCs w:val="20"/>
              </w:rPr>
              <w:t>Data Source</w:t>
            </w:r>
          </w:p>
          <w:p w14:paraId="79FA82B7">
            <w:pPr>
              <w:jc w:val="center"/>
            </w:pPr>
            <w:r>
              <w:rPr>
                <w:rFonts w:ascii="Arial" w:hAnsi="Arial" w:eastAsia="Arial" w:cs="Arial"/>
                <w:color w:val="555555"/>
                <w:sz w:val="18"/>
                <w:szCs w:val="18"/>
              </w:rPr>
              <w:t>sample-chocolate-sales-data</w:t>
            </w:r>
          </w:p>
        </w:tc>
        <w:tc>
          <w:tcPr>
            <w:tcW w:w="4680" w:type="dxa"/>
            <w:tcBorders>
              <w:top w:val="nil"/>
              <w:left w:val="nil"/>
              <w:bottom w:val="nil"/>
              <w:right w:val="nil"/>
            </w:tcBorders>
            <w:shd w:val="clear" w:color="auto" w:fill="FFF8EE"/>
            <w:tcMar>
              <w:top w:w="140" w:type="dxa"/>
              <w:left w:w="200" w:type="dxa"/>
              <w:bottom w:w="140" w:type="dxa"/>
              <w:right w:w="200" w:type="dxa"/>
            </w:tcMar>
          </w:tcPr>
          <w:p w14:paraId="463F3633">
            <w:pPr>
              <w:jc w:val="center"/>
            </w:pPr>
            <w:r>
              <w:rPr>
                <w:rFonts w:ascii="Arial" w:hAnsi="Arial" w:eastAsia="Arial" w:cs="Arial"/>
                <w:b/>
                <w:bCs/>
                <w:color w:val="5C2D0A"/>
                <w:sz w:val="20"/>
                <w:szCs w:val="20"/>
              </w:rPr>
              <w:t>Visualization Tool</w:t>
            </w:r>
          </w:p>
          <w:p w14:paraId="664C07FF">
            <w:pPr>
              <w:jc w:val="center"/>
            </w:pPr>
            <w:r>
              <w:rPr>
                <w:rFonts w:ascii="Arial" w:hAnsi="Arial" w:eastAsia="Arial" w:cs="Arial"/>
                <w:color w:val="555555"/>
                <w:sz w:val="18"/>
                <w:szCs w:val="18"/>
              </w:rPr>
              <w:t>Power BI Dashboard (L-2.pbix)</w:t>
            </w:r>
          </w:p>
        </w:tc>
      </w:tr>
    </w:tbl>
    <w:p w14:paraId="774E6B96">
      <w:pPr>
        <w:spacing w:before="600" w:after="600"/>
      </w:pPr>
    </w:p>
    <w:p w14:paraId="76674253">
      <w:pPr>
        <w:jc w:val="center"/>
        <w:rPr>
          <w:color w:val="auto"/>
          <w:sz w:val="32"/>
          <w:szCs w:val="32"/>
        </w:rPr>
      </w:pPr>
      <w:r>
        <w:rPr>
          <w:rFonts w:ascii="Arial" w:hAnsi="Arial" w:eastAsia="Arial" w:cs="Arial"/>
          <w:color w:val="auto"/>
          <w:sz w:val="24"/>
          <w:szCs w:val="24"/>
        </w:rPr>
        <w:t xml:space="preserve">Prepared by: </w:t>
      </w:r>
      <w:r>
        <w:rPr>
          <w:rFonts w:hint="default" w:cs="Arial"/>
          <w:color w:val="auto"/>
          <w:sz w:val="24"/>
          <w:szCs w:val="24"/>
          <w:lang w:val="en-US"/>
        </w:rPr>
        <w:t>Aditya Kumar Parashar</w:t>
      </w:r>
      <w:r>
        <w:rPr>
          <w:rFonts w:ascii="Arial" w:hAnsi="Arial" w:eastAsia="Arial" w:cs="Arial"/>
          <w:color w:val="auto"/>
          <w:sz w:val="24"/>
          <w:szCs w:val="24"/>
        </w:rPr>
        <w:t xml:space="preserve">   |   Date:</w:t>
      </w:r>
      <w:r>
        <w:rPr>
          <w:rFonts w:hint="default" w:cs="Arial"/>
          <w:color w:val="auto"/>
          <w:sz w:val="24"/>
          <w:szCs w:val="24"/>
          <w:lang w:val="en-US"/>
        </w:rPr>
        <w:t>18</w:t>
      </w:r>
      <w:r>
        <w:rPr>
          <w:rFonts w:ascii="Arial" w:hAnsi="Arial" w:eastAsia="Arial" w:cs="Arial"/>
          <w:color w:val="auto"/>
          <w:sz w:val="24"/>
          <w:szCs w:val="24"/>
        </w:rPr>
        <w:t xml:space="preserve"> April 2026</w:t>
      </w:r>
    </w:p>
    <w:p w14:paraId="695DD06B">
      <w:pPr>
        <w:rPr>
          <w:sz w:val="32"/>
          <w:szCs w:val="32"/>
        </w:rPr>
      </w:pPr>
    </w:p>
    <w:p w14:paraId="11ED8CC9">
      <w:pPr>
        <w:rPr>
          <w:sz w:val="32"/>
          <w:szCs w:val="32"/>
        </w:rPr>
      </w:pPr>
    </w:p>
    <w:p w14:paraId="15A56F55">
      <w:pPr>
        <w:ind w:firstLine="3680" w:firstLineChars="1150"/>
        <w:rPr>
          <w:rFonts w:hint="default"/>
          <w:sz w:val="32"/>
          <w:szCs w:val="32"/>
          <w:lang w:val="en-US"/>
        </w:rPr>
        <w:sectPr>
          <w:pgSz w:w="12240" w:h="15840"/>
          <w:pgMar w:top="1440" w:right="1440" w:bottom="1440" w:left="1440" w:header="708" w:footer="708" w:gutter="0"/>
          <w:cols w:space="720" w:num="1"/>
          <w:docGrid w:linePitch="360" w:charSpace="0"/>
        </w:sectPr>
      </w:pPr>
      <w:r>
        <w:rPr>
          <w:rFonts w:hint="default"/>
          <w:sz w:val="32"/>
          <w:szCs w:val="32"/>
          <w:lang w:val="en-US"/>
        </w:rPr>
        <w:t>Roll No. 23053021</w:t>
      </w:r>
    </w:p>
    <w:p w14:paraId="4213ABD1">
      <w:pPr>
        <w:pStyle w:val="2"/>
        <w:pBdr>
          <w:bottom w:val="single" w:color="D2691E" w:sz="2" w:space="0"/>
        </w:pBdr>
        <w:shd w:val="clear" w:fill="5C2D0A"/>
        <w:spacing w:before="320" w:after="160"/>
        <w:ind w:left="200"/>
      </w:pPr>
      <w:r>
        <w:rPr>
          <w:rFonts w:ascii="Arial" w:hAnsi="Arial" w:eastAsia="Arial" w:cs="Arial"/>
          <w:b/>
          <w:bCs/>
          <w:color w:val="FFFFFF"/>
          <w:sz w:val="28"/>
          <w:szCs w:val="28"/>
        </w:rPr>
        <w:t>1. Executive Summary</w:t>
      </w:r>
    </w:p>
    <w:p w14:paraId="122B035E">
      <w:pPr>
        <w:spacing w:before="100" w:after="100"/>
      </w:pPr>
    </w:p>
    <w:p w14:paraId="53A7D29E">
      <w:pPr>
        <w:spacing w:before="60" w:after="120"/>
        <w:jc w:val="both"/>
      </w:pPr>
      <w:r>
        <w:rPr>
          <w:rFonts w:ascii="Arial" w:hAnsi="Arial" w:eastAsia="Arial" w:cs="Arial"/>
          <w:b w:val="0"/>
          <w:bCs w:val="0"/>
          <w:color w:val="333333"/>
          <w:sz w:val="22"/>
          <w:szCs w:val="22"/>
        </w:rPr>
        <w:t>This report presents a comprehensive analysis of global chocolate sales performance spanning January 2023 to September 2024. The dataset comprises 4,998 transactions across 25 sales representatives, 22 product categories, and 6 countries. The analysis was developed in conjunction with a Power BI dashboard (L-2.pbix) to enable dynamic, interactive exploration of the data.</w:t>
      </w:r>
    </w:p>
    <w:p w14:paraId="4AE1E842">
      <w:pPr>
        <w:spacing w:before="80" w:after="80"/>
      </w:pPr>
    </w:p>
    <w:p w14:paraId="20BE6F73">
      <w:pPr>
        <w:spacing w:before="60" w:after="120"/>
        <w:jc w:val="both"/>
      </w:pPr>
      <w:r>
        <w:rPr>
          <w:rFonts w:ascii="Arial" w:hAnsi="Arial" w:eastAsia="Arial" w:cs="Arial"/>
          <w:b w:val="0"/>
          <w:bCs w:val="0"/>
          <w:color w:val="333333"/>
          <w:sz w:val="22"/>
          <w:szCs w:val="22"/>
        </w:rPr>
        <w:t>The business recorded cumulative gross revenue of $27.99 Million over the reporting period, with $23.06 Million attributed to fully delivered orders. Key findings highlight the UK as the top-performing market, Brien Boise as the leading sales representative, and Orange Choco as the best-selling product by revenue.</w:t>
      </w:r>
    </w:p>
    <w:p w14:paraId="1A4AD777">
      <w:pPr>
        <w:spacing w:before="120" w:after="120"/>
      </w:pPr>
    </w:p>
    <w:p w14:paraId="49092775">
      <w:pPr>
        <w:pStyle w:val="3"/>
        <w:pBdr>
          <w:bottom w:val="single" w:color="D2691E" w:sz="2" w:space="4"/>
        </w:pBdr>
        <w:spacing w:before="240" w:after="120"/>
      </w:pPr>
      <w:r>
        <w:rPr>
          <w:rFonts w:ascii="Arial" w:hAnsi="Arial" w:eastAsia="Arial" w:cs="Arial"/>
          <w:b/>
          <w:bCs/>
          <w:color w:val="5C2D0A"/>
          <w:sz w:val="24"/>
          <w:szCs w:val="24"/>
        </w:rPr>
        <w:t>Key Performance Indicators</w:t>
      </w:r>
    </w:p>
    <w:p w14:paraId="29656C2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4E3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5C2D0A"/>
            <w:tcMar>
              <w:top w:w="100" w:type="dxa"/>
              <w:left w:w="150" w:type="dxa"/>
              <w:bottom w:w="100" w:type="dxa"/>
              <w:right w:w="150" w:type="dxa"/>
            </w:tcMar>
            <w:vAlign w:val="center"/>
          </w:tcPr>
          <w:p w14:paraId="2A6831EC">
            <w:pPr>
              <w:jc w:val="center"/>
            </w:pPr>
            <w:r>
              <w:rPr>
                <w:rFonts w:ascii="Arial" w:hAnsi="Arial" w:eastAsia="Arial" w:cs="Arial"/>
                <w:b/>
                <w:bCs/>
                <w:color w:val="FFFFFF"/>
                <w:sz w:val="21"/>
                <w:szCs w:val="21"/>
              </w:rPr>
              <w:t>Metric</w:t>
            </w:r>
          </w:p>
        </w:tc>
        <w:tc>
          <w:tcPr>
            <w:tcW w:w="3120" w:type="dxa"/>
            <w:tcBorders>
              <w:top w:val="single" w:color="CCCCCC" w:sz="0" w:space="0"/>
              <w:left w:val="single" w:color="CCCCCC" w:sz="0" w:space="0"/>
              <w:bottom w:val="single" w:color="CCCCCC" w:sz="0" w:space="0"/>
              <w:right w:val="single" w:color="CCCCCC" w:sz="0" w:space="0"/>
            </w:tcBorders>
            <w:shd w:val="clear" w:color="auto" w:fill="5C2D0A"/>
            <w:tcMar>
              <w:top w:w="100" w:type="dxa"/>
              <w:left w:w="150" w:type="dxa"/>
              <w:bottom w:w="100" w:type="dxa"/>
              <w:right w:w="150" w:type="dxa"/>
            </w:tcMar>
            <w:vAlign w:val="center"/>
          </w:tcPr>
          <w:p w14:paraId="35DB3C41">
            <w:pPr>
              <w:jc w:val="center"/>
            </w:pPr>
            <w:r>
              <w:rPr>
                <w:rFonts w:ascii="Arial" w:hAnsi="Arial" w:eastAsia="Arial" w:cs="Arial"/>
                <w:b/>
                <w:bCs/>
                <w:color w:val="FFFFFF"/>
                <w:sz w:val="21"/>
                <w:szCs w:val="21"/>
              </w:rPr>
              <w:t>Value</w:t>
            </w:r>
          </w:p>
        </w:tc>
        <w:tc>
          <w:tcPr>
            <w:tcW w:w="3120" w:type="dxa"/>
            <w:tcBorders>
              <w:top w:val="single" w:color="CCCCCC" w:sz="0" w:space="0"/>
              <w:left w:val="single" w:color="CCCCCC" w:sz="0" w:space="0"/>
              <w:bottom w:val="single" w:color="CCCCCC" w:sz="0" w:space="0"/>
              <w:right w:val="single" w:color="CCCCCC" w:sz="0" w:space="0"/>
            </w:tcBorders>
            <w:shd w:val="clear" w:color="auto" w:fill="5C2D0A"/>
            <w:tcMar>
              <w:top w:w="100" w:type="dxa"/>
              <w:left w:w="150" w:type="dxa"/>
              <w:bottom w:w="100" w:type="dxa"/>
              <w:right w:w="150" w:type="dxa"/>
            </w:tcMar>
            <w:vAlign w:val="center"/>
          </w:tcPr>
          <w:p w14:paraId="1441A48A">
            <w:pPr>
              <w:jc w:val="center"/>
            </w:pPr>
            <w:r>
              <w:rPr>
                <w:rFonts w:ascii="Arial" w:hAnsi="Arial" w:eastAsia="Arial" w:cs="Arial"/>
                <w:b/>
                <w:bCs/>
                <w:color w:val="FFFFFF"/>
                <w:sz w:val="21"/>
                <w:szCs w:val="21"/>
              </w:rPr>
              <w:t>Details</w:t>
            </w:r>
          </w:p>
        </w:tc>
      </w:tr>
      <w:tr w14:paraId="16BB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3B2BEBB">
            <w:pPr>
              <w:jc w:val="center"/>
            </w:pPr>
            <w:r>
              <w:rPr>
                <w:rFonts w:ascii="Arial" w:hAnsi="Arial" w:eastAsia="Arial" w:cs="Arial"/>
                <w:b w:val="0"/>
                <w:bCs w:val="0"/>
                <w:color w:val="333333"/>
                <w:sz w:val="20"/>
                <w:szCs w:val="20"/>
              </w:rPr>
              <w:t>Total Revenue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6AFCA0C">
            <w:pPr>
              <w:jc w:val="center"/>
            </w:pPr>
            <w:r>
              <w:rPr>
                <w:rFonts w:ascii="Arial" w:hAnsi="Arial" w:eastAsia="Arial" w:cs="Arial"/>
                <w:b w:val="0"/>
                <w:bCs w:val="0"/>
                <w:color w:val="333333"/>
                <w:sz w:val="20"/>
                <w:szCs w:val="20"/>
              </w:rPr>
              <w:t>$27.99 Million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36521C3">
            <w:pPr>
              <w:jc w:val="center"/>
            </w:pPr>
            <w:r>
              <w:rPr>
                <w:rFonts w:ascii="Arial" w:hAnsi="Arial" w:eastAsia="Arial" w:cs="Arial"/>
                <w:b w:val="0"/>
                <w:bCs w:val="0"/>
                <w:color w:val="333333"/>
                <w:sz w:val="20"/>
                <w:szCs w:val="20"/>
              </w:rPr>
              <w:t>All orders Jan 2023–Sep 2024</w:t>
            </w:r>
          </w:p>
        </w:tc>
      </w:tr>
      <w:tr w14:paraId="6496C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7B424918">
            <w:pPr>
              <w:jc w:val="center"/>
            </w:pPr>
            <w:r>
              <w:rPr>
                <w:rFonts w:ascii="Arial" w:hAnsi="Arial" w:eastAsia="Arial" w:cs="Arial"/>
                <w:b w:val="0"/>
                <w:bCs w:val="0"/>
                <w:color w:val="333333"/>
                <w:sz w:val="20"/>
                <w:szCs w:val="20"/>
              </w:rPr>
              <w:t>Delivered Revenue</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333D7EBB">
            <w:pPr>
              <w:jc w:val="center"/>
            </w:pPr>
            <w:r>
              <w:rPr>
                <w:rFonts w:ascii="Arial" w:hAnsi="Arial" w:eastAsia="Arial" w:cs="Arial"/>
                <w:b w:val="0"/>
                <w:bCs w:val="0"/>
                <w:color w:val="333333"/>
                <w:sz w:val="20"/>
                <w:szCs w:val="20"/>
              </w:rPr>
              <w:t>$23.06 Million</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6CAE4E2A">
            <w:pPr>
              <w:jc w:val="center"/>
            </w:pPr>
            <w:r>
              <w:rPr>
                <w:rFonts w:ascii="Arial" w:hAnsi="Arial" w:eastAsia="Arial" w:cs="Arial"/>
                <w:b w:val="0"/>
                <w:bCs w:val="0"/>
                <w:color w:val="333333"/>
                <w:sz w:val="20"/>
                <w:szCs w:val="20"/>
              </w:rPr>
              <w:t>82.4% of total revenue</w:t>
            </w:r>
          </w:p>
        </w:tc>
      </w:tr>
      <w:tr w14:paraId="5553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9627EB2">
            <w:pPr>
              <w:jc w:val="center"/>
            </w:pPr>
            <w:r>
              <w:rPr>
                <w:rFonts w:ascii="Arial" w:hAnsi="Arial" w:eastAsia="Arial" w:cs="Arial"/>
                <w:b w:val="0"/>
                <w:bCs w:val="0"/>
                <w:color w:val="333333"/>
                <w:sz w:val="20"/>
                <w:szCs w:val="20"/>
              </w:rPr>
              <w:t>Total Transactions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F939CF6">
            <w:pPr>
              <w:jc w:val="center"/>
            </w:pPr>
            <w:r>
              <w:rPr>
                <w:rFonts w:ascii="Arial" w:hAnsi="Arial" w:eastAsia="Arial" w:cs="Arial"/>
                <w:b w:val="0"/>
                <w:bCs w:val="0"/>
                <w:color w:val="333333"/>
                <w:sz w:val="20"/>
                <w:szCs w:val="20"/>
              </w:rPr>
              <w:t>4,998</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4BF0136">
            <w:pPr>
              <w:jc w:val="center"/>
            </w:pPr>
            <w:r>
              <w:rPr>
                <w:rFonts w:ascii="Arial" w:hAnsi="Arial" w:eastAsia="Arial" w:cs="Arial"/>
                <w:b w:val="0"/>
                <w:bCs w:val="0"/>
                <w:color w:val="333333"/>
                <w:sz w:val="20"/>
                <w:szCs w:val="20"/>
              </w:rPr>
              <w:t>Across all markets</w:t>
            </w:r>
          </w:p>
        </w:tc>
      </w:tr>
      <w:tr w14:paraId="65A6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065F8BC6">
            <w:pPr>
              <w:jc w:val="center"/>
            </w:pPr>
            <w:r>
              <w:rPr>
                <w:rFonts w:ascii="Arial" w:hAnsi="Arial" w:eastAsia="Arial" w:cs="Arial"/>
                <w:b w:val="0"/>
                <w:bCs w:val="0"/>
                <w:color w:val="333333"/>
                <w:sz w:val="20"/>
                <w:szCs w:val="20"/>
              </w:rPr>
              <w:t>Sales Representatives</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424F9A1C">
            <w:pPr>
              <w:jc w:val="center"/>
            </w:pPr>
            <w:r>
              <w:rPr>
                <w:rFonts w:ascii="Arial" w:hAnsi="Arial" w:eastAsia="Arial" w:cs="Arial"/>
                <w:b w:val="0"/>
                <w:bCs w:val="0"/>
                <w:color w:val="333333"/>
                <w:sz w:val="20"/>
                <w:szCs w:val="20"/>
              </w:rPr>
              <w:t>25</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5B83D95C">
            <w:pPr>
              <w:jc w:val="center"/>
            </w:pPr>
            <w:r>
              <w:rPr>
                <w:rFonts w:ascii="Arial" w:hAnsi="Arial" w:eastAsia="Arial" w:cs="Arial"/>
                <w:b w:val="0"/>
                <w:bCs w:val="0"/>
                <w:color w:val="333333"/>
                <w:sz w:val="20"/>
                <w:szCs w:val="20"/>
              </w:rPr>
              <w:t>Active personnel</w:t>
            </w:r>
          </w:p>
        </w:tc>
      </w:tr>
      <w:tr w14:paraId="2E17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E7EF3B3">
            <w:pPr>
              <w:jc w:val="center"/>
            </w:pPr>
            <w:r>
              <w:rPr>
                <w:rFonts w:ascii="Arial" w:hAnsi="Arial" w:eastAsia="Arial" w:cs="Arial"/>
                <w:b w:val="0"/>
                <w:bCs w:val="0"/>
                <w:color w:val="333333"/>
                <w:sz w:val="20"/>
                <w:szCs w:val="20"/>
              </w:rPr>
              <w:t>Product SKUs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29F02C3">
            <w:pPr>
              <w:jc w:val="center"/>
            </w:pPr>
            <w:r>
              <w:rPr>
                <w:rFonts w:ascii="Arial" w:hAnsi="Arial" w:eastAsia="Arial" w:cs="Arial"/>
                <w:b w:val="0"/>
                <w:bCs w:val="0"/>
                <w:color w:val="333333"/>
                <w:sz w:val="20"/>
                <w:szCs w:val="20"/>
              </w:rPr>
              <w:t>22</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2A216FB">
            <w:pPr>
              <w:jc w:val="center"/>
            </w:pPr>
            <w:r>
              <w:rPr>
                <w:rFonts w:ascii="Arial" w:hAnsi="Arial" w:eastAsia="Arial" w:cs="Arial"/>
                <w:b w:val="0"/>
                <w:bCs w:val="0"/>
                <w:color w:val="333333"/>
                <w:sz w:val="20"/>
                <w:szCs w:val="20"/>
              </w:rPr>
              <w:t>Distinct chocolate products</w:t>
            </w:r>
          </w:p>
        </w:tc>
      </w:tr>
      <w:tr w14:paraId="42D0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0E701160">
            <w:pPr>
              <w:jc w:val="center"/>
            </w:pPr>
            <w:r>
              <w:rPr>
                <w:rFonts w:ascii="Arial" w:hAnsi="Arial" w:eastAsia="Arial" w:cs="Arial"/>
                <w:b w:val="0"/>
                <w:bCs w:val="0"/>
                <w:color w:val="333333"/>
                <w:sz w:val="20"/>
                <w:szCs w:val="20"/>
              </w:rPr>
              <w:t>Countries Served</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0559E7C5">
            <w:pPr>
              <w:jc w:val="center"/>
            </w:pPr>
            <w:r>
              <w:rPr>
                <w:rFonts w:ascii="Arial" w:hAnsi="Arial" w:eastAsia="Arial" w:cs="Arial"/>
                <w:b w:val="0"/>
                <w:bCs w:val="0"/>
                <w:color w:val="333333"/>
                <w:sz w:val="20"/>
                <w:szCs w:val="20"/>
              </w:rPr>
              <w:t>6</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3DAC3B23">
            <w:pPr>
              <w:jc w:val="center"/>
            </w:pPr>
            <w:r>
              <w:rPr>
                <w:rFonts w:ascii="Arial" w:hAnsi="Arial" w:eastAsia="Arial" w:cs="Arial"/>
                <w:b w:val="0"/>
                <w:bCs w:val="0"/>
                <w:color w:val="333333"/>
                <w:sz w:val="20"/>
                <w:szCs w:val="20"/>
              </w:rPr>
              <w:t>USA, UK, Canada, India, AU, NZ</w:t>
            </w:r>
          </w:p>
        </w:tc>
      </w:tr>
      <w:tr w14:paraId="224E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A8A1DD7">
            <w:pPr>
              <w:jc w:val="center"/>
            </w:pPr>
            <w:r>
              <w:rPr>
                <w:rFonts w:ascii="Arial" w:hAnsi="Arial" w:eastAsia="Arial" w:cs="Arial"/>
                <w:b w:val="0"/>
                <w:bCs w:val="0"/>
                <w:color w:val="333333"/>
                <w:sz w:val="20"/>
                <w:szCs w:val="20"/>
              </w:rPr>
              <w:t>Avg. Order Value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ED2E8F9">
            <w:pPr>
              <w:jc w:val="center"/>
            </w:pPr>
            <w:r>
              <w:rPr>
                <w:rFonts w:ascii="Arial" w:hAnsi="Arial" w:eastAsia="Arial" w:cs="Arial"/>
                <w:b w:val="0"/>
                <w:bCs w:val="0"/>
                <w:color w:val="333333"/>
                <w:sz w:val="20"/>
                <w:szCs w:val="20"/>
              </w:rPr>
              <w:t>$5,600</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9735683">
            <w:pPr>
              <w:jc w:val="center"/>
            </w:pPr>
            <w:r>
              <w:rPr>
                <w:rFonts w:ascii="Arial" w:hAnsi="Arial" w:eastAsia="Arial" w:cs="Arial"/>
                <w:b w:val="0"/>
                <w:bCs w:val="0"/>
                <w:color w:val="333333"/>
                <w:sz w:val="20"/>
                <w:szCs w:val="20"/>
              </w:rPr>
              <w:t>Per transaction</w:t>
            </w:r>
          </w:p>
        </w:tc>
      </w:tr>
      <w:tr w14:paraId="0902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2ABAD996">
            <w:pPr>
              <w:jc w:val="center"/>
            </w:pPr>
            <w:r>
              <w:rPr>
                <w:rFonts w:ascii="Arial" w:hAnsi="Arial" w:eastAsia="Arial" w:cs="Arial"/>
                <w:b w:val="0"/>
                <w:bCs w:val="0"/>
                <w:color w:val="333333"/>
                <w:sz w:val="20"/>
                <w:szCs w:val="20"/>
              </w:rPr>
              <w:t>Cancellation Rate</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5F547FBF">
            <w:pPr>
              <w:jc w:val="center"/>
            </w:pPr>
            <w:r>
              <w:rPr>
                <w:rFonts w:ascii="Arial" w:hAnsi="Arial" w:eastAsia="Arial" w:cs="Arial"/>
                <w:b w:val="0"/>
                <w:bCs w:val="0"/>
                <w:color w:val="333333"/>
                <w:sz w:val="20"/>
                <w:szCs w:val="20"/>
              </w:rPr>
              <w:t>4.5%</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385CA89D">
            <w:pPr>
              <w:jc w:val="center"/>
            </w:pPr>
            <w:r>
              <w:rPr>
                <w:rFonts w:ascii="Arial" w:hAnsi="Arial" w:eastAsia="Arial" w:cs="Arial"/>
                <w:b w:val="0"/>
                <w:bCs w:val="0"/>
                <w:color w:val="333333"/>
                <w:sz w:val="20"/>
                <w:szCs w:val="20"/>
              </w:rPr>
              <w:t>$1.36M cancelled orders</w:t>
            </w:r>
          </w:p>
        </w:tc>
      </w:tr>
    </w:tbl>
    <w:p w14:paraId="746AADBC">
      <w:pPr>
        <w:spacing w:before="200" w:after="200"/>
      </w:pPr>
    </w:p>
    <w:p w14:paraId="3CD1DC08">
      <w:pPr>
        <w:pStyle w:val="3"/>
        <w:pBdr>
          <w:bottom w:val="single" w:color="D2691E" w:sz="2" w:space="4"/>
        </w:pBdr>
        <w:spacing w:before="240" w:after="120"/>
      </w:pPr>
      <w:r>
        <w:rPr>
          <w:rFonts w:ascii="Arial" w:hAnsi="Arial" w:eastAsia="Arial" w:cs="Arial"/>
          <w:b/>
          <w:bCs/>
          <w:color w:val="5C2D0A"/>
          <w:sz w:val="24"/>
          <w:szCs w:val="24"/>
        </w:rPr>
        <w:t>Report Structure &amp; Data Sources</w:t>
      </w:r>
    </w:p>
    <w:p w14:paraId="66C85AD2">
      <w:pPr>
        <w:spacing w:before="60" w:after="120"/>
        <w:jc w:val="both"/>
      </w:pPr>
      <w:r>
        <w:rPr>
          <w:rFonts w:ascii="Arial" w:hAnsi="Arial" w:eastAsia="Arial" w:cs="Arial"/>
          <w:b w:val="0"/>
          <w:bCs w:val="0"/>
          <w:color w:val="333333"/>
          <w:sz w:val="22"/>
          <w:szCs w:val="22"/>
        </w:rPr>
        <w:t>This report integrates two project files:</w:t>
      </w:r>
    </w:p>
    <w:p w14:paraId="5FF072AA">
      <w:pPr>
        <w:pStyle w:val="16"/>
        <w:numPr>
          <w:ilvl w:val="0"/>
          <w:numId w:val="1"/>
        </w:numPr>
        <w:spacing w:before="40" w:after="40"/>
      </w:pPr>
      <w:r>
        <w:rPr>
          <w:rFonts w:ascii="Arial" w:hAnsi="Arial" w:eastAsia="Arial" w:cs="Arial"/>
          <w:color w:val="333333"/>
          <w:sz w:val="22"/>
          <w:szCs w:val="22"/>
        </w:rPr>
        <w:t>sample-chocolate-sales-data-1.xlsx — The primary transactional dataset containing 4,998 sales records with fields: Sales Person, Product, Country, Date, Amount, Boxes, and Order Status.</w:t>
      </w:r>
    </w:p>
    <w:p w14:paraId="45E5983C">
      <w:pPr>
        <w:pStyle w:val="16"/>
        <w:numPr>
          <w:ilvl w:val="0"/>
          <w:numId w:val="1"/>
        </w:numPr>
        <w:spacing w:before="40" w:after="40"/>
      </w:pPr>
      <w:r>
        <w:rPr>
          <w:rFonts w:ascii="Arial" w:hAnsi="Arial" w:eastAsia="Arial" w:cs="Arial"/>
          <w:color w:val="333333"/>
          <w:sz w:val="22"/>
          <w:szCs w:val="22"/>
        </w:rPr>
        <w:t>L-2.pbix — A Power BI report file designed for interactive dashboard visualization of the sales data, enabling drill-down by geography, product, and salesperson.</w:t>
      </w:r>
    </w:p>
    <w:p w14:paraId="5D5D0A7F">
      <w:pPr>
        <w:spacing w:before="100" w:after="100"/>
      </w:pPr>
    </w:p>
    <w:p w14:paraId="11AACE7B">
      <w:pPr>
        <w:spacing w:before="0" w:after="0"/>
      </w:pPr>
      <w:r>
        <w:br w:type="page"/>
      </w:r>
    </w:p>
    <w:p w14:paraId="43A1D292">
      <w:pPr>
        <w:pStyle w:val="2"/>
        <w:pBdr>
          <w:bottom w:val="single" w:color="D2691E" w:sz="2" w:space="0"/>
        </w:pBdr>
        <w:shd w:val="clear" w:fill="5C2D0A"/>
        <w:spacing w:before="320" w:after="160"/>
        <w:ind w:left="200"/>
      </w:pPr>
      <w:r>
        <w:rPr>
          <w:rFonts w:ascii="Arial" w:hAnsi="Arial" w:eastAsia="Arial" w:cs="Arial"/>
          <w:b/>
          <w:bCs/>
          <w:color w:val="FFFFFF"/>
          <w:sz w:val="28"/>
          <w:szCs w:val="28"/>
        </w:rPr>
        <w:t>2. Geographic Sales Analysis</w:t>
      </w:r>
    </w:p>
    <w:p w14:paraId="67114134">
      <w:pPr>
        <w:spacing w:before="100" w:after="100"/>
      </w:pPr>
    </w:p>
    <w:p w14:paraId="2E25C89D">
      <w:pPr>
        <w:spacing w:before="60" w:after="120"/>
        <w:jc w:val="both"/>
      </w:pPr>
      <w:r>
        <w:rPr>
          <w:rFonts w:ascii="Arial" w:hAnsi="Arial" w:eastAsia="Arial" w:cs="Arial"/>
          <w:b w:val="0"/>
          <w:bCs w:val="0"/>
          <w:color w:val="333333"/>
          <w:sz w:val="22"/>
          <w:szCs w:val="22"/>
        </w:rPr>
        <w:t>Sales were distributed across six countries: UK, USA, India, Canada, New Zealand, and Australia. The United Kingdom led all markets with $7.66 Million in revenue, accounting for approximately 27.4% of total sales. The USA ranked second at $6.28 Million (22.4%). Together, these two English-speaking markets contributed nearly half of all global revenue.</w:t>
      </w:r>
    </w:p>
    <w:p w14:paraId="5C062BEE">
      <w:pPr>
        <w:spacing w:before="80" w:after="80"/>
      </w:pPr>
    </w:p>
    <w:p w14:paraId="7BEE9E5E">
      <w:pPr>
        <w:spacing w:before="120" w:after="60"/>
        <w:jc w:val="center"/>
      </w:pPr>
      <w:r>
        <w:drawing>
          <wp:inline distT="0" distB="0" distL="0" distR="0">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334000" cy="2667000"/>
                    </a:xfrm>
                    <a:prstGeom prst="rect">
                      <a:avLst/>
                    </a:prstGeom>
                  </pic:spPr>
                </pic:pic>
              </a:graphicData>
            </a:graphic>
          </wp:inline>
        </w:drawing>
      </w:r>
    </w:p>
    <w:p w14:paraId="23272023">
      <w:pPr>
        <w:spacing w:before="0" w:after="160"/>
        <w:jc w:val="center"/>
      </w:pPr>
      <w:r>
        <w:rPr>
          <w:rFonts w:ascii="Arial" w:hAnsi="Arial" w:eastAsia="Arial" w:cs="Arial"/>
          <w:i/>
          <w:iCs/>
          <w:color w:val="666666"/>
          <w:sz w:val="18"/>
          <w:szCs w:val="18"/>
        </w:rPr>
        <w:t>Figure 1: Total Revenue by Country (Jan 2023 – Sep 2024)</w:t>
      </w:r>
    </w:p>
    <w:p w14:paraId="45F3D28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891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5C2D0A"/>
            <w:tcMar>
              <w:top w:w="80" w:type="dxa"/>
              <w:left w:w="140" w:type="dxa"/>
              <w:bottom w:w="80" w:type="dxa"/>
              <w:right w:w="140" w:type="dxa"/>
            </w:tcMar>
          </w:tcPr>
          <w:p w14:paraId="0FFD8642">
            <w:pPr>
              <w:jc w:val="left"/>
            </w:pPr>
            <w:r>
              <w:rPr>
                <w:rFonts w:ascii="Arial" w:hAnsi="Arial" w:eastAsia="Arial" w:cs="Arial"/>
                <w:b/>
                <w:bCs/>
                <w:color w:val="FFFFFF"/>
                <w:sz w:val="21"/>
                <w:szCs w:val="21"/>
              </w:rPr>
              <w:t>Country</w:t>
            </w:r>
          </w:p>
        </w:tc>
        <w:tc>
          <w:tcPr>
            <w:tcW w:w="4680" w:type="dxa"/>
            <w:tcBorders>
              <w:top w:val="single" w:color="CCCCCC" w:sz="0" w:space="0"/>
              <w:left w:val="single" w:color="CCCCCC" w:sz="0" w:space="0"/>
              <w:bottom w:val="single" w:color="CCCCCC" w:sz="0" w:space="0"/>
              <w:right w:val="single" w:color="CCCCCC" w:sz="0" w:space="0"/>
            </w:tcBorders>
            <w:shd w:val="clear" w:color="auto" w:fill="5C2D0A"/>
            <w:tcMar>
              <w:top w:w="80" w:type="dxa"/>
              <w:left w:w="140" w:type="dxa"/>
              <w:bottom w:w="80" w:type="dxa"/>
              <w:right w:w="140" w:type="dxa"/>
            </w:tcMar>
          </w:tcPr>
          <w:p w14:paraId="4368C57F">
            <w:pPr>
              <w:jc w:val="right"/>
            </w:pPr>
            <w:r>
              <w:rPr>
                <w:rFonts w:ascii="Arial" w:hAnsi="Arial" w:eastAsia="Arial" w:cs="Arial"/>
                <w:b/>
                <w:bCs/>
                <w:color w:val="FFFFFF"/>
                <w:sz w:val="21"/>
                <w:szCs w:val="21"/>
              </w:rPr>
              <w:t>Revenue</w:t>
            </w:r>
          </w:p>
        </w:tc>
      </w:tr>
      <w:tr w14:paraId="7580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DB5428">
            <w:pPr>
              <w:jc w:val="left"/>
            </w:pPr>
            <w:r>
              <w:rPr>
                <w:rFonts w:ascii="Arial" w:hAnsi="Arial" w:eastAsia="Arial" w:cs="Arial"/>
                <w:b/>
                <w:bCs/>
                <w:color w:val="5C2D0A"/>
                <w:sz w:val="20"/>
                <w:szCs w:val="20"/>
              </w:rPr>
              <w:t>UK</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5BFC5F">
            <w:pPr>
              <w:jc w:val="right"/>
            </w:pPr>
            <w:r>
              <w:rPr>
                <w:rFonts w:ascii="Arial" w:hAnsi="Arial" w:eastAsia="Arial" w:cs="Arial"/>
                <w:b w:val="0"/>
                <w:bCs w:val="0"/>
                <w:color w:val="333333"/>
                <w:sz w:val="20"/>
                <w:szCs w:val="20"/>
              </w:rPr>
              <w:t>$7,657,974</w:t>
            </w:r>
          </w:p>
        </w:tc>
      </w:tr>
      <w:tr w14:paraId="3A61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3F34C7BF">
            <w:pPr>
              <w:jc w:val="left"/>
            </w:pPr>
            <w:r>
              <w:rPr>
                <w:rFonts w:ascii="Arial" w:hAnsi="Arial" w:eastAsia="Arial" w:cs="Arial"/>
                <w:b/>
                <w:bCs/>
                <w:color w:val="5C2D0A"/>
                <w:sz w:val="20"/>
                <w:szCs w:val="20"/>
              </w:rPr>
              <w:t>USA</w:t>
            </w:r>
          </w:p>
        </w:tc>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307CE114">
            <w:pPr>
              <w:jc w:val="right"/>
            </w:pPr>
            <w:r>
              <w:rPr>
                <w:rFonts w:ascii="Arial" w:hAnsi="Arial" w:eastAsia="Arial" w:cs="Arial"/>
                <w:b w:val="0"/>
                <w:bCs w:val="0"/>
                <w:color w:val="333333"/>
                <w:sz w:val="20"/>
                <w:szCs w:val="20"/>
              </w:rPr>
              <w:t>$6,277,894</w:t>
            </w:r>
          </w:p>
        </w:tc>
      </w:tr>
      <w:tr w14:paraId="0C7E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EDDA23">
            <w:pPr>
              <w:jc w:val="left"/>
            </w:pPr>
            <w:r>
              <w:rPr>
                <w:rFonts w:ascii="Arial" w:hAnsi="Arial" w:eastAsia="Arial" w:cs="Arial"/>
                <w:b/>
                <w:bCs/>
                <w:color w:val="5C2D0A"/>
                <w:sz w:val="20"/>
                <w:szCs w:val="20"/>
              </w:rPr>
              <w:t>India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D64499">
            <w:pPr>
              <w:jc w:val="right"/>
            </w:pPr>
            <w:r>
              <w:rPr>
                <w:rFonts w:ascii="Arial" w:hAnsi="Arial" w:eastAsia="Arial" w:cs="Arial"/>
                <w:b w:val="0"/>
                <w:bCs w:val="0"/>
                <w:color w:val="333333"/>
                <w:sz w:val="20"/>
                <w:szCs w:val="20"/>
              </w:rPr>
              <w:t>$4,583,075</w:t>
            </w:r>
          </w:p>
        </w:tc>
      </w:tr>
      <w:tr w14:paraId="5F41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30D8F472">
            <w:pPr>
              <w:jc w:val="left"/>
            </w:pPr>
            <w:r>
              <w:rPr>
                <w:rFonts w:ascii="Arial" w:hAnsi="Arial" w:eastAsia="Arial" w:cs="Arial"/>
                <w:b/>
                <w:bCs/>
                <w:color w:val="5C2D0A"/>
                <w:sz w:val="20"/>
                <w:szCs w:val="20"/>
              </w:rPr>
              <w:t>Canada</w:t>
            </w:r>
          </w:p>
        </w:tc>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138D240C">
            <w:pPr>
              <w:jc w:val="right"/>
            </w:pPr>
            <w:r>
              <w:rPr>
                <w:rFonts w:ascii="Arial" w:hAnsi="Arial" w:eastAsia="Arial" w:cs="Arial"/>
                <w:b w:val="0"/>
                <w:bCs w:val="0"/>
                <w:color w:val="333333"/>
                <w:sz w:val="20"/>
                <w:szCs w:val="20"/>
              </w:rPr>
              <w:t>$3,264,613</w:t>
            </w:r>
          </w:p>
        </w:tc>
      </w:tr>
      <w:tr w14:paraId="0565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7F3C64">
            <w:pPr>
              <w:jc w:val="left"/>
            </w:pPr>
            <w:r>
              <w:rPr>
                <w:rFonts w:ascii="Arial" w:hAnsi="Arial" w:eastAsia="Arial" w:cs="Arial"/>
                <w:b/>
                <w:bCs/>
                <w:color w:val="5C2D0A"/>
                <w:sz w:val="20"/>
                <w:szCs w:val="20"/>
              </w:rPr>
              <w:t>New Zealand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E47CA8">
            <w:pPr>
              <w:jc w:val="right"/>
            </w:pPr>
            <w:r>
              <w:rPr>
                <w:rFonts w:ascii="Arial" w:hAnsi="Arial" w:eastAsia="Arial" w:cs="Arial"/>
                <w:b w:val="0"/>
                <w:bCs w:val="0"/>
                <w:color w:val="333333"/>
                <w:sz w:val="20"/>
                <w:szCs w:val="20"/>
              </w:rPr>
              <w:t>$3,115,964</w:t>
            </w:r>
          </w:p>
        </w:tc>
      </w:tr>
      <w:tr w14:paraId="7BD7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669A39B0">
            <w:pPr>
              <w:jc w:val="left"/>
            </w:pPr>
            <w:r>
              <w:rPr>
                <w:rFonts w:ascii="Arial" w:hAnsi="Arial" w:eastAsia="Arial" w:cs="Arial"/>
                <w:b/>
                <w:bCs/>
                <w:color w:val="5C2D0A"/>
                <w:sz w:val="20"/>
                <w:szCs w:val="20"/>
              </w:rPr>
              <w:t>Australia</w:t>
            </w:r>
          </w:p>
        </w:tc>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7FC04396">
            <w:pPr>
              <w:jc w:val="right"/>
            </w:pPr>
            <w:r>
              <w:rPr>
                <w:rFonts w:ascii="Arial" w:hAnsi="Arial" w:eastAsia="Arial" w:cs="Arial"/>
                <w:b w:val="0"/>
                <w:bCs w:val="0"/>
                <w:color w:val="333333"/>
                <w:sz w:val="20"/>
                <w:szCs w:val="20"/>
              </w:rPr>
              <w:t>$3,091,338</w:t>
            </w:r>
          </w:p>
        </w:tc>
      </w:tr>
    </w:tbl>
    <w:p w14:paraId="6035B8B4">
      <w:pPr>
        <w:spacing w:before="200" w:after="200"/>
      </w:pPr>
    </w:p>
    <w:p w14:paraId="75CCC6C0">
      <w:pPr>
        <w:pStyle w:val="2"/>
        <w:pBdr>
          <w:bottom w:val="single" w:color="D2691E" w:sz="2" w:space="0"/>
        </w:pBdr>
        <w:shd w:val="clear" w:fill="5C2D0A"/>
        <w:spacing w:before="320" w:after="160"/>
        <w:ind w:left="200"/>
      </w:pPr>
      <w:r>
        <w:rPr>
          <w:rFonts w:ascii="Arial" w:hAnsi="Arial" w:eastAsia="Arial" w:cs="Arial"/>
          <w:b/>
          <w:bCs/>
          <w:color w:val="FFFFFF"/>
          <w:sz w:val="28"/>
          <w:szCs w:val="28"/>
        </w:rPr>
        <w:t>3. Sales Trend Analysis</w:t>
      </w:r>
    </w:p>
    <w:p w14:paraId="461482C1">
      <w:pPr>
        <w:spacing w:before="80" w:after="80"/>
      </w:pPr>
    </w:p>
    <w:p w14:paraId="052D020F">
      <w:pPr>
        <w:spacing w:before="60" w:after="120"/>
        <w:jc w:val="both"/>
      </w:pPr>
      <w:r>
        <w:rPr>
          <w:rFonts w:ascii="Arial" w:hAnsi="Arial" w:eastAsia="Arial" w:cs="Arial"/>
          <w:b w:val="0"/>
          <w:bCs w:val="0"/>
          <w:color w:val="333333"/>
          <w:sz w:val="22"/>
          <w:szCs w:val="22"/>
        </w:rPr>
        <w:t>Monthly delivered sales reveal strong performance throughout 2023 with seasonal variability. The trend shows growth momentum in mid-2023 and continued steady performance into 2024. This monthly view (Figure 2) is critical for identifying peak sales periods and planning inventory or promotional campaigns accordingly.</w:t>
      </w:r>
    </w:p>
    <w:p w14:paraId="4A1CE59B">
      <w:pPr>
        <w:spacing w:before="80" w:after="80"/>
      </w:pPr>
    </w:p>
    <w:p w14:paraId="18F5F66D">
      <w:pPr>
        <w:spacing w:before="120" w:after="60"/>
        <w:jc w:val="center"/>
      </w:pPr>
      <w:r>
        <w:drawing>
          <wp:inline distT="0" distB="0" distL="0" distR="0">
            <wp:extent cx="581025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810250" cy="2571750"/>
                    </a:xfrm>
                    <a:prstGeom prst="rect">
                      <a:avLst/>
                    </a:prstGeom>
                  </pic:spPr>
                </pic:pic>
              </a:graphicData>
            </a:graphic>
          </wp:inline>
        </w:drawing>
      </w:r>
    </w:p>
    <w:p w14:paraId="545AD79D">
      <w:pPr>
        <w:spacing w:before="0" w:after="160"/>
        <w:jc w:val="center"/>
      </w:pPr>
      <w:r>
        <w:rPr>
          <w:rFonts w:ascii="Arial" w:hAnsi="Arial" w:eastAsia="Arial" w:cs="Arial"/>
          <w:i/>
          <w:iCs/>
          <w:color w:val="666666"/>
          <w:sz w:val="18"/>
          <w:szCs w:val="18"/>
        </w:rPr>
        <w:t>Figure 2: Monthly Delivered Sales Trend (Jan 2023 – Sep 2024)</w:t>
      </w:r>
    </w:p>
    <w:p w14:paraId="50A3F728">
      <w:pPr>
        <w:spacing w:before="0" w:after="0"/>
      </w:pPr>
      <w:r>
        <w:br w:type="page"/>
      </w:r>
    </w:p>
    <w:p w14:paraId="330004DF">
      <w:pPr>
        <w:pStyle w:val="2"/>
        <w:pBdr>
          <w:bottom w:val="single" w:color="D2691E" w:sz="2" w:space="0"/>
        </w:pBdr>
        <w:shd w:val="clear" w:fill="5C2D0A"/>
        <w:spacing w:before="320" w:after="160"/>
        <w:ind w:left="200"/>
      </w:pPr>
      <w:r>
        <w:rPr>
          <w:rFonts w:ascii="Arial" w:hAnsi="Arial" w:eastAsia="Arial" w:cs="Arial"/>
          <w:b/>
          <w:bCs/>
          <w:color w:val="FFFFFF"/>
          <w:sz w:val="28"/>
          <w:szCs w:val="28"/>
        </w:rPr>
        <w:t>4. Sales Representative Performance</w:t>
      </w:r>
    </w:p>
    <w:p w14:paraId="0DC58336">
      <w:pPr>
        <w:spacing w:before="80" w:after="80"/>
      </w:pPr>
    </w:p>
    <w:p w14:paraId="70C96720">
      <w:pPr>
        <w:spacing w:before="60" w:after="120"/>
        <w:jc w:val="both"/>
      </w:pPr>
      <w:r>
        <w:rPr>
          <w:rFonts w:ascii="Arial" w:hAnsi="Arial" w:eastAsia="Arial" w:cs="Arial"/>
          <w:b w:val="0"/>
          <w:bCs w:val="0"/>
          <w:color w:val="333333"/>
          <w:sz w:val="22"/>
          <w:szCs w:val="22"/>
        </w:rPr>
        <w:t>Among the 25 active sales representatives, Brien Boise achieved the highest individual revenue of $2.17 Million, followed closely by Madelene Upcott ($2.03M) and Dotty Strutley ($1.67M). The top 5 performers collectively contributed over $9 Million — approximately 32% of total company revenue — demonstrating a concentration of sales productivity in a small group of high performers.</w:t>
      </w:r>
    </w:p>
    <w:p w14:paraId="5018052B">
      <w:pPr>
        <w:spacing w:before="80" w:after="80"/>
      </w:pPr>
    </w:p>
    <w:p w14:paraId="3422F910">
      <w:pPr>
        <w:spacing w:before="120" w:after="60"/>
        <w:jc w:val="center"/>
      </w:pPr>
      <w:r>
        <w:drawing>
          <wp:inline distT="0" distB="0" distL="0" distR="0">
            <wp:extent cx="55245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524500" cy="3048000"/>
                    </a:xfrm>
                    <a:prstGeom prst="rect">
                      <a:avLst/>
                    </a:prstGeom>
                  </pic:spPr>
                </pic:pic>
              </a:graphicData>
            </a:graphic>
          </wp:inline>
        </w:drawing>
      </w:r>
    </w:p>
    <w:p w14:paraId="7B7FCC5E">
      <w:pPr>
        <w:spacing w:before="0" w:after="160"/>
        <w:jc w:val="center"/>
      </w:pPr>
      <w:r>
        <w:rPr>
          <w:rFonts w:ascii="Arial" w:hAnsi="Arial" w:eastAsia="Arial" w:cs="Arial"/>
          <w:i/>
          <w:iCs/>
          <w:color w:val="666666"/>
          <w:sz w:val="18"/>
          <w:szCs w:val="18"/>
        </w:rPr>
        <w:t>Figure 3: Top 10 Sales Representatives by Revenue</w:t>
      </w:r>
    </w:p>
    <w:p w14:paraId="4912304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8A5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5C2D0A"/>
            <w:tcMar>
              <w:top w:w="80" w:type="dxa"/>
              <w:left w:w="140" w:type="dxa"/>
              <w:bottom w:w="80" w:type="dxa"/>
              <w:right w:w="140" w:type="dxa"/>
            </w:tcMar>
          </w:tcPr>
          <w:p w14:paraId="4826EA64">
            <w:pPr>
              <w:jc w:val="left"/>
            </w:pPr>
            <w:r>
              <w:rPr>
                <w:rFonts w:ascii="Arial" w:hAnsi="Arial" w:eastAsia="Arial" w:cs="Arial"/>
                <w:b/>
                <w:bCs/>
                <w:color w:val="FFFFFF"/>
                <w:sz w:val="21"/>
                <w:szCs w:val="21"/>
              </w:rPr>
              <w:t>Sales Person</w:t>
            </w:r>
          </w:p>
        </w:tc>
        <w:tc>
          <w:tcPr>
            <w:tcW w:w="4680" w:type="dxa"/>
            <w:tcBorders>
              <w:top w:val="single" w:color="CCCCCC" w:sz="0" w:space="0"/>
              <w:left w:val="single" w:color="CCCCCC" w:sz="0" w:space="0"/>
              <w:bottom w:val="single" w:color="CCCCCC" w:sz="0" w:space="0"/>
              <w:right w:val="single" w:color="CCCCCC" w:sz="0" w:space="0"/>
            </w:tcBorders>
            <w:shd w:val="clear" w:color="auto" w:fill="5C2D0A"/>
            <w:tcMar>
              <w:top w:w="80" w:type="dxa"/>
              <w:left w:w="140" w:type="dxa"/>
              <w:bottom w:w="80" w:type="dxa"/>
              <w:right w:w="140" w:type="dxa"/>
            </w:tcMar>
          </w:tcPr>
          <w:p w14:paraId="5F0B92DB">
            <w:pPr>
              <w:jc w:val="right"/>
            </w:pPr>
            <w:r>
              <w:rPr>
                <w:rFonts w:ascii="Arial" w:hAnsi="Arial" w:eastAsia="Arial" w:cs="Arial"/>
                <w:b/>
                <w:bCs/>
                <w:color w:val="FFFFFF"/>
                <w:sz w:val="21"/>
                <w:szCs w:val="21"/>
              </w:rPr>
              <w:t>Revenue</w:t>
            </w:r>
          </w:p>
        </w:tc>
      </w:tr>
      <w:tr w14:paraId="0F26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85D25B7">
            <w:pPr>
              <w:jc w:val="left"/>
            </w:pPr>
            <w:r>
              <w:rPr>
                <w:rFonts w:ascii="Arial" w:hAnsi="Arial" w:eastAsia="Arial" w:cs="Arial"/>
                <w:b/>
                <w:bCs/>
                <w:color w:val="5C2D0A"/>
                <w:sz w:val="20"/>
                <w:szCs w:val="20"/>
              </w:rPr>
              <w:t>Brien Boise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E31C41">
            <w:pPr>
              <w:jc w:val="right"/>
            </w:pPr>
            <w:r>
              <w:rPr>
                <w:rFonts w:ascii="Arial" w:hAnsi="Arial" w:eastAsia="Arial" w:cs="Arial"/>
                <w:b w:val="0"/>
                <w:bCs w:val="0"/>
                <w:color w:val="333333"/>
                <w:sz w:val="20"/>
                <w:szCs w:val="20"/>
              </w:rPr>
              <w:t>$2,170,955</w:t>
            </w:r>
          </w:p>
        </w:tc>
      </w:tr>
      <w:tr w14:paraId="4292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16530EB6">
            <w:pPr>
              <w:jc w:val="left"/>
            </w:pPr>
            <w:r>
              <w:rPr>
                <w:rFonts w:ascii="Arial" w:hAnsi="Arial" w:eastAsia="Arial" w:cs="Arial"/>
                <w:b/>
                <w:bCs/>
                <w:color w:val="5C2D0A"/>
                <w:sz w:val="20"/>
                <w:szCs w:val="20"/>
              </w:rPr>
              <w:t>Madelene Upcott</w:t>
            </w:r>
          </w:p>
        </w:tc>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6AD4C1F9">
            <w:pPr>
              <w:jc w:val="right"/>
            </w:pPr>
            <w:r>
              <w:rPr>
                <w:rFonts w:ascii="Arial" w:hAnsi="Arial" w:eastAsia="Arial" w:cs="Arial"/>
                <w:b w:val="0"/>
                <w:bCs w:val="0"/>
                <w:color w:val="333333"/>
                <w:sz w:val="20"/>
                <w:szCs w:val="20"/>
              </w:rPr>
              <w:t>$2,025,711</w:t>
            </w:r>
          </w:p>
        </w:tc>
      </w:tr>
      <w:tr w14:paraId="4C48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1AA827">
            <w:pPr>
              <w:jc w:val="left"/>
            </w:pPr>
            <w:r>
              <w:rPr>
                <w:rFonts w:ascii="Arial" w:hAnsi="Arial" w:eastAsia="Arial" w:cs="Arial"/>
                <w:b/>
                <w:bCs/>
                <w:color w:val="5C2D0A"/>
                <w:sz w:val="20"/>
                <w:szCs w:val="20"/>
              </w:rPr>
              <w:t>Dotty Strutley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827FC9">
            <w:pPr>
              <w:jc w:val="right"/>
            </w:pPr>
            <w:r>
              <w:rPr>
                <w:rFonts w:ascii="Arial" w:hAnsi="Arial" w:eastAsia="Arial" w:cs="Arial"/>
                <w:b w:val="0"/>
                <w:bCs w:val="0"/>
                <w:color w:val="333333"/>
                <w:sz w:val="20"/>
                <w:szCs w:val="20"/>
              </w:rPr>
              <w:t>$1,665,866</w:t>
            </w:r>
          </w:p>
        </w:tc>
      </w:tr>
      <w:tr w14:paraId="5352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0C2195DA">
            <w:pPr>
              <w:jc w:val="left"/>
            </w:pPr>
            <w:r>
              <w:rPr>
                <w:rFonts w:ascii="Arial" w:hAnsi="Arial" w:eastAsia="Arial" w:cs="Arial"/>
                <w:b/>
                <w:bCs/>
                <w:color w:val="5C2D0A"/>
                <w:sz w:val="20"/>
                <w:szCs w:val="20"/>
              </w:rPr>
              <w:t>Gunar Cockshoot</w:t>
            </w:r>
          </w:p>
        </w:tc>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68C5DAD1">
            <w:pPr>
              <w:jc w:val="right"/>
            </w:pPr>
            <w:r>
              <w:rPr>
                <w:rFonts w:ascii="Arial" w:hAnsi="Arial" w:eastAsia="Arial" w:cs="Arial"/>
                <w:b w:val="0"/>
                <w:bCs w:val="0"/>
                <w:color w:val="333333"/>
                <w:sz w:val="20"/>
                <w:szCs w:val="20"/>
              </w:rPr>
              <w:t>$1,639,838</w:t>
            </w:r>
          </w:p>
        </w:tc>
      </w:tr>
      <w:tr w14:paraId="503B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52DC47A">
            <w:pPr>
              <w:jc w:val="left"/>
            </w:pPr>
            <w:r>
              <w:rPr>
                <w:rFonts w:ascii="Arial" w:hAnsi="Arial" w:eastAsia="Arial" w:cs="Arial"/>
                <w:b/>
                <w:bCs/>
                <w:color w:val="5C2D0A"/>
                <w:sz w:val="20"/>
                <w:szCs w:val="20"/>
              </w:rPr>
              <w:t>Kelci Walkden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863971B">
            <w:pPr>
              <w:jc w:val="right"/>
            </w:pPr>
            <w:r>
              <w:rPr>
                <w:rFonts w:ascii="Arial" w:hAnsi="Arial" w:eastAsia="Arial" w:cs="Arial"/>
                <w:b w:val="0"/>
                <w:bCs w:val="0"/>
                <w:color w:val="333333"/>
                <w:sz w:val="20"/>
                <w:szCs w:val="20"/>
              </w:rPr>
              <w:t>$1,575,065</w:t>
            </w:r>
          </w:p>
        </w:tc>
      </w:tr>
    </w:tbl>
    <w:p w14:paraId="56F1235B">
      <w:pPr>
        <w:spacing w:before="200" w:after="200"/>
      </w:pPr>
    </w:p>
    <w:p w14:paraId="70EEC24E">
      <w:pPr>
        <w:pStyle w:val="3"/>
        <w:pBdr>
          <w:bottom w:val="single" w:color="D2691E" w:sz="2" w:space="4"/>
        </w:pBdr>
        <w:spacing w:before="240" w:after="120"/>
      </w:pPr>
      <w:r>
        <w:rPr>
          <w:rFonts w:ascii="Arial" w:hAnsi="Arial" w:eastAsia="Arial" w:cs="Arial"/>
          <w:b/>
          <w:bCs/>
          <w:color w:val="5C2D0A"/>
          <w:sz w:val="24"/>
          <w:szCs w:val="24"/>
        </w:rPr>
        <w:t>Order Status Distribution</w:t>
      </w:r>
    </w:p>
    <w:p w14:paraId="14126E71">
      <w:pPr>
        <w:spacing w:before="60" w:after="120"/>
        <w:jc w:val="both"/>
      </w:pPr>
      <w:r>
        <w:rPr>
          <w:rFonts w:ascii="Arial" w:hAnsi="Arial" w:eastAsia="Arial" w:cs="Arial"/>
          <w:b w:val="0"/>
          <w:bCs w:val="0"/>
          <w:color w:val="333333"/>
          <w:sz w:val="22"/>
          <w:szCs w:val="22"/>
        </w:rPr>
        <w:t>The majority of orders (82.8%) were successfully delivered, reflecting strong fulfilment efficiency. However, a 4.5% cancellation rate ($1.36M lost revenue) and 8.7% of orders still in 'Shipped' or 'Placed' status indicate areas for process improvement.</w:t>
      </w:r>
    </w:p>
    <w:p w14:paraId="50068C31">
      <w:pPr>
        <w:spacing w:before="0" w:after="0"/>
      </w:pPr>
      <w:r>
        <w:br w:type="page"/>
      </w:r>
    </w:p>
    <w:p w14:paraId="554495DF">
      <w:pPr>
        <w:pStyle w:val="2"/>
        <w:pBdr>
          <w:bottom w:val="single" w:color="D2691E" w:sz="2" w:space="0"/>
        </w:pBdr>
        <w:shd w:val="clear" w:fill="5C2D0A"/>
        <w:spacing w:before="320" w:after="160"/>
        <w:ind w:left="200"/>
      </w:pPr>
      <w:r>
        <w:rPr>
          <w:rFonts w:ascii="Arial" w:hAnsi="Arial" w:eastAsia="Arial" w:cs="Arial"/>
          <w:b/>
          <w:bCs/>
          <w:color w:val="FFFFFF"/>
          <w:sz w:val="28"/>
          <w:szCs w:val="28"/>
        </w:rPr>
        <w:t>5. Order Fulfilment Overview</w:t>
      </w:r>
    </w:p>
    <w:p w14:paraId="6BCD37CA">
      <w:pPr>
        <w:spacing w:before="80" w:after="80"/>
      </w:pPr>
    </w:p>
    <w:p w14:paraId="6A551B1C">
      <w:pPr>
        <w:spacing w:before="60" w:after="120"/>
        <w:jc w:val="both"/>
      </w:pPr>
      <w:r>
        <w:rPr>
          <w:rFonts w:ascii="Arial" w:hAnsi="Arial" w:eastAsia="Arial" w:cs="Arial"/>
          <w:b w:val="0"/>
          <w:bCs w:val="0"/>
          <w:color w:val="333333"/>
          <w:sz w:val="22"/>
          <w:szCs w:val="22"/>
        </w:rPr>
        <w:t>The fulfilment pipeline shows 4,138 delivered orders, 433 shipped, 227 cancelled, and 200 placed. The Power BI dashboard (L-2.pbix) provides an interactive view of these statuses, enabling real-time drill-through by country, product, and time period.</w:t>
      </w:r>
    </w:p>
    <w:p w14:paraId="29677C01">
      <w:pPr>
        <w:spacing w:before="80" w:after="80"/>
      </w:pPr>
    </w:p>
    <w:p w14:paraId="1AAE2AAB">
      <w:pPr>
        <w:spacing w:before="120" w:after="60"/>
        <w:jc w:val="center"/>
      </w:pPr>
      <w:r>
        <w:drawing>
          <wp:inline distT="0" distB="0" distL="0" distR="0">
            <wp:extent cx="352425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3524250" cy="2667000"/>
                    </a:xfrm>
                    <a:prstGeom prst="rect">
                      <a:avLst/>
                    </a:prstGeom>
                  </pic:spPr>
                </pic:pic>
              </a:graphicData>
            </a:graphic>
          </wp:inline>
        </w:drawing>
      </w:r>
    </w:p>
    <w:p w14:paraId="6A269C23">
      <w:pPr>
        <w:spacing w:before="0" w:after="160"/>
        <w:jc w:val="center"/>
      </w:pPr>
      <w:r>
        <w:rPr>
          <w:rFonts w:ascii="Arial" w:hAnsi="Arial" w:eastAsia="Arial" w:cs="Arial"/>
          <w:i/>
          <w:iCs/>
          <w:color w:val="666666"/>
          <w:sz w:val="18"/>
          <w:szCs w:val="18"/>
        </w:rPr>
        <w:t>Figure 4: Order Status Distribution (All 4,998 Orders)</w:t>
      </w:r>
    </w:p>
    <w:p w14:paraId="3AB6BA0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89C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5C2D0A"/>
            <w:tcMar>
              <w:top w:w="100" w:type="dxa"/>
              <w:left w:w="150" w:type="dxa"/>
              <w:bottom w:w="100" w:type="dxa"/>
              <w:right w:w="150" w:type="dxa"/>
            </w:tcMar>
            <w:vAlign w:val="center"/>
          </w:tcPr>
          <w:p w14:paraId="0C5C9726">
            <w:pPr>
              <w:jc w:val="center"/>
            </w:pPr>
            <w:r>
              <w:rPr>
                <w:rFonts w:ascii="Arial" w:hAnsi="Arial" w:eastAsia="Arial" w:cs="Arial"/>
                <w:b/>
                <w:bCs/>
                <w:color w:val="FFFFFF"/>
                <w:sz w:val="21"/>
                <w:szCs w:val="21"/>
              </w:rPr>
              <w:t>Status</w:t>
            </w:r>
          </w:p>
        </w:tc>
        <w:tc>
          <w:tcPr>
            <w:tcW w:w="3120" w:type="dxa"/>
            <w:tcBorders>
              <w:top w:val="single" w:color="CCCCCC" w:sz="0" w:space="0"/>
              <w:left w:val="single" w:color="CCCCCC" w:sz="0" w:space="0"/>
              <w:bottom w:val="single" w:color="CCCCCC" w:sz="0" w:space="0"/>
              <w:right w:val="single" w:color="CCCCCC" w:sz="0" w:space="0"/>
            </w:tcBorders>
            <w:shd w:val="clear" w:color="auto" w:fill="5C2D0A"/>
            <w:tcMar>
              <w:top w:w="100" w:type="dxa"/>
              <w:left w:w="150" w:type="dxa"/>
              <w:bottom w:w="100" w:type="dxa"/>
              <w:right w:w="150" w:type="dxa"/>
            </w:tcMar>
            <w:vAlign w:val="center"/>
          </w:tcPr>
          <w:p w14:paraId="6E827B20">
            <w:pPr>
              <w:jc w:val="center"/>
            </w:pPr>
            <w:r>
              <w:rPr>
                <w:rFonts w:ascii="Arial" w:hAnsi="Arial" w:eastAsia="Arial" w:cs="Arial"/>
                <w:b/>
                <w:bCs/>
                <w:color w:val="FFFFFF"/>
                <w:sz w:val="21"/>
                <w:szCs w:val="21"/>
              </w:rPr>
              <w:t>Count</w:t>
            </w:r>
          </w:p>
        </w:tc>
        <w:tc>
          <w:tcPr>
            <w:tcW w:w="3120" w:type="dxa"/>
            <w:tcBorders>
              <w:top w:val="single" w:color="CCCCCC" w:sz="0" w:space="0"/>
              <w:left w:val="single" w:color="CCCCCC" w:sz="0" w:space="0"/>
              <w:bottom w:val="single" w:color="CCCCCC" w:sz="0" w:space="0"/>
              <w:right w:val="single" w:color="CCCCCC" w:sz="0" w:space="0"/>
            </w:tcBorders>
            <w:shd w:val="clear" w:color="auto" w:fill="5C2D0A"/>
            <w:tcMar>
              <w:top w:w="100" w:type="dxa"/>
              <w:left w:w="150" w:type="dxa"/>
              <w:bottom w:w="100" w:type="dxa"/>
              <w:right w:w="150" w:type="dxa"/>
            </w:tcMar>
            <w:vAlign w:val="center"/>
          </w:tcPr>
          <w:p w14:paraId="4E4C2A27">
            <w:pPr>
              <w:jc w:val="center"/>
            </w:pPr>
            <w:r>
              <w:rPr>
                <w:rFonts w:ascii="Arial" w:hAnsi="Arial" w:eastAsia="Arial" w:cs="Arial"/>
                <w:b/>
                <w:bCs/>
                <w:color w:val="FFFFFF"/>
                <w:sz w:val="21"/>
                <w:szCs w:val="21"/>
              </w:rPr>
              <w:t>% Share</w:t>
            </w:r>
          </w:p>
        </w:tc>
      </w:tr>
      <w:tr w14:paraId="48D5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C62BF2F">
            <w:pPr>
              <w:jc w:val="center"/>
            </w:pPr>
            <w:r>
              <w:rPr>
                <w:rFonts w:ascii="Arial" w:hAnsi="Arial" w:eastAsia="Arial" w:cs="Arial"/>
                <w:b w:val="0"/>
                <w:bCs w:val="0"/>
                <w:color w:val="333333"/>
                <w:sz w:val="20"/>
                <w:szCs w:val="20"/>
              </w:rPr>
              <w:t>Delivered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FE64CFB">
            <w:pPr>
              <w:jc w:val="center"/>
            </w:pPr>
            <w:r>
              <w:rPr>
                <w:rFonts w:ascii="Arial" w:hAnsi="Arial" w:eastAsia="Arial" w:cs="Arial"/>
                <w:b w:val="0"/>
                <w:bCs w:val="0"/>
                <w:color w:val="333333"/>
                <w:sz w:val="20"/>
                <w:szCs w:val="20"/>
              </w:rPr>
              <w:t>4,138</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4A82BF7">
            <w:pPr>
              <w:jc w:val="center"/>
            </w:pPr>
            <w:r>
              <w:rPr>
                <w:rFonts w:ascii="Arial" w:hAnsi="Arial" w:eastAsia="Arial" w:cs="Arial"/>
                <w:b w:val="0"/>
                <w:bCs w:val="0"/>
                <w:color w:val="333333"/>
                <w:sz w:val="20"/>
                <w:szCs w:val="20"/>
              </w:rPr>
              <w:t>82.8%</w:t>
            </w:r>
          </w:p>
        </w:tc>
      </w:tr>
      <w:tr w14:paraId="154F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2499779B">
            <w:pPr>
              <w:jc w:val="center"/>
            </w:pPr>
            <w:r>
              <w:rPr>
                <w:rFonts w:ascii="Arial" w:hAnsi="Arial" w:eastAsia="Arial" w:cs="Arial"/>
                <w:b w:val="0"/>
                <w:bCs w:val="0"/>
                <w:color w:val="333333"/>
                <w:sz w:val="20"/>
                <w:szCs w:val="20"/>
              </w:rPr>
              <w:t>Shipped</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47C95DE0">
            <w:pPr>
              <w:jc w:val="center"/>
            </w:pPr>
            <w:r>
              <w:rPr>
                <w:rFonts w:ascii="Arial" w:hAnsi="Arial" w:eastAsia="Arial" w:cs="Arial"/>
                <w:b w:val="0"/>
                <w:bCs w:val="0"/>
                <w:color w:val="333333"/>
                <w:sz w:val="20"/>
                <w:szCs w:val="20"/>
              </w:rPr>
              <w:t>433</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5FFD034E">
            <w:pPr>
              <w:jc w:val="center"/>
            </w:pPr>
            <w:r>
              <w:rPr>
                <w:rFonts w:ascii="Arial" w:hAnsi="Arial" w:eastAsia="Arial" w:cs="Arial"/>
                <w:b w:val="0"/>
                <w:bCs w:val="0"/>
                <w:color w:val="333333"/>
                <w:sz w:val="20"/>
                <w:szCs w:val="20"/>
              </w:rPr>
              <w:t>8.7%</w:t>
            </w:r>
          </w:p>
        </w:tc>
      </w:tr>
      <w:tr w14:paraId="7B70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F29D199">
            <w:pPr>
              <w:jc w:val="center"/>
            </w:pPr>
            <w:r>
              <w:rPr>
                <w:rFonts w:ascii="Arial" w:hAnsi="Arial" w:eastAsia="Arial" w:cs="Arial"/>
                <w:b w:val="0"/>
                <w:bCs w:val="0"/>
                <w:color w:val="333333"/>
                <w:sz w:val="20"/>
                <w:szCs w:val="20"/>
              </w:rPr>
              <w:t>Cancelled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F2640B9">
            <w:pPr>
              <w:jc w:val="center"/>
            </w:pPr>
            <w:r>
              <w:rPr>
                <w:rFonts w:ascii="Arial" w:hAnsi="Arial" w:eastAsia="Arial" w:cs="Arial"/>
                <w:b w:val="0"/>
                <w:bCs w:val="0"/>
                <w:color w:val="333333"/>
                <w:sz w:val="20"/>
                <w:szCs w:val="20"/>
              </w:rPr>
              <w:t>227</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0F50FCE">
            <w:pPr>
              <w:jc w:val="center"/>
            </w:pPr>
            <w:r>
              <w:rPr>
                <w:rFonts w:ascii="Arial" w:hAnsi="Arial" w:eastAsia="Arial" w:cs="Arial"/>
                <w:b w:val="0"/>
                <w:bCs w:val="0"/>
                <w:color w:val="333333"/>
                <w:sz w:val="20"/>
                <w:szCs w:val="20"/>
              </w:rPr>
              <w:t>4.5%</w:t>
            </w:r>
          </w:p>
        </w:tc>
      </w:tr>
      <w:tr w14:paraId="7D10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29EDAD81">
            <w:pPr>
              <w:jc w:val="center"/>
            </w:pPr>
            <w:r>
              <w:rPr>
                <w:rFonts w:ascii="Arial" w:hAnsi="Arial" w:eastAsia="Arial" w:cs="Arial"/>
                <w:b w:val="0"/>
                <w:bCs w:val="0"/>
                <w:color w:val="333333"/>
                <w:sz w:val="20"/>
                <w:szCs w:val="20"/>
              </w:rPr>
              <w:t>Placed</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11C04A22">
            <w:pPr>
              <w:jc w:val="center"/>
            </w:pPr>
            <w:r>
              <w:rPr>
                <w:rFonts w:ascii="Arial" w:hAnsi="Arial" w:eastAsia="Arial" w:cs="Arial"/>
                <w:b w:val="0"/>
                <w:bCs w:val="0"/>
                <w:color w:val="333333"/>
                <w:sz w:val="20"/>
                <w:szCs w:val="20"/>
              </w:rPr>
              <w:t>200</w:t>
            </w:r>
          </w:p>
        </w:tc>
        <w:tc>
          <w:tcPr>
            <w:tcW w:w="3120" w:type="dxa"/>
            <w:tcBorders>
              <w:top w:val="single" w:color="CCCCCC" w:sz="0" w:space="0"/>
              <w:left w:val="single" w:color="CCCCCC" w:sz="0" w:space="0"/>
              <w:bottom w:val="single" w:color="CCCCCC" w:sz="0" w:space="0"/>
              <w:right w:val="single" w:color="CCCCCC" w:sz="0" w:space="0"/>
            </w:tcBorders>
            <w:shd w:val="clear" w:color="auto" w:fill="FAF0E6"/>
            <w:tcMar>
              <w:top w:w="100" w:type="dxa"/>
              <w:left w:w="150" w:type="dxa"/>
              <w:bottom w:w="100" w:type="dxa"/>
              <w:right w:w="150" w:type="dxa"/>
            </w:tcMar>
            <w:vAlign w:val="center"/>
          </w:tcPr>
          <w:p w14:paraId="4BFF9741">
            <w:pPr>
              <w:jc w:val="center"/>
            </w:pPr>
            <w:r>
              <w:rPr>
                <w:rFonts w:ascii="Arial" w:hAnsi="Arial" w:eastAsia="Arial" w:cs="Arial"/>
                <w:b w:val="0"/>
                <w:bCs w:val="0"/>
                <w:color w:val="333333"/>
                <w:sz w:val="20"/>
                <w:szCs w:val="20"/>
              </w:rPr>
              <w:t>4.0%</w:t>
            </w:r>
          </w:p>
        </w:tc>
      </w:tr>
    </w:tbl>
    <w:p w14:paraId="473F1BCA">
      <w:pPr>
        <w:spacing w:before="200" w:after="200"/>
      </w:pPr>
    </w:p>
    <w:p w14:paraId="179D2AA0">
      <w:pPr>
        <w:pStyle w:val="2"/>
        <w:pBdr>
          <w:bottom w:val="single" w:color="D2691E" w:sz="2" w:space="0"/>
        </w:pBdr>
        <w:shd w:val="clear" w:fill="5C2D0A"/>
        <w:spacing w:before="320" w:after="160"/>
        <w:ind w:left="200"/>
      </w:pPr>
      <w:r>
        <w:rPr>
          <w:rFonts w:ascii="Arial" w:hAnsi="Arial" w:eastAsia="Arial" w:cs="Arial"/>
          <w:b/>
          <w:bCs/>
          <w:color w:val="FFFFFF"/>
          <w:sz w:val="28"/>
          <w:szCs w:val="28"/>
        </w:rPr>
        <w:t>6. Product Performance Analysis</w:t>
      </w:r>
    </w:p>
    <w:p w14:paraId="143B94B1">
      <w:pPr>
        <w:spacing w:before="80" w:after="80"/>
      </w:pPr>
    </w:p>
    <w:p w14:paraId="561801E3">
      <w:pPr>
        <w:spacing w:before="60" w:after="120"/>
        <w:jc w:val="both"/>
      </w:pPr>
      <w:r>
        <w:rPr>
          <w:rFonts w:ascii="Arial" w:hAnsi="Arial" w:eastAsia="Arial" w:cs="Arial"/>
          <w:b w:val="0"/>
          <w:bCs w:val="0"/>
          <w:color w:val="333333"/>
          <w:sz w:val="22"/>
          <w:szCs w:val="22"/>
        </w:rPr>
        <w:t>Across 22 product SKUs, Orange Choco led with $1.86M in revenue, closely followed by Drinking Coco ($1.85M) and 99% Dark &amp; Pure ($1.85M). Revenue distribution across products is relatively even, suggesting a healthy and diversified product portfolio without over-reliance on a single SKU.</w:t>
      </w:r>
    </w:p>
    <w:p w14:paraId="6613D2F6">
      <w:pPr>
        <w:spacing w:before="80" w:after="80"/>
      </w:pPr>
    </w:p>
    <w:p w14:paraId="4768AEC2">
      <w:pPr>
        <w:spacing w:before="120" w:after="60"/>
        <w:jc w:val="center"/>
      </w:pPr>
      <w:r>
        <w:drawing>
          <wp:inline distT="0" distB="0" distL="0" distR="0">
            <wp:extent cx="542925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429250" cy="2571750"/>
                    </a:xfrm>
                    <a:prstGeom prst="rect">
                      <a:avLst/>
                    </a:prstGeom>
                  </pic:spPr>
                </pic:pic>
              </a:graphicData>
            </a:graphic>
          </wp:inline>
        </w:drawing>
      </w:r>
    </w:p>
    <w:p w14:paraId="3734AB4D">
      <w:pPr>
        <w:spacing w:before="0" w:after="160"/>
        <w:jc w:val="center"/>
      </w:pPr>
      <w:r>
        <w:rPr>
          <w:rFonts w:ascii="Arial" w:hAnsi="Arial" w:eastAsia="Arial" w:cs="Arial"/>
          <w:i/>
          <w:iCs/>
          <w:color w:val="666666"/>
          <w:sz w:val="18"/>
          <w:szCs w:val="18"/>
        </w:rPr>
        <w:t>Figure 5: Top 8 Products by Revenue</w:t>
      </w:r>
    </w:p>
    <w:p w14:paraId="3626EBBF">
      <w:pPr>
        <w:spacing w:before="0" w:after="0"/>
      </w:pPr>
      <w:r>
        <w:br w:type="page"/>
      </w:r>
    </w:p>
    <w:p w14:paraId="534BE19E">
      <w:pPr>
        <w:pStyle w:val="2"/>
        <w:pBdr>
          <w:bottom w:val="single" w:color="D2691E" w:sz="2" w:space="0"/>
        </w:pBdr>
        <w:shd w:val="clear" w:fill="5C2D0A"/>
        <w:spacing w:before="320" w:after="160"/>
        <w:ind w:left="200"/>
      </w:pPr>
      <w:r>
        <w:rPr>
          <w:rFonts w:ascii="Arial" w:hAnsi="Arial" w:eastAsia="Arial" w:cs="Arial"/>
          <w:b/>
          <w:bCs/>
          <w:color w:val="FFFFFF"/>
          <w:sz w:val="28"/>
          <w:szCs w:val="28"/>
        </w:rPr>
        <w:t>7. Key Findings &amp; Conclusions</w:t>
      </w:r>
    </w:p>
    <w:p w14:paraId="1D444ADB">
      <w:pPr>
        <w:spacing w:before="100" w:after="100"/>
      </w:pPr>
    </w:p>
    <w:p w14:paraId="34C7CBE1">
      <w:pPr>
        <w:pStyle w:val="3"/>
        <w:pBdr>
          <w:bottom w:val="single" w:color="D2691E" w:sz="2" w:space="4"/>
        </w:pBdr>
        <w:spacing w:before="240" w:after="120"/>
      </w:pPr>
      <w:r>
        <w:rPr>
          <w:rFonts w:ascii="Arial" w:hAnsi="Arial" w:eastAsia="Arial" w:cs="Arial"/>
          <w:b/>
          <w:bCs/>
          <w:color w:val="5C2D0A"/>
          <w:sz w:val="24"/>
          <w:szCs w:val="24"/>
        </w:rPr>
        <w:t>Geographic Insights</w:t>
      </w:r>
    </w:p>
    <w:p w14:paraId="47BA8A0A">
      <w:pPr>
        <w:pStyle w:val="16"/>
        <w:numPr>
          <w:ilvl w:val="0"/>
          <w:numId w:val="1"/>
        </w:numPr>
        <w:spacing w:before="40" w:after="40"/>
      </w:pPr>
      <w:r>
        <w:rPr>
          <w:rFonts w:ascii="Arial" w:hAnsi="Arial" w:eastAsia="Arial" w:cs="Arial"/>
          <w:color w:val="333333"/>
          <w:sz w:val="22"/>
          <w:szCs w:val="22"/>
        </w:rPr>
        <w:t>The UK and USA together generate 49.8% of total revenue; marketing investments in these regions should be maintained and expanded.</w:t>
      </w:r>
    </w:p>
    <w:p w14:paraId="39530DDA">
      <w:pPr>
        <w:pStyle w:val="16"/>
        <w:numPr>
          <w:ilvl w:val="0"/>
          <w:numId w:val="1"/>
        </w:numPr>
        <w:spacing w:before="40" w:after="40"/>
      </w:pPr>
      <w:r>
        <w:rPr>
          <w:rFonts w:ascii="Arial" w:hAnsi="Arial" w:eastAsia="Arial" w:cs="Arial"/>
          <w:color w:val="333333"/>
          <w:sz w:val="22"/>
          <w:szCs w:val="22"/>
        </w:rPr>
        <w:t>India at $4.58M is the strongest emerging market and may benefit from targeted campaigns.</w:t>
      </w:r>
    </w:p>
    <w:p w14:paraId="5C21124A">
      <w:pPr>
        <w:pStyle w:val="16"/>
        <w:numPr>
          <w:ilvl w:val="0"/>
          <w:numId w:val="1"/>
        </w:numPr>
        <w:spacing w:before="40" w:after="40"/>
      </w:pPr>
      <w:r>
        <w:rPr>
          <w:rFonts w:ascii="Arial" w:hAnsi="Arial" w:eastAsia="Arial" w:cs="Arial"/>
          <w:color w:val="333333"/>
          <w:sz w:val="22"/>
          <w:szCs w:val="22"/>
        </w:rPr>
        <w:t>Australia and New Zealand show similar performance (~$3.1M each), suggesting growth opportunity with differentiated strategies.</w:t>
      </w:r>
    </w:p>
    <w:p w14:paraId="0E60402C">
      <w:pPr>
        <w:spacing w:before="100" w:after="100"/>
      </w:pPr>
    </w:p>
    <w:p w14:paraId="54C8C914">
      <w:pPr>
        <w:pStyle w:val="3"/>
        <w:pBdr>
          <w:bottom w:val="single" w:color="D2691E" w:sz="2" w:space="4"/>
        </w:pBdr>
        <w:spacing w:before="240" w:after="120"/>
      </w:pPr>
      <w:r>
        <w:rPr>
          <w:rFonts w:ascii="Arial" w:hAnsi="Arial" w:eastAsia="Arial" w:cs="Arial"/>
          <w:b/>
          <w:bCs/>
          <w:color w:val="5C2D0A"/>
          <w:sz w:val="24"/>
          <w:szCs w:val="24"/>
        </w:rPr>
        <w:t>Sales Team Performance</w:t>
      </w:r>
    </w:p>
    <w:p w14:paraId="25F33F81">
      <w:pPr>
        <w:pStyle w:val="16"/>
        <w:numPr>
          <w:ilvl w:val="0"/>
          <w:numId w:val="1"/>
        </w:numPr>
        <w:spacing w:before="40" w:after="40"/>
      </w:pPr>
      <w:r>
        <w:rPr>
          <w:rFonts w:ascii="Arial" w:hAnsi="Arial" w:eastAsia="Arial" w:cs="Arial"/>
          <w:color w:val="333333"/>
          <w:sz w:val="22"/>
          <w:szCs w:val="22"/>
        </w:rPr>
        <w:t>Top 5 representatives account for ~32% of total revenue; performance incentive programs should be aligned to retain these individuals.</w:t>
      </w:r>
    </w:p>
    <w:p w14:paraId="36D41099">
      <w:pPr>
        <w:pStyle w:val="16"/>
        <w:numPr>
          <w:ilvl w:val="0"/>
          <w:numId w:val="1"/>
        </w:numPr>
        <w:spacing w:before="40" w:after="40"/>
      </w:pPr>
      <w:r>
        <w:rPr>
          <w:rFonts w:ascii="Arial" w:hAnsi="Arial" w:eastAsia="Arial" w:cs="Arial"/>
          <w:color w:val="333333"/>
          <w:sz w:val="22"/>
          <w:szCs w:val="22"/>
        </w:rPr>
        <w:t>The wide performance gap between top and average performers suggests training and coaching opportunities for the broader team.</w:t>
      </w:r>
    </w:p>
    <w:p w14:paraId="454EE543">
      <w:pPr>
        <w:spacing w:before="100" w:after="100"/>
      </w:pPr>
    </w:p>
    <w:p w14:paraId="53379FEB">
      <w:pPr>
        <w:pStyle w:val="3"/>
        <w:pBdr>
          <w:bottom w:val="single" w:color="D2691E" w:sz="2" w:space="4"/>
        </w:pBdr>
        <w:spacing w:before="240" w:after="120"/>
      </w:pPr>
      <w:r>
        <w:rPr>
          <w:rFonts w:ascii="Arial" w:hAnsi="Arial" w:eastAsia="Arial" w:cs="Arial"/>
          <w:b/>
          <w:bCs/>
          <w:color w:val="5C2D0A"/>
          <w:sz w:val="24"/>
          <w:szCs w:val="24"/>
        </w:rPr>
        <w:t>Product &amp; Operations</w:t>
      </w:r>
    </w:p>
    <w:p w14:paraId="431A2ECC">
      <w:pPr>
        <w:pStyle w:val="16"/>
        <w:numPr>
          <w:ilvl w:val="0"/>
          <w:numId w:val="1"/>
        </w:numPr>
        <w:spacing w:before="40" w:after="40"/>
      </w:pPr>
      <w:r>
        <w:rPr>
          <w:rFonts w:ascii="Arial" w:hAnsi="Arial" w:eastAsia="Arial" w:cs="Arial"/>
          <w:color w:val="333333"/>
          <w:sz w:val="22"/>
          <w:szCs w:val="22"/>
        </w:rPr>
        <w:t>The 4.5% cancellation rate represents $1.36M in lost revenue — a supply chain or customer satisfaction improvement initiative is recommended.</w:t>
      </w:r>
    </w:p>
    <w:p w14:paraId="1ACC684B">
      <w:pPr>
        <w:pStyle w:val="16"/>
        <w:numPr>
          <w:ilvl w:val="0"/>
          <w:numId w:val="1"/>
        </w:numPr>
        <w:spacing w:before="40" w:after="40"/>
      </w:pPr>
      <w:r>
        <w:rPr>
          <w:rFonts w:ascii="Arial" w:hAnsi="Arial" w:eastAsia="Arial" w:cs="Arial"/>
          <w:color w:val="333333"/>
          <w:sz w:val="22"/>
          <w:szCs w:val="22"/>
        </w:rPr>
        <w:t>No single product dominates, indicating a balanced portfolio; however, Orange Choco and Drinking Coco are standout performers and merit increased stock allocation.</w:t>
      </w:r>
    </w:p>
    <w:p w14:paraId="31986FB3">
      <w:pPr>
        <w:pStyle w:val="16"/>
        <w:numPr>
          <w:ilvl w:val="0"/>
          <w:numId w:val="1"/>
        </w:numPr>
        <w:spacing w:before="40" w:after="40"/>
      </w:pPr>
      <w:r>
        <w:rPr>
          <w:rFonts w:ascii="Arial" w:hAnsi="Arial" w:eastAsia="Arial" w:cs="Arial"/>
          <w:color w:val="333333"/>
          <w:sz w:val="22"/>
          <w:szCs w:val="22"/>
        </w:rPr>
        <w:t>Seasonal trend analysis reveals mid-year peaks — promotional events aligned with these periods can maximize revenue.</w:t>
      </w:r>
    </w:p>
    <w:p w14:paraId="2504FEA6">
      <w:pPr>
        <w:spacing w:before="120" w:after="120"/>
      </w:pPr>
    </w:p>
    <w:p w14:paraId="561B637E">
      <w:pPr>
        <w:pStyle w:val="2"/>
        <w:pBdr>
          <w:bottom w:val="single" w:color="D2691E" w:sz="2" w:space="0"/>
        </w:pBdr>
        <w:shd w:val="clear" w:fill="5C2D0A"/>
        <w:spacing w:before="320" w:after="160"/>
        <w:ind w:left="200"/>
      </w:pPr>
      <w:r>
        <w:rPr>
          <w:rFonts w:ascii="Arial" w:hAnsi="Arial" w:eastAsia="Arial" w:cs="Arial"/>
          <w:b/>
          <w:bCs/>
          <w:color w:val="FFFFFF"/>
          <w:sz w:val="28"/>
          <w:szCs w:val="28"/>
        </w:rPr>
        <w:t>8. Recommendations</w:t>
      </w:r>
    </w:p>
    <w:p w14:paraId="57E41F6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24D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5C2D0A"/>
            <w:tcMar>
              <w:top w:w="80" w:type="dxa"/>
              <w:left w:w="140" w:type="dxa"/>
              <w:bottom w:w="80" w:type="dxa"/>
              <w:right w:w="140" w:type="dxa"/>
            </w:tcMar>
          </w:tcPr>
          <w:p w14:paraId="44DB9830">
            <w:pPr>
              <w:jc w:val="left"/>
            </w:pPr>
            <w:r>
              <w:rPr>
                <w:rFonts w:ascii="Arial" w:hAnsi="Arial" w:eastAsia="Arial" w:cs="Arial"/>
                <w:b/>
                <w:bCs/>
                <w:color w:val="FFFFFF"/>
                <w:sz w:val="21"/>
                <w:szCs w:val="21"/>
              </w:rPr>
              <w:t>Priority Area</w:t>
            </w:r>
          </w:p>
        </w:tc>
        <w:tc>
          <w:tcPr>
            <w:tcW w:w="4680" w:type="dxa"/>
            <w:tcBorders>
              <w:top w:val="single" w:color="CCCCCC" w:sz="0" w:space="0"/>
              <w:left w:val="single" w:color="CCCCCC" w:sz="0" w:space="0"/>
              <w:bottom w:val="single" w:color="CCCCCC" w:sz="0" w:space="0"/>
              <w:right w:val="single" w:color="CCCCCC" w:sz="0" w:space="0"/>
            </w:tcBorders>
            <w:shd w:val="clear" w:color="auto" w:fill="5C2D0A"/>
            <w:tcMar>
              <w:top w:w="80" w:type="dxa"/>
              <w:left w:w="140" w:type="dxa"/>
              <w:bottom w:w="80" w:type="dxa"/>
              <w:right w:w="140" w:type="dxa"/>
            </w:tcMar>
          </w:tcPr>
          <w:p w14:paraId="0331EE5E">
            <w:pPr>
              <w:jc w:val="right"/>
            </w:pPr>
            <w:r>
              <w:rPr>
                <w:rFonts w:ascii="Arial" w:hAnsi="Arial" w:eastAsia="Arial" w:cs="Arial"/>
                <w:b/>
                <w:bCs/>
                <w:color w:val="FFFFFF"/>
                <w:sz w:val="21"/>
                <w:szCs w:val="21"/>
              </w:rPr>
              <w:t>Recommendation</w:t>
            </w:r>
          </w:p>
        </w:tc>
      </w:tr>
      <w:tr w14:paraId="54636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D519ACC">
            <w:pPr>
              <w:jc w:val="left"/>
            </w:pPr>
            <w:r>
              <w:rPr>
                <w:rFonts w:ascii="Arial" w:hAnsi="Arial" w:eastAsia="Arial" w:cs="Arial"/>
                <w:b/>
                <w:bCs/>
                <w:color w:val="5C2D0A"/>
                <w:sz w:val="20"/>
                <w:szCs w:val="20"/>
              </w:rPr>
              <w:t>Market Expansion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11A2B4">
            <w:pPr>
              <w:jc w:val="right"/>
            </w:pPr>
            <w:r>
              <w:rPr>
                <w:rFonts w:ascii="Arial" w:hAnsi="Arial" w:eastAsia="Arial" w:cs="Arial"/>
                <w:b w:val="0"/>
                <w:bCs w:val="0"/>
                <w:color w:val="333333"/>
                <w:sz w:val="20"/>
                <w:szCs w:val="20"/>
              </w:rPr>
              <w:t>Double down on UK &amp; USA; invest in India growth initiatives</w:t>
            </w:r>
          </w:p>
        </w:tc>
      </w:tr>
      <w:tr w14:paraId="5EFA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09688125">
            <w:pPr>
              <w:jc w:val="left"/>
            </w:pPr>
            <w:r>
              <w:rPr>
                <w:rFonts w:ascii="Arial" w:hAnsi="Arial" w:eastAsia="Arial" w:cs="Arial"/>
                <w:b/>
                <w:bCs/>
                <w:color w:val="5C2D0A"/>
                <w:sz w:val="20"/>
                <w:szCs w:val="20"/>
              </w:rPr>
              <w:t>Sales Incentives</w:t>
            </w:r>
          </w:p>
        </w:tc>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61E09B05">
            <w:pPr>
              <w:jc w:val="right"/>
            </w:pPr>
            <w:r>
              <w:rPr>
                <w:rFonts w:ascii="Arial" w:hAnsi="Arial" w:eastAsia="Arial" w:cs="Arial"/>
                <w:b w:val="0"/>
                <w:bCs w:val="0"/>
                <w:color w:val="333333"/>
                <w:sz w:val="20"/>
                <w:szCs w:val="20"/>
              </w:rPr>
              <w:t>Introduce tiered bonus programs for top-quartile performers</w:t>
            </w:r>
          </w:p>
        </w:tc>
      </w:tr>
      <w:tr w14:paraId="27058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2CDE69">
            <w:pPr>
              <w:jc w:val="left"/>
            </w:pPr>
            <w:r>
              <w:rPr>
                <w:rFonts w:ascii="Arial" w:hAnsi="Arial" w:eastAsia="Arial" w:cs="Arial"/>
                <w:b/>
                <w:bCs/>
                <w:color w:val="5C2D0A"/>
                <w:sz w:val="20"/>
                <w:szCs w:val="20"/>
              </w:rPr>
              <w:t>Cancellations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B0DD9E">
            <w:pPr>
              <w:jc w:val="right"/>
            </w:pPr>
            <w:r>
              <w:rPr>
                <w:rFonts w:ascii="Arial" w:hAnsi="Arial" w:eastAsia="Arial" w:cs="Arial"/>
                <w:b w:val="0"/>
                <w:bCs w:val="0"/>
                <w:color w:val="333333"/>
                <w:sz w:val="20"/>
                <w:szCs w:val="20"/>
              </w:rPr>
              <w:t>Audit and resolve root causes of 227 cancelled orders</w:t>
            </w:r>
          </w:p>
        </w:tc>
      </w:tr>
      <w:tr w14:paraId="6507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279A4605">
            <w:pPr>
              <w:jc w:val="left"/>
            </w:pPr>
            <w:r>
              <w:rPr>
                <w:rFonts w:ascii="Arial" w:hAnsi="Arial" w:eastAsia="Arial" w:cs="Arial"/>
                <w:b/>
                <w:bCs/>
                <w:color w:val="5C2D0A"/>
                <w:sz w:val="20"/>
                <w:szCs w:val="20"/>
              </w:rPr>
              <w:t>Inventory Planning</w:t>
            </w:r>
          </w:p>
        </w:tc>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76E32AA4">
            <w:pPr>
              <w:jc w:val="right"/>
            </w:pPr>
            <w:r>
              <w:rPr>
                <w:rFonts w:ascii="Arial" w:hAnsi="Arial" w:eastAsia="Arial" w:cs="Arial"/>
                <w:b w:val="0"/>
                <w:bCs w:val="0"/>
                <w:color w:val="333333"/>
                <w:sz w:val="20"/>
                <w:szCs w:val="20"/>
              </w:rPr>
              <w:t>Increase stock for Orange Choco and Drinking Coco SKUs</w:t>
            </w:r>
          </w:p>
        </w:tc>
      </w:tr>
      <w:tr w14:paraId="3980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8DC7D30">
            <w:pPr>
              <w:jc w:val="left"/>
            </w:pPr>
            <w:r>
              <w:rPr>
                <w:rFonts w:ascii="Arial" w:hAnsi="Arial" w:eastAsia="Arial" w:cs="Arial"/>
                <w:b/>
                <w:bCs/>
                <w:color w:val="5C2D0A"/>
                <w:sz w:val="20"/>
                <w:szCs w:val="20"/>
              </w:rPr>
              <w:t>Dashboard Usage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660B07">
            <w:pPr>
              <w:jc w:val="right"/>
            </w:pPr>
            <w:r>
              <w:rPr>
                <w:rFonts w:ascii="Arial" w:hAnsi="Arial" w:eastAsia="Arial" w:cs="Arial"/>
                <w:b w:val="0"/>
                <w:bCs w:val="0"/>
                <w:color w:val="333333"/>
                <w:sz w:val="20"/>
                <w:szCs w:val="20"/>
              </w:rPr>
              <w:t>Leverage L-2.pbix Power BI dashboard for monthly reviews</w:t>
            </w:r>
          </w:p>
        </w:tc>
      </w:tr>
      <w:tr w14:paraId="3811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20EC4697">
            <w:pPr>
              <w:jc w:val="left"/>
            </w:pPr>
            <w:r>
              <w:rPr>
                <w:rFonts w:ascii="Arial" w:hAnsi="Arial" w:eastAsia="Arial" w:cs="Arial"/>
                <w:b/>
                <w:bCs/>
                <w:color w:val="5C2D0A"/>
                <w:sz w:val="20"/>
                <w:szCs w:val="20"/>
              </w:rPr>
              <w:t>Seasonal Strategy</w:t>
            </w:r>
          </w:p>
        </w:tc>
        <w:tc>
          <w:tcPr>
            <w:tcW w:w="4680" w:type="dxa"/>
            <w:tcBorders>
              <w:top w:val="single" w:color="CCCCCC" w:sz="0" w:space="0"/>
              <w:left w:val="single" w:color="CCCCCC" w:sz="0" w:space="0"/>
              <w:bottom w:val="single" w:color="CCCCCC" w:sz="0" w:space="0"/>
              <w:right w:val="single" w:color="CCCCCC" w:sz="0" w:space="0"/>
            </w:tcBorders>
            <w:shd w:val="clear" w:color="auto" w:fill="FAF0E6"/>
            <w:tcMar>
              <w:top w:w="80" w:type="dxa"/>
              <w:left w:w="140" w:type="dxa"/>
              <w:bottom w:w="80" w:type="dxa"/>
              <w:right w:w="140" w:type="dxa"/>
            </w:tcMar>
          </w:tcPr>
          <w:p w14:paraId="4F9F803C">
            <w:pPr>
              <w:jc w:val="right"/>
            </w:pPr>
            <w:r>
              <w:rPr>
                <w:rFonts w:ascii="Arial" w:hAnsi="Arial" w:eastAsia="Arial" w:cs="Arial"/>
                <w:b w:val="0"/>
                <w:bCs w:val="0"/>
                <w:color w:val="333333"/>
                <w:sz w:val="20"/>
                <w:szCs w:val="20"/>
              </w:rPr>
              <w:t>Launch promotions aligned with identified monthly peaks</w:t>
            </w:r>
          </w:p>
        </w:tc>
      </w:tr>
    </w:tbl>
    <w:p w14:paraId="3969BD5C">
      <w:pPr>
        <w:spacing w:before="180" w:after="180"/>
      </w:pPr>
    </w:p>
    <w:p w14:paraId="12DB4601">
      <w:pPr>
        <w:pStyle w:val="2"/>
        <w:pBdr>
          <w:bottom w:val="single" w:color="D2691E" w:sz="2" w:space="0"/>
        </w:pBdr>
        <w:shd w:val="clear" w:fill="5C2D0A"/>
        <w:spacing w:before="320" w:after="160"/>
        <w:ind w:left="200"/>
      </w:pPr>
      <w:r>
        <w:rPr>
          <w:rFonts w:ascii="Arial" w:hAnsi="Arial" w:eastAsia="Arial" w:cs="Arial"/>
          <w:b/>
          <w:bCs/>
          <w:color w:val="FFFFFF"/>
          <w:sz w:val="28"/>
          <w:szCs w:val="28"/>
        </w:rPr>
        <w:t>9. Appendix — About the Data Files</w:t>
      </w:r>
    </w:p>
    <w:p w14:paraId="4FDDCE2D">
      <w:pPr>
        <w:spacing w:before="80" w:after="80"/>
      </w:pPr>
    </w:p>
    <w:p w14:paraId="7797808F">
      <w:pPr>
        <w:spacing w:before="60" w:after="120"/>
        <w:jc w:val="both"/>
      </w:pPr>
      <w:r>
        <w:rPr>
          <w:rFonts w:ascii="Arial" w:hAnsi="Arial" w:eastAsia="Arial" w:cs="Arial"/>
          <w:b w:val="0"/>
          <w:bCs w:val="0"/>
          <w:color w:val="333333"/>
          <w:sz w:val="22"/>
          <w:szCs w:val="22"/>
        </w:rPr>
        <w:t>Sample Chocolate Sales Data (xlsx): Contains 4,998 rows and 7 columns. Fields include Sales Person, Product, Country, Date (Jan 2023–Sep 2024), Amount (USD), Boxes shipped, and Order Status. All analysis in this report is derived directly from this dataset.</w:t>
      </w:r>
    </w:p>
    <w:p w14:paraId="04E50554">
      <w:pPr>
        <w:spacing w:before="80" w:after="80"/>
      </w:pPr>
    </w:p>
    <w:p w14:paraId="63B26055">
      <w:pPr>
        <w:spacing w:before="60" w:after="120"/>
        <w:jc w:val="both"/>
      </w:pPr>
      <w:r>
        <w:rPr>
          <w:rFonts w:ascii="Arial" w:hAnsi="Arial" w:eastAsia="Arial" w:cs="Arial"/>
          <w:b w:val="0"/>
          <w:bCs w:val="0"/>
          <w:color w:val="333333"/>
          <w:sz w:val="22"/>
          <w:szCs w:val="22"/>
        </w:rPr>
        <w:t>L-2.pbix (Power BI File): This file is a Power BI Desktop report designed for interactive visualization of the chocolate sales dataset. It includes charts, filters, and KPI cards linked to the Excel data. Note: The PBIX file requires Microsoft Power BI Desktop to open and is not independently readable without the application. All visual insights it provides are reflected in the charts and tables of this report.</w:t>
      </w:r>
    </w:p>
    <w:p w14:paraId="460710CB">
      <w:pPr>
        <w:spacing w:before="80" w:after="80"/>
      </w:pPr>
    </w:p>
    <w:p w14:paraId="302DB822">
      <w:pPr>
        <w:spacing w:before="200"/>
        <w:jc w:val="center"/>
      </w:pPr>
      <w:bookmarkStart w:id="0" w:name="_GoBack"/>
      <w:bookmarkEnd w:id="0"/>
    </w:p>
    <w:sectPr>
      <w:head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88E84">
    <w:pPr>
      <w:pBdr>
        <w:bottom w:val="single" w:color="D2691E" w:sz="2" w:space="4"/>
      </w:pBdr>
      <w:spacing w:after="200"/>
    </w:pPr>
    <w:r>
      <w:rPr>
        <w:rFonts w:ascii="Arial" w:hAnsi="Arial" w:eastAsia="Arial" w:cs="Arial"/>
        <w:b/>
        <w:bCs/>
        <w:color w:val="5C2D0A"/>
        <w:sz w:val="18"/>
        <w:szCs w:val="18"/>
      </w:rPr>
      <w:t>Chocolate Sales Analytics — Project Report</w:t>
    </w:r>
    <w:r>
      <w:rPr>
        <w:rFonts w:ascii="Arial" w:hAnsi="Arial" w:eastAsia="Arial" w:cs="Arial"/>
        <w:color w:val="999999"/>
        <w:sz w:val="18"/>
        <w:szCs w:val="18"/>
      </w:rPr>
      <w:t xml:space="preserve">   |   Page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before="40" w:after="40"/>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ompat>
    <w:compatSetting w:name="compatibilityMode" w:uri="http://schemas.microsoft.com/office/word" w:val="15"/>
  </w:compat>
  <w:rsids>
    <w:rsidRoot w:val="00000000"/>
    <w:rsid w:val="4F757B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FFFFFF"/>
      <w:sz w:val="28"/>
      <w:szCs w:val="28"/>
    </w:rPr>
  </w:style>
  <w:style w:type="paragraph" w:styleId="3">
    <w:name w:val="heading 2"/>
    <w:next w:val="1"/>
    <w:qFormat/>
    <w:uiPriority w:val="0"/>
    <w:pPr>
      <w:spacing w:before="240" w:after="120"/>
      <w:outlineLvl w:val="1"/>
    </w:pPr>
    <w:rPr>
      <w:rFonts w:ascii="Arial" w:hAnsi="Arial" w:eastAsia="Arial" w:cs="Arial"/>
      <w:b/>
      <w:bCs/>
      <w:color w:val="5C2D0A"/>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2026-04-18T03:59:00Z</dcterms:created>
  <dc:creator>Un-named</dc:creator>
  <cp:lastModifiedBy>Aditya kumar Parashar</cp:lastModifiedBy>
  <dcterms:modified xsi:type="dcterms:W3CDTF">2026-04-18T04:01:47Z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E6C8BE8401C34004B9A7FEE8C18A446B_12</vt:lpwstr>
  </property>
</Properties>
</file>