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Segoe UI" w:hAnsi="Segoe UI"/>
          <w:b/>
          <w:color w:val="1B365D"/>
          <w:sz w:val="44"/>
        </w:rPr>
        <w:t>PROJECT FORESIGHT — COMPREHENSIVE TECHNICAL &amp; BUSINESS REPORT</w:t>
      </w: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AI-Powered Demand Forecasting &amp; Working Capital Risk Intelligence Platform</w:t>
      </w:r>
    </w:p>
    <w:p>
      <w:pPr>
        <w:spacing w:before="120" w:after="120"/>
        <w:pBdr>
          <w:bottom w:val="single" w:sz="6" w:space="1" w:color="D0D7DE"/>
        </w:pBdr>
      </w:pP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Client / Engagement: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NorthBay Living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Program: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Zidio Development — Senior Data Science &amp; Supply Chain Intelligence Project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Author: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Adityaraj Suman (Lead Data Scientist &amp; ML Engineer)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Version: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1.0.0 (Production Certified)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Date: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October 2026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Repository: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[GitHub — ADITYA-tp01/FORESIGHT-AI-Powered-Demand-Inventory-Intelligence-Platform](https://github.com/ADITYA-tp01/FORESIGHT-AI-Powered-Demand-Inventory-Intelligence-Platform)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Live Production Application: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[Streamlit Cloud Dashboard](https://foresight-ai-powered-demand-inventory-intelligence-platform.streamlit.app)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TABLE OF CONTENTS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[Executive Summary &amp; High-Impact Outcomes](#1-executive-summary--high-impact-outcomes)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[Business Problem &amp; Strategic Context](#2-business-problem--strategic-context)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[Architectural Governance &amp; Non-Negotiable Rules](#3-architectural-governance--non-negotiable-rules)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[Data Ingestion, Auditing &amp; Unit Reconciliation (Phase 0 &amp; 1)](#4-data-ingestion-auditing--unit-reconciliation-phase-0--1)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[Exploratory Data Analysis &amp; Catalog Segmentation (Phase 2)](#5-exploratory-data-analysis--catalog-segmentation-phase-2)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[Benchmarking Methodology: The 3-Tier Seasonal-Naive Baseline](#6-benchmarking-methodology-the-3-tier-seasonal-naive-baseline)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[Machine Learning Forecasting Engine (Phase 3)](#7-machine-learning-forecasting-engine-phase-3)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[Inventory Decisioning &amp; Rupee Exposure Matrix (Phase 4)](#8-inventory-decisioning--rupee-exposure-matrix-phase-4)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[Enterprise Microservices &amp; User Interfaces (Phase 5 &amp; 6)](#9-enterprise-microservices--user-interfaces-phase-5--6)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[Automated Quality Assurance &amp; Verification Audit](#10-automated-quality-assurance--verification-audit)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[Operational Deployment &amp; Buyer Handoff Strategy](#11-operational-deployment--buyer-handoff-strategy)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[Limitations, Assumptions &amp; Long-Term Roadmap](#12-limitations-assumptions--long-term-roadmap)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1. Executive Summary &amp; High-Impact Outcomes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1.1 Project Objective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Project FORESIGHT</w:t>
      </w:r>
      <w:r>
        <w:rPr>
          <w:rFonts w:ascii="Segoe UI" w:hAnsi="Segoe UI"/>
          <w:b w:val="0"/>
          <w:i w:val="0"/>
          <w:color w:val="282C34"/>
          <w:sz w:val="20"/>
        </w:rPr>
        <w:t xml:space="preserve"> is an enterprise-grade demand forecasting and inventory-risk intelligence platform engineered for </w:t>
      </w:r>
      <w:r>
        <w:rPr>
          <w:rFonts w:ascii="Segoe UI" w:hAnsi="Segoe UI"/>
          <w:b/>
          <w:i w:val="0"/>
          <w:color w:val="282C34"/>
          <w:sz w:val="20"/>
        </w:rPr>
        <w:t>NorthBay Living</w:t>
      </w:r>
      <w:r>
        <w:rPr>
          <w:rFonts w:ascii="Segoe UI" w:hAnsi="Segoe UI"/>
          <w:b w:val="0"/>
          <w:i w:val="0"/>
          <w:color w:val="282C34"/>
          <w:sz w:val="20"/>
        </w:rPr>
        <w:t xml:space="preserve">, a large multi-channel retail network in Pakistan operating </w:t>
      </w:r>
      <w:r>
        <w:rPr>
          <w:rFonts w:ascii="Segoe UI" w:hAnsi="Segoe UI"/>
          <w:b/>
          <w:i w:val="0"/>
          <w:color w:val="282C34"/>
          <w:sz w:val="20"/>
        </w:rPr>
        <w:t>5,000 SKUs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across </w:t>
      </w:r>
      <w:r>
        <w:rPr>
          <w:rFonts w:ascii="Segoe UI" w:hAnsi="Segoe UI"/>
          <w:b/>
          <w:i w:val="0"/>
          <w:color w:val="282C34"/>
          <w:sz w:val="20"/>
        </w:rPr>
        <w:t>12 merchandise categories</w:t>
      </w:r>
      <w:r>
        <w:rPr>
          <w:rFonts w:ascii="Segoe UI" w:hAnsi="Segoe UI"/>
          <w:b w:val="0"/>
          <w:i w:val="0"/>
          <w:color w:val="282C34"/>
          <w:sz w:val="20"/>
        </w:rPr>
        <w:t xml:space="preserve">, </w:t>
      </w:r>
      <w:r>
        <w:rPr>
          <w:rFonts w:ascii="Segoe UI" w:hAnsi="Segoe UI"/>
          <w:b/>
          <w:i w:val="0"/>
          <w:color w:val="282C34"/>
          <w:sz w:val="20"/>
        </w:rPr>
        <w:t>30 stores</w:t>
      </w:r>
      <w:r>
        <w:rPr>
          <w:rFonts w:ascii="Segoe UI" w:hAnsi="Segoe UI"/>
          <w:b w:val="0"/>
          <w:i w:val="0"/>
          <w:color w:val="282C34"/>
          <w:sz w:val="20"/>
        </w:rPr>
        <w:t xml:space="preserve">, and </w:t>
      </w:r>
      <w:r>
        <w:rPr>
          <w:rFonts w:ascii="Segoe UI" w:hAnsi="Segoe UI"/>
          <w:b/>
          <w:i w:val="0"/>
          <w:color w:val="282C34"/>
          <w:sz w:val="20"/>
        </w:rPr>
        <w:t>9.95 million transactions</w:t>
      </w:r>
      <w:r>
        <w:rPr>
          <w:rFonts w:ascii="Segoe UI" w:hAnsi="Segoe UI"/>
          <w:b w:val="0"/>
          <w:i w:val="0"/>
          <w:color w:val="282C34"/>
          <w:sz w:val="20"/>
        </w:rPr>
        <w:t xml:space="preserve"> (~801 MB raw data).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The primary business directive was to eliminate gut-feel replenishment, curb devastating stockouts, release locked working capital trapped in dead stock, and deliver an audit-defensible ML platform that outperforms standard retail baselines while providing real-time software decision tools for both operations and executive finance.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1.2 Executive Scorecard &amp; Validated Results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Every metric and financial figure in this report is programmatically derived from reproducible pipeline runs and verified against ground-truth evaluation keys without synthetic data fabrication: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Strategic Dimension</w:t>
            </w:r>
          </w:p>
        </w:tc>
        <w:tc>
          <w:tcPr>
            <w:tcW w:type="dxa" w:w="248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Baseline / Heuristic</w:t>
            </w:r>
          </w:p>
        </w:tc>
        <w:tc>
          <w:tcPr>
            <w:tcW w:type="dxa" w:w="248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Project FORESIGHT ML</w:t>
            </w:r>
          </w:p>
        </w:tc>
        <w:tc>
          <w:tcPr>
            <w:tcW w:type="dxa" w:w="248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Business &amp; Financial Impact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Demand Forecast Accuracy (WAPE)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37.76% (Seasonal-Naive $t-52$)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30.81%</w:t>
            </w:r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 xml:space="preserve"> (Global HGB)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-18.39% Relative Error Reduction</w:t>
            </w:r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 xml:space="preserve"> across catalog</w:t>
            </w:r>
          </w:p>
        </w:tc>
      </w:tr>
      <w:tr>
        <w:trPr>
          <w:cantSplit/>
        </w:trPr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Backtest Cross-Validation Consistency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N/A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3 out of 3 Folds Won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Consistent outperformance across all temporal backtests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80% Prediction Interval Coverage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N/A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77.63%</w:t>
            </w:r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 xml:space="preserve"> empirical coverage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Highly reliable bounds for dynamic safety stock buffers</w:t>
            </w:r>
          </w:p>
        </w:tc>
      </w:tr>
      <w:tr>
        <w:trPr>
          <w:cantSplit/>
        </w:trPr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Stockout Risk Identification Recall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Rule-of-thumb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86.5%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Target $\ge 85.0\%$ Met</w:t>
            </w:r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 xml:space="preserve"> against ground-truth anomalies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Store Outage Detection Coverage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Fragmented audit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100% Coverage</w:t>
            </w:r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 xml:space="preserve"> (2,703 / 2,703)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All historical store-SKU stockout pairs captured</w:t>
            </w:r>
          </w:p>
        </w:tc>
      </w:tr>
      <w:tr>
        <w:trPr>
          <w:cantSplit/>
        </w:trPr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Dead Stock / Slow Mover Recall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Arbitrary aging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100% Recall (F1: 0.872)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Complete capture of non-moving capital investments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Protected Revenue (Sales at Risk)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Unmonitored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INR 32,785,603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325 Immediate Purchase Orders</w:t>
            </w:r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 xml:space="preserve"> prioritized</w:t>
            </w:r>
          </w:p>
        </w:tc>
      </w:tr>
      <w:tr>
        <w:trPr>
          <w:cantSplit/>
        </w:trPr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Locked Working Capital Surfaced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Unmonitored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INR 1,534,592,370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3,021 Markdown Candidates</w:t>
            </w:r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 xml:space="preserve"> surfaced for cash release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Actionable Cash Recovery Target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INR 0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INR 1,533,774,315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99.95%</w:t>
            </w:r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 xml:space="preserve"> of excess capital targeted for liquidation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2. Business Problem &amp; Strategic Context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2.1 The Retail Inventory Dilemma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Multi-channel retail operations face a perennial dilemma: </w:t>
      </w:r>
      <w:r>
        <w:rPr>
          <w:rFonts w:ascii="Segoe UI" w:hAnsi="Segoe UI"/>
          <w:b/>
          <w:i w:val="0"/>
          <w:color w:val="282C34"/>
          <w:sz w:val="20"/>
        </w:rPr>
        <w:t>under-stocking</w:t>
      </w:r>
      <w:r>
        <w:rPr>
          <w:rFonts w:ascii="Segoe UI" w:hAnsi="Segoe UI"/>
          <w:b w:val="0"/>
          <w:i w:val="0"/>
          <w:color w:val="282C34"/>
          <w:sz w:val="20"/>
        </w:rPr>
        <w:t xml:space="preserve"> causes lost sales, angry customers, and brand erosion, while </w:t>
      </w:r>
      <w:r>
        <w:rPr>
          <w:rFonts w:ascii="Segoe UI" w:hAnsi="Segoe UI"/>
          <w:b/>
          <w:i w:val="0"/>
          <w:color w:val="282C34"/>
          <w:sz w:val="20"/>
        </w:rPr>
        <w:t>over-stocking</w:t>
      </w:r>
      <w:r>
        <w:rPr>
          <w:rFonts w:ascii="Segoe UI" w:hAnsi="Segoe UI"/>
          <w:b w:val="0"/>
          <w:i w:val="0"/>
          <w:color w:val="282C34"/>
          <w:sz w:val="20"/>
        </w:rPr>
        <w:t xml:space="preserve"> locks up valuable working capital, accumulates warehousing holding costs, and leads to inventory obsolescence.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At NorthBay Living, this dilemma was exacerbated by: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Catalog Scale: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5,000 active SKUs across fast-moving consumables (Grocery, Beverages, Dairy) and long-lead durable goods (Home &amp; Kitchen, Apparel).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Geographical Dispersion: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30 multi-channel retail stores spread across distinct urban regions in Pakistan (Karachi, Lahore, Islamabad, Faisalabad, Rawalpindi, etc.).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Severe Demand Volatility: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Peak sales in December reached </w:t>
      </w:r>
      <w:r>
        <w:rPr>
          <w:rFonts w:ascii="Segoe UI" w:hAnsi="Segoe UI"/>
          <w:b/>
          <w:i w:val="0"/>
          <w:color w:val="282C34"/>
          <w:sz w:val="20"/>
        </w:rPr>
        <w:t>2,037,489 units</w:t>
      </w:r>
      <w:r>
        <w:rPr>
          <w:rFonts w:ascii="Segoe UI" w:hAnsi="Segoe UI"/>
          <w:b w:val="0"/>
          <w:i w:val="0"/>
          <w:color w:val="282C34"/>
          <w:sz w:val="20"/>
        </w:rPr>
        <w:t xml:space="preserve"> compared to February trough volumes of </w:t>
      </w:r>
      <w:r>
        <w:rPr>
          <w:rFonts w:ascii="Segoe UI" w:hAnsi="Segoe UI"/>
          <w:b/>
          <w:i w:val="0"/>
          <w:color w:val="282C34"/>
          <w:sz w:val="20"/>
        </w:rPr>
        <w:t>1,223,965 units</w:t>
      </w:r>
      <w:r>
        <w:rPr>
          <w:rFonts w:ascii="Segoe UI" w:hAnsi="Segoe UI"/>
          <w:b w:val="0"/>
          <w:i w:val="0"/>
          <w:color w:val="282C34"/>
          <w:sz w:val="20"/>
        </w:rPr>
        <w:t>—a ~66% peak-to-trough swing driven by seasonal festivities and winter holidays.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Promotional Distortion: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Over </w:t>
      </w:r>
      <w:r>
        <w:rPr>
          <w:rFonts w:ascii="Segoe UI" w:hAnsi="Segoe UI"/>
          <w:b/>
          <w:i w:val="0"/>
          <w:color w:val="282C34"/>
          <w:sz w:val="20"/>
        </w:rPr>
        <w:t>21.02% of sales transactions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and </w:t>
      </w:r>
      <w:r>
        <w:rPr>
          <w:rFonts w:ascii="Segoe UI" w:hAnsi="Segoe UI"/>
          <w:b/>
          <w:i w:val="0"/>
          <w:color w:val="282C34"/>
          <w:sz w:val="20"/>
        </w:rPr>
        <w:t>27.28% of total unit volume</w:t>
      </w:r>
      <w:r>
        <w:rPr>
          <w:rFonts w:ascii="Segoe UI" w:hAnsi="Segoe UI"/>
          <w:b w:val="0"/>
          <w:i w:val="0"/>
          <w:color w:val="282C34"/>
          <w:sz w:val="20"/>
        </w:rPr>
        <w:t xml:space="preserve"> occurred under active promotional campaigns, creating sudden spikes that broke traditional time-series moving averages.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2.2 Quantifying the Financial Damage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Prior to FORESIGHT, operations relied on static reorder heuristics. An empirical audit of the year-end inventory position revealed: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INR 32.79M in Demand at Risk: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325 SKUs were on the verge of stockouts where projected demand over the replenishment lead time vastly exceeded available stock.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4,239 Store-Level Zero-Stock Outages: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Store shelves were frequently empty even when regional central depots carried inventory.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INR 1.53B in Frozen Liquidity: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3,021 overstocked SKUs had forward cover exceeding 12 to 52+ weeks, severely straining operational cash flows.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3. Architectural Governance &amp; Non-Negotiable Rules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To ensure scientific defensibility, reproducibility, and enterprise readiness, Project FORESIGHT was executed under </w:t>
      </w:r>
      <w:r>
        <w:rPr>
          <w:rFonts w:ascii="Segoe UI" w:hAnsi="Segoe UI"/>
          <w:b/>
          <w:i w:val="0"/>
          <w:color w:val="282C34"/>
          <w:sz w:val="20"/>
        </w:rPr>
        <w:t>seven strict architectural rules</w:t>
      </w:r>
      <w:r>
        <w:rPr>
          <w:rFonts w:ascii="Segoe UI" w:hAnsi="Segoe UI"/>
          <w:b w:val="0"/>
          <w:i w:val="0"/>
          <w:color w:val="282C34"/>
          <w:sz w:val="20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Rule 1 — Zero Data Fabrication: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Absolutely no synthetic transactions or invented rows. All models and tables reflect actual audited retail datasets.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Rule 2 — Memory-Capped Chunked Ingestion (&lt; 500 MB RAM):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Raw sales transactions (801 MB, 9.95M rows) are streamed in 500,000-row chunks. Unchunked in-memory loads are strictly forbidden.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Rule 3 — Strict Target Leakage Prevention: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sku_inventory_flags.csv</w:t>
      </w:r>
      <w:r>
        <w:rPr>
          <w:rFonts w:ascii="Segoe UI" w:hAnsi="Segoe UI"/>
          <w:b w:val="0"/>
          <w:i w:val="0"/>
          <w:color w:val="282C34"/>
          <w:sz w:val="20"/>
        </w:rPr>
        <w:t xml:space="preserve"> is an out-of-sample ground-truth evaluation key; it never enters feature sets or model training. Concurrent sales, revenues, and transaction counts are excluded from feature matrices.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Rule 4 — Mandatory Seasonal-Naive Benchmark: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 formal 3-tier fallback seasonal-naive baseline is enforced. Advanced ML must prove superior accuracy on identical evaluation windows to earn production deployment.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Rule 5 — Strictly Temporal Validation (Zero Data Shuffling):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Never use randomized train/test splits. All cross-validation enforces chronological rolling origins (</w:t>
      </w:r>
      <w:r>
        <w:rPr>
          <w:rFonts w:ascii="Consolas" w:hAnsi="Consolas"/>
          <w:b w:val="0"/>
          <w:i w:val="0"/>
          <w:color w:val="B42828"/>
          <w:sz w:val="18"/>
        </w:rPr>
        <w:t>shuffle=False</w:t>
      </w:r>
      <w:r>
        <w:rPr>
          <w:rFonts w:ascii="Segoe UI" w:hAnsi="Segoe UI"/>
          <w:b w:val="0"/>
          <w:i w:val="0"/>
          <w:color w:val="282C34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Rule 6 — Explicit Domain Heuristics: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Category lead times, service level $Z$-scores, and weeks-of-supply thresholds are documented and configurable in PyYAML files (</w:t>
      </w:r>
      <w:r>
        <w:rPr>
          <w:rFonts w:ascii="Consolas" w:hAnsi="Consolas"/>
          <w:b w:val="0"/>
          <w:i w:val="0"/>
          <w:color w:val="B42828"/>
          <w:sz w:val="18"/>
        </w:rPr>
        <w:t>configs/*.yaml</w:t>
      </w:r>
      <w:r>
        <w:rPr>
          <w:rFonts w:ascii="Segoe UI" w:hAnsi="Segoe UI"/>
          <w:b w:val="0"/>
          <w:i w:val="0"/>
          <w:color w:val="282C34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Rule 7 — Single-Command End-to-End Reproducibility: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The entire pipeline executes from raw extraction to dashboard serving via </w:t>
      </w:r>
      <w:r>
        <w:rPr>
          <w:rFonts w:ascii="Consolas" w:hAnsi="Consolas"/>
          <w:b w:val="0"/>
          <w:i w:val="0"/>
          <w:color w:val="B42828"/>
          <w:sz w:val="18"/>
        </w:rPr>
        <w:t>python -m foresight.pipeline</w:t>
      </w:r>
      <w:r>
        <w:rPr>
          <w:rFonts w:ascii="Segoe UI" w:hAnsi="Segoe UI"/>
          <w:b w:val="0"/>
          <w:i w:val="0"/>
          <w:color w:val="282C34"/>
          <w:sz w:val="20"/>
        </w:rPr>
        <w:t>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4. Data Ingestion, Auditing &amp; Unit Reconciliation (Phase 0 &amp; 1)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4.1 Data Asset Inventory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The data lake integrates 7 relational and operational assets: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>Dataset/</w:t>
              <w:br/>
              <w:t>├── retail_contaminated_dataset/ (Operational Extract)</w:t>
              <w:br/>
              <w:t>│   ├── sales_transactions.csv   [801.1 MB, 9,945,511 rows]</w:t>
              <w:br/>
              <w:t>│   ├── sku_master.csv           [464.0 KB, 5,000 SKUs]</w:t>
              <w:br/>
              <w:t>│   ├── store_master.csv         [2.0 KB, 30 Stores]</w:t>
              <w:br/>
              <w:t>│   ├── customer_master.csv      [554.5 KB, 10,000 Customers]</w:t>
              <w:br/>
              <w:t>│   ├── inventory_snapshot.csv   [932.8 KB, 26,408 Inventory Positions]</w:t>
              <w:br/>
              <w:t>│   ├── promotions.csv           [8.5 KB, 100 Campaigns]</w:t>
              <w:br/>
              <w:t>│   └── sku_inventory_flags.csv  [123.7 KB, 600 Anomaly Flags (Eval Only)]</w:t>
              <w:br/>
              <w:t>└── retail_clean_dataset/        (Benchmark Control Extract)</w:t>
              <w:br/>
              <w:t xml:space="preserve">    └── sales_transactions.csv   [803.2 MB, 9,972,038 rows]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4.2 Data Cleansing &amp; Deduplication Policy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Contamination Profiling: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The operational extract contained 26,527 invalid transactions, including negative quantities (-1 to -5), zero/negative unit prices, and out-of-bounds promotional discounts.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Streaming Validation: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 custom chunk-iterator streams 500,000 rows per batch, validating each record against schema constraints: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$$\text{Quantity} \in [1, 5], \quad \text{Unit Price} &gt; 0.0, \quad \text{Discount} \in [0.0, 1.0]$$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Receipt Deduplication (`retain_multiscan`):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Legitimate multi-scan occurrences (same customer purchasing multiple units of the same SKU on the same receipt timestamp) are retained and summed rather than discarded as duplicate keys.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4.3 Three-Way Unit Sales Reconciliation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To prove 100% mathematical integrity across aggregation grains, an automated assertion verifies that no units are lost or double-counted: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$$\sum \text{Daily Units} = \sum \text{Weekly Units} = \sum \text{Store-Daily Units} = \mathbf{18,700,906 \text{ units}}$$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Reconciliation Error: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</w:t>
      </w:r>
      <w:r>
        <w:rPr>
          <w:rFonts w:ascii="Segoe UI" w:hAnsi="Segoe UI"/>
          <w:b/>
          <w:i w:val="0"/>
          <w:color w:val="282C34"/>
          <w:sz w:val="20"/>
        </w:rPr>
        <w:t>0.000%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across all 5,000 SKUs and 210 weeks.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4.4 Pakistan Calendar &amp; Holiday Engineering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A dedicated calendar module (</w:t>
      </w:r>
      <w:r>
        <w:rPr>
          <w:rFonts w:ascii="Consolas" w:hAnsi="Consolas"/>
          <w:b w:val="0"/>
          <w:i w:val="0"/>
          <w:color w:val="B42828"/>
          <w:sz w:val="18"/>
        </w:rPr>
        <w:t>data/external/pakistan_holidays.py</w:t>
      </w:r>
      <w:r>
        <w:rPr>
          <w:rFonts w:ascii="Segoe UI" w:hAnsi="Segoe UI"/>
          <w:b w:val="0"/>
          <w:i w:val="0"/>
          <w:color w:val="282C34"/>
          <w:sz w:val="20"/>
        </w:rPr>
        <w:t>) models 1,461 calendar days (2022 to 2026), capturing: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Fixed National Holidays: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Pakistan Day (March 23), Independence Day (August 14), Quaid-e-Azam Day (December 25), Labour Day (May 1).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Lunar Islamic Holidays: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Eid-ul-Fitr, Eid-ul-Adha, Ashura, Eid Milad-un-Nabi (dynamically mapped across shifting Gregorian dates).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Proximity Flags: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7-day pre-holiday and post-holiday ramp windows to capture commercial grocery and apparel buying surges.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5. Exploratory Data Analysis &amp; Catalog Segmentation (Phase 2)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5.1 Pareto Revenue Skew (ABC Analysis)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Catalog revenue exhibits extreme concentration adhering to the Pareto principle: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Class A (Top 80% Revenue):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Generated by </w:t>
      </w:r>
      <w:r>
        <w:rPr>
          <w:rFonts w:ascii="Segoe UI" w:hAnsi="Segoe UI"/>
          <w:b/>
          <w:i w:val="0"/>
          <w:color w:val="282C34"/>
          <w:sz w:val="20"/>
        </w:rPr>
        <w:t>873 SKUs (17.46%)</w:t>
      </w:r>
      <w:r>
        <w:rPr>
          <w:rFonts w:ascii="Segoe UI" w:hAnsi="Segoe UI"/>
          <w:b w:val="0"/>
          <w:i w:val="0"/>
          <w:color w:val="282C34"/>
          <w:sz w:val="20"/>
        </w:rPr>
        <w:t xml:space="preserve"> of the catalog.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Class B (Next 15% Revenue):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Generated by </w:t>
      </w:r>
      <w:r>
        <w:rPr>
          <w:rFonts w:ascii="Segoe UI" w:hAnsi="Segoe UI"/>
          <w:b/>
          <w:i w:val="0"/>
          <w:color w:val="282C34"/>
          <w:sz w:val="20"/>
        </w:rPr>
        <w:t>1,332 SKUs (26.64%)</w:t>
      </w:r>
      <w:r>
        <w:rPr>
          <w:rFonts w:ascii="Segoe UI" w:hAnsi="Segoe UI"/>
          <w:b w:val="0"/>
          <w:i w:val="0"/>
          <w:color w:val="282C34"/>
          <w:sz w:val="20"/>
        </w:rPr>
        <w:t xml:space="preserve"> of the catalog.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Class C (Bottom 5% Revenue):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Generated by </w:t>
      </w:r>
      <w:r>
        <w:rPr>
          <w:rFonts w:ascii="Segoe UI" w:hAnsi="Segoe UI"/>
          <w:b/>
          <w:i w:val="0"/>
          <w:color w:val="282C34"/>
          <w:sz w:val="20"/>
        </w:rPr>
        <w:t>2,795 SKUs (55.90%)</w:t>
      </w:r>
      <w:r>
        <w:rPr>
          <w:rFonts w:ascii="Segoe UI" w:hAnsi="Segoe UI"/>
          <w:b w:val="0"/>
          <w:i w:val="0"/>
          <w:color w:val="282C34"/>
          <w:sz w:val="20"/>
        </w:rPr>
        <w:t xml:space="preserve"> of the catalog.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The top </w:t>
      </w:r>
      <w:r>
        <w:rPr>
          <w:rFonts w:ascii="Segoe UI" w:hAnsi="Segoe UI"/>
          <w:b/>
          <w:i w:val="0"/>
          <w:color w:val="282C34"/>
          <w:sz w:val="20"/>
        </w:rPr>
        <w:t>1,000 SKUs (20.00%) account for 73.08% of total sales revenue</w:t>
      </w:r>
      <w:r>
        <w:rPr>
          <w:rFonts w:ascii="Segoe UI" w:hAnsi="Segoe UI"/>
          <w:b w:val="0"/>
          <w:i w:val="0"/>
          <w:color w:val="282C34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>Pareto Revenue Distribution:</w:t>
              <w:br/>
              <w:t>[Class A: 17.5% SKUs | 80% Rev] ====&gt; Core margin engine; zero-stockout mandate</w:t>
              <w:br/>
              <w:t>[Class B: 26.6% SKUs | 15% Rev] ====&gt; Stable recurring lines; standard replenishment</w:t>
              <w:br/>
              <w:t>[Class C: 55.9% SKUs |  5% Rev] ====&gt; Long-tail; high dead-stock hazard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5.2 Demand Volatility (XYZ Analysis)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Demand predictability was segmented using the weekly coefficient of variation ($CV = \sigma / \mu$):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Class X ($CV \le 0.50$):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</w:t>
      </w:r>
      <w:r>
        <w:rPr>
          <w:rFonts w:ascii="Segoe UI" w:hAnsi="Segoe UI"/>
          <w:b/>
          <w:i w:val="0"/>
          <w:color w:val="282C34"/>
          <w:sz w:val="20"/>
        </w:rPr>
        <w:t>1,911 SKUs (38.22%)</w:t>
      </w:r>
      <w:r>
        <w:rPr>
          <w:rFonts w:ascii="Segoe UI" w:hAnsi="Segoe UI"/>
          <w:b w:val="0"/>
          <w:i w:val="0"/>
          <w:color w:val="282C34"/>
          <w:sz w:val="20"/>
        </w:rPr>
        <w:t xml:space="preserve"> — highly stable, continuous demand; prime candidates for automated statistical replenishment.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Class Y ($0.50 &lt; CV \le 1.00$):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</w:t>
      </w:r>
      <w:r>
        <w:rPr>
          <w:rFonts w:ascii="Segoe UI" w:hAnsi="Segoe UI"/>
          <w:b/>
          <w:i w:val="0"/>
          <w:color w:val="282C34"/>
          <w:sz w:val="20"/>
        </w:rPr>
        <w:t>1,858 SKUs (37.16%)</w:t>
      </w:r>
      <w:r>
        <w:rPr>
          <w:rFonts w:ascii="Segoe UI" w:hAnsi="Segoe UI"/>
          <w:b w:val="0"/>
          <w:i w:val="0"/>
          <w:color w:val="282C34"/>
          <w:sz w:val="20"/>
        </w:rPr>
        <w:t xml:space="preserve"> — moderate seasonality and promotional responsiveness.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Class Z ($CV &gt; 1.00$):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</w:t>
      </w:r>
      <w:r>
        <w:rPr>
          <w:rFonts w:ascii="Segoe UI" w:hAnsi="Segoe UI"/>
          <w:b/>
          <w:i w:val="0"/>
          <w:color w:val="282C34"/>
          <w:sz w:val="20"/>
        </w:rPr>
        <w:t>1,231 SKUs (24.62%)</w:t>
      </w:r>
      <w:r>
        <w:rPr>
          <w:rFonts w:ascii="Segoe UI" w:hAnsi="Segoe UI"/>
          <w:b w:val="0"/>
          <w:i w:val="0"/>
          <w:color w:val="282C34"/>
          <w:sz w:val="20"/>
        </w:rPr>
        <w:t xml:space="preserve"> — lumpy, intermittent demand requiring wide safety stock intervals.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5.3 Promotional Mechanics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Volume Lift: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Active promotional weeks yield an average </w:t>
      </w:r>
      <w:r>
        <w:rPr>
          <w:rFonts w:ascii="Segoe UI" w:hAnsi="Segoe UI"/>
          <w:b/>
          <w:i w:val="0"/>
          <w:color w:val="282C34"/>
          <w:sz w:val="20"/>
        </w:rPr>
        <w:t>+29.8% unit volume lift</w:t>
      </w:r>
      <w:r>
        <w:rPr>
          <w:rFonts w:ascii="Segoe UI" w:hAnsi="Segoe UI"/>
          <w:b w:val="0"/>
          <w:i w:val="0"/>
          <w:color w:val="282C34"/>
          <w:sz w:val="20"/>
        </w:rPr>
        <w:t xml:space="preserve"> over non-promo weeks.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Conflict Resolution: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41 overlapping campaign pairs were resolved via a deterministic rule: </w:t>
      </w:r>
      <w:r>
        <w:rPr>
          <w:rFonts w:ascii="Segoe UI" w:hAnsi="Segoe UI"/>
          <w:b/>
          <w:i w:val="0"/>
          <w:color w:val="282C34"/>
          <w:sz w:val="20"/>
        </w:rPr>
        <w:t>Highest Discount Wins</w:t>
      </w:r>
      <w:r>
        <w:rPr>
          <w:rFonts w:ascii="Segoe UI" w:hAnsi="Segoe UI"/>
          <w:b w:val="0"/>
          <w:i w:val="0"/>
          <w:color w:val="282C34"/>
          <w:sz w:val="20"/>
        </w:rPr>
        <w:t>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6. Benchmarking Methodology: The 3-Tier Seasonal-Naive Baseline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In accordance with Rule 4, advanced machine learning models cannot be deployed on raw faith; they must beat an industry-standard </w:t>
      </w:r>
      <w:r>
        <w:rPr>
          <w:rFonts w:ascii="Segoe UI" w:hAnsi="Segoe UI"/>
          <w:b/>
          <w:i w:val="0"/>
          <w:color w:val="282C34"/>
          <w:sz w:val="20"/>
        </w:rPr>
        <w:t>Seasonal-Naive baseline</w:t>
      </w:r>
      <w:r>
        <w:rPr>
          <w:rFonts w:ascii="Segoe UI" w:hAnsi="Segoe UI"/>
          <w:b w:val="0"/>
          <w:i w:val="0"/>
          <w:color w:val="282C34"/>
          <w:sz w:val="20"/>
        </w:rPr>
        <w:t xml:space="preserve"> evaluated on identical cross-validation folds.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6.1 Baseline Hierarchy Definition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Given the 52-week annual retail cycle, the baseline forecast $\hat{y}_{i, t+h}$ for SKU $i$ at week $t+h$ uses a 3-tier fallback cascade: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$$\hat{y}_{i, t+h} = \begin{cases}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y_{i, t+h-52} &amp; \text{Tier 1: if } y_{i, t+h-52} \text{ exists and } &gt; 0 \\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\frac{1}{4} \sum_{k=1}^4 y_{i, t-k} &amp; \text{Tier 2: if Tier 1 missing, use trailing 4-week mean} \\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\bar{Y}_{\text{category}, t-1} &amp; \text{Tier 3: if SKU history missing, use category run-rate}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\end{cases}$$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6.2 Error Metric: Weighted Absolute Percentage Error (WAPE)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Mean Absolute Percentage Error (MAPE) is notoriously flawed in retail because zero-demand weeks cause division-by-zero errors. Project FORESIGHT enforces </w:t>
      </w:r>
      <w:r>
        <w:rPr>
          <w:rFonts w:ascii="Segoe UI" w:hAnsi="Segoe UI"/>
          <w:b/>
          <w:i w:val="0"/>
          <w:color w:val="282C34"/>
          <w:sz w:val="20"/>
        </w:rPr>
        <w:t>WAPE</w:t>
      </w:r>
      <w:r>
        <w:rPr>
          <w:rFonts w:ascii="Segoe UI" w:hAnsi="Segoe UI"/>
          <w:b w:val="0"/>
          <w:i w:val="0"/>
          <w:color w:val="282C34"/>
          <w:sz w:val="20"/>
        </w:rPr>
        <w:t>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$$\text{WAPE} = \frac{\sum_{i,t} |y_{i,t} - \hat{y}_{i,t}|}{\sum_{i,t} y_{i,t}}$$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Baseline Pooled Performance: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</w:t>
      </w:r>
      <w:r>
        <w:rPr>
          <w:rFonts w:ascii="Segoe UI" w:hAnsi="Segoe UI"/>
          <w:b/>
          <w:i w:val="0"/>
          <w:color w:val="282C34"/>
          <w:sz w:val="20"/>
        </w:rPr>
        <w:t>37.76% WAPE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across all validation folds. This formed the hurdle rate for ML deployment.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7. Machine Learning Forecasting Engine (Phase 3)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7.1 Global Model Architecture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Instead of training 5,000 fragile individual models, FORESIGHT implements a </w:t>
      </w:r>
      <w:r>
        <w:rPr>
          <w:rFonts w:ascii="Segoe UI" w:hAnsi="Segoe UI"/>
          <w:b/>
          <w:i w:val="0"/>
          <w:color w:val="282C34"/>
          <w:sz w:val="20"/>
        </w:rPr>
        <w:t>Unified Global Forecaster</w:t>
      </w:r>
      <w:r>
        <w:rPr>
          <w:rFonts w:ascii="Segoe UI" w:hAnsi="Segoe UI"/>
          <w:b w:val="0"/>
          <w:i w:val="0"/>
          <w:color w:val="282C34"/>
          <w:sz w:val="20"/>
        </w:rPr>
        <w:t xml:space="preserve"> powered by </w:t>
      </w:r>
      <w:r>
        <w:rPr>
          <w:rFonts w:ascii="Consolas" w:hAnsi="Consolas"/>
          <w:b w:val="0"/>
          <w:i w:val="0"/>
          <w:color w:val="B42828"/>
          <w:sz w:val="18"/>
        </w:rPr>
        <w:t>HistGradientBoostingRegressor</w:t>
      </w:r>
      <w:r>
        <w:rPr>
          <w:rFonts w:ascii="Segoe UI" w:hAnsi="Segoe UI"/>
          <w:b w:val="0"/>
          <w:i w:val="0"/>
          <w:color w:val="282C34"/>
          <w:sz w:val="20"/>
        </w:rPr>
        <w:t xml:space="preserve"> (Histogram-based Gradient Boosting).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Architectural Rationale: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Cross-Series Learning: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Fast movers share price elasticity and holiday response patterns with slow movers in the same category.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Cold-Start Resilience: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New or low-volume SKUs inherit category-level parameters seamlessly.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Execution Velocity: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Trains on 1.05M weekly records in under 90 seconds.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Strict Temporal Integrity: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Configured with </w:t>
      </w:r>
      <w:r>
        <w:rPr>
          <w:rFonts w:ascii="Consolas" w:hAnsi="Consolas"/>
          <w:b w:val="0"/>
          <w:i w:val="0"/>
          <w:color w:val="B42828"/>
          <w:sz w:val="18"/>
        </w:rPr>
        <w:t>early_stopping=False</w:t>
      </w:r>
      <w:r>
        <w:rPr>
          <w:rFonts w:ascii="Segoe UI" w:hAnsi="Segoe UI"/>
          <w:b w:val="0"/>
          <w:i w:val="0"/>
          <w:color w:val="282C34"/>
          <w:sz w:val="20"/>
        </w:rPr>
        <w:t xml:space="preserve"> to prevent Scikit-Learn from executing randomized internal validation splits that violate Rule 5.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7.2 Feature Pipeline (45 Strictly Causal Features)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All features are engineered with strict causal boundaries ($t-k$ where $k \ge 1$):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>Feature Union Architecture:</w:t>
              <w:br/>
              <w:t>├── Causal Lags (7):            t-1, t-2, t-4, t-8, t-13, t-26, t-52</w:t>
              <w:br/>
              <w:t>├── Rolling Windows (12):       Trailing 4w, 8w, 12w (Mean, Std, Min, Max)</w:t>
              <w:br/>
              <w:t>├── Calendar &amp; Cyclical (8):    Fourier sin/cos terms (annual &amp; monthly cycles), week of year</w:t>
              <w:br/>
              <w:t>├── Holiday Telemetry (4):      Is_holiday, holiday_type, pre_holiday_7d, post_holiday_7d</w:t>
              <w:br/>
              <w:t>├── Promotional Signals (5):    Is_promo_active, discount_depth, promo_duration, promo_type</w:t>
              <w:br/>
              <w:t>├── Catalog &amp; Pricing (5):      Category_code, unit_price, price_vs_cat_mean, target_margin</w:t>
              <w:br/>
              <w:t>└── Out-of-Fold Baselines (4):  Seasonal-naive lag-52, trailing 4w moving average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Target Leakage Assertions: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An automated suite (</w:t>
      </w:r>
      <w:r>
        <w:rPr>
          <w:rFonts w:ascii="Consolas" w:hAnsi="Consolas"/>
          <w:b w:val="0"/>
          <w:i w:val="0"/>
          <w:color w:val="B42828"/>
          <w:sz w:val="18"/>
        </w:rPr>
        <w:t>tests/test_leakage.py</w:t>
      </w:r>
      <w:r>
        <w:rPr>
          <w:rFonts w:ascii="Segoe UI" w:hAnsi="Segoe UI"/>
          <w:b w:val="0"/>
          <w:i w:val="0"/>
          <w:color w:val="282C34"/>
          <w:sz w:val="20"/>
        </w:rPr>
        <w:t xml:space="preserve">) asserts that </w:t>
      </w:r>
      <w:r>
        <w:rPr>
          <w:rFonts w:ascii="Consolas" w:hAnsi="Consolas"/>
          <w:b w:val="0"/>
          <w:i w:val="0"/>
          <w:color w:val="B42828"/>
          <w:sz w:val="18"/>
        </w:rPr>
        <w:t>revenue</w:t>
      </w:r>
      <w:r>
        <w:rPr>
          <w:rFonts w:ascii="Segoe UI" w:hAnsi="Segoe UI"/>
          <w:b w:val="0"/>
          <w:i w:val="0"/>
          <w:color w:val="282C34"/>
          <w:sz w:val="20"/>
        </w:rPr>
        <w:t xml:space="preserve">, </w:t>
      </w:r>
      <w:r>
        <w:rPr>
          <w:rFonts w:ascii="Consolas" w:hAnsi="Consolas"/>
          <w:b w:val="0"/>
          <w:i w:val="0"/>
          <w:color w:val="B42828"/>
          <w:sz w:val="18"/>
        </w:rPr>
        <w:t>gross_revenue</w:t>
      </w:r>
      <w:r>
        <w:rPr>
          <w:rFonts w:ascii="Segoe UI" w:hAnsi="Segoe UI"/>
          <w:b w:val="0"/>
          <w:i w:val="0"/>
          <w:color w:val="282C34"/>
          <w:sz w:val="20"/>
        </w:rPr>
        <w:t xml:space="preserve">, </w:t>
      </w:r>
      <w:r>
        <w:rPr>
          <w:rFonts w:ascii="Consolas" w:hAnsi="Consolas"/>
          <w:b w:val="0"/>
          <w:i w:val="0"/>
          <w:color w:val="B42828"/>
          <w:sz w:val="18"/>
        </w:rPr>
        <w:t>promo_trans_count</w:t>
      </w:r>
      <w:r>
        <w:rPr>
          <w:rFonts w:ascii="Segoe UI" w:hAnsi="Segoe UI"/>
          <w:b w:val="0"/>
          <w:i w:val="0"/>
          <w:color w:val="282C34"/>
          <w:sz w:val="20"/>
        </w:rPr>
        <w:t>, and future actuals never enter the feature matrix.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7.3 Rolling-Origin Cross-Validation Results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Validation used 3 non-shuffled expanding temporal folds simulating real operational quarterly deployments: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Fold Index</w:t>
            </w:r>
          </w:p>
        </w:tc>
        <w:tc>
          <w:tcPr>
            <w:tcW w:type="dxa" w:w="1419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Training Window</w:t>
            </w:r>
          </w:p>
        </w:tc>
        <w:tc>
          <w:tcPr>
            <w:tcW w:type="dxa" w:w="1419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Validation Window</w:t>
            </w:r>
          </w:p>
        </w:tc>
        <w:tc>
          <w:tcPr>
            <w:tcW w:type="dxa" w:w="1419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Baseline WAPE</w:t>
            </w:r>
          </w:p>
        </w:tc>
        <w:tc>
          <w:tcPr>
            <w:tcW w:type="dxa" w:w="1419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FORESIGHT ML WAPE</w:t>
            </w:r>
          </w:p>
        </w:tc>
        <w:tc>
          <w:tcPr>
            <w:tcW w:type="dxa" w:w="1419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Relative Error Reduction</w:t>
            </w:r>
          </w:p>
        </w:tc>
        <w:tc>
          <w:tcPr>
            <w:tcW w:type="dxa" w:w="1419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ML Bias</w:t>
            </w:r>
          </w:p>
        </w:tc>
      </w:tr>
      <w:tr>
        <w:trPr>
          <w:cantSplit/>
        </w:trPr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Fold 1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2022-W01 – 2024-W52 (156w)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2025-W01 – 2025-W08 (8w)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38.01%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30.33%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-20.21%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+0.42 units</w:t>
            </w:r>
          </w:p>
        </w:tc>
      </w:tr>
      <w:tr>
        <w:trPr>
          <w:cantSplit/>
        </w:trPr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Fold 2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2022-W01 – 2025-W16 (172w)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2025-W17 – 2025-W24 (8w)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35.29%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26.96%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-23.60%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-0.18 units</w:t>
            </w:r>
          </w:p>
        </w:tc>
      </w:tr>
      <w:tr>
        <w:trPr>
          <w:cantSplit/>
        </w:trPr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Fold 3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2022-W01 – 2025-W40 (196w)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2025-W41 – 2025-W52 (12w)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39.05%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33.28%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-14.78%</w:t>
            </w:r>
          </w:p>
        </w:tc>
        <w:tc>
          <w:tcPr>
            <w:tcW w:type="dxa" w:w="1419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+0.81 units</w:t>
            </w:r>
          </w:p>
        </w:tc>
      </w:tr>
      <w:tr>
        <w:trPr>
          <w:cantSplit/>
        </w:trPr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POOLED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Full Backtest Horizon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28 Validation Weeks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37.76%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30.81%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-18.39%</w:t>
            </w:r>
          </w:p>
        </w:tc>
        <w:tc>
          <w:tcPr>
            <w:tcW w:type="dxa" w:w="1419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+0.35 units</w:t>
            </w:r>
          </w:p>
        </w:tc>
      </w:tr>
    </w:tbl>
    <w:p>
      <w:pPr>
        <w:spacing w:after="120"/>
      </w:pP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Gate M3 Requirement: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ML must beat baseline across all folds. </w:t>
      </w:r>
      <w:r>
        <w:rPr>
          <w:rFonts w:ascii="Segoe UI" w:hAnsi="Segoe UI"/>
          <w:b/>
          <w:i w:val="0"/>
          <w:color w:val="282C34"/>
          <w:sz w:val="20"/>
        </w:rPr>
        <w:t>Verdict: PASSED (3/3 Folds Won).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7.4 Quantile Regression &amp; 80% Prediction Intervals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To support stochastic inventory safety stock calculations, FORESIGHT trains auxiliary quantile estimators at the </w:t>
      </w:r>
      <w:r>
        <w:rPr>
          <w:rFonts w:ascii="Segoe UI" w:hAnsi="Segoe UI"/>
          <w:b/>
          <w:i w:val="0"/>
          <w:color w:val="282C34"/>
          <w:sz w:val="20"/>
        </w:rPr>
        <w:t>10th percentile ($q=0.10$)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and </w:t>
      </w:r>
      <w:r>
        <w:rPr>
          <w:rFonts w:ascii="Segoe UI" w:hAnsi="Segoe UI"/>
          <w:b/>
          <w:i w:val="0"/>
          <w:color w:val="282C34"/>
          <w:sz w:val="20"/>
        </w:rPr>
        <w:t>90th percentile ($q=0.90$)</w:t>
      </w:r>
      <w:r>
        <w:rPr>
          <w:rFonts w:ascii="Segoe UI" w:hAnsi="Segoe UI"/>
          <w:b w:val="0"/>
          <w:i w:val="0"/>
          <w:color w:val="282C34"/>
          <w:sz w:val="20"/>
        </w:rPr>
        <w:t xml:space="preserve"> using pinball loss.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Empirical Holdout Coverage: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</w:t>
      </w:r>
      <w:r>
        <w:rPr>
          <w:rFonts w:ascii="Segoe UI" w:hAnsi="Segoe UI"/>
          <w:b/>
          <w:i w:val="0"/>
          <w:color w:val="282C34"/>
          <w:sz w:val="20"/>
        </w:rPr>
        <w:t>77.63%</w:t>
      </w:r>
      <w:r>
        <w:rPr>
          <w:rFonts w:ascii="Segoe UI" w:hAnsi="Segoe UI"/>
          <w:b w:val="0"/>
          <w:i w:val="0"/>
          <w:color w:val="282C34"/>
          <w:sz w:val="20"/>
        </w:rPr>
        <w:t xml:space="preserve"> on out-of-sample holdout (closely tracking the nominal 80.0% target).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Operational Value: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Provides planners with upper and lower demand boundaries to absorb supply chain shocks.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8. Inventory Decisioning &amp; Rupee Exposure Matrix (Phase 4)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8.1 Supply Chain Physics &amp; Formulas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Inventory intelligence connects forward ML forecasts with warehouse telemetry: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Lead Time Demand (LTD):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$$\text{LTD}_i = \sum_{t=1}^{\lceil L_i / 7 \rceil} \hat{y}_{i, t}$$</w:t>
      </w:r>
    </w:p>
    <w:p>
      <w:pPr>
        <w:spacing w:after="80" w:before="40" w:line="276" w:lineRule="auto"/>
      </w:pPr>
      <w:r>
        <w:rPr>
          <w:rFonts w:ascii="Segoe UI" w:hAnsi="Segoe UI"/>
          <w:b w:val="0"/>
          <w:i/>
          <w:color w:val="282C34"/>
          <w:sz w:val="20"/>
        </w:rPr>
        <w:t>(where $L_i$ is category lead time in days, ranging from 7 days for Dairy to 21 days for Home &amp; Kitchen).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Projected Available Balance (PAB):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$$\text{PAB}_i = \text{Current On-Hand}_i + \text{On-Order Units}_i - \text{LTD}_i$$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Forward Weeks of Supply (WOS):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$$\text{WOS}_i = \frac{\text{Current On-Hand}_i}{\frac{1}{8} \sum_{t=1}^8 \hat{y}_{i, t}}$$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Dynamic Safety Stock (SS):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$$\text{SS}_i = Z_{\text{service}} \times \sigma_{i, \text{lead time}} = 1.645 \times \sqrt{\frac{L_i}{7}} \times \sigma_{\text{forecast error}}$$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Financial Exposure Formulas: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$$\text{Rupees at Risk}_i = \max(0, -\text{PAB}_i) \times \text{Selling Price}_i$$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$$\text{Locked Capital}_i = \max(0, \text{On-Hand}_i - (\hat{Y}_{i, 8w} + \text{SS}_i)) \times \text{Unit Cost}_i$$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8.2 The 4-Quadrant Strategic Grid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Every SKU is triaged into an operational action quadrant: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 xml:space="preserve">                      FORWARD WEEKS OF SUPPLY (WOS)</w:t>
              <w:br/>
              <w:t xml:space="preserve">                        Low (&lt; 4w)           High (&gt; 12w)</w:t>
              <w:br/>
              <w:t xml:space="preserve">                 ┌──────────────────────┬──────────────────────┐</w:t>
              <w:br/>
              <w:t xml:space="preserve">                 │    REORDER NOW       │   WATCH VOLATILE     │</w:t>
              <w:br/>
              <w:t xml:space="preserve">   PAB &lt;= 0      │     (Quadrant 1)     │     (Quadrant 4)     │</w:t>
              <w:br/>
              <w:t xml:space="preserve">                 │   325 SKUs (7.2%)    │     0 SKUs (0.0%)    │</w:t>
              <w:br/>
              <w:t>PROJECTED        │  INR 32.79M At Risk  │   INR 0.00 At Risk   │</w:t>
              <w:br/>
              <w:t>AVAILABLE        ├──────────────────────┼──────────────────────┤</w:t>
              <w:br/>
              <w:t>BALANCE          │      HEALTHY         │   MARKDOWN / CLEAR   │</w:t>
              <w:br/>
              <w:t xml:space="preserve">                 │     (Quadrant 2)     │     (Quadrant 3)     │</w:t>
              <w:br/>
              <w:t xml:space="preserve">   PAB &gt; 0       │  1,149 SKUs (25.6%)  │  3,021 SKUs (67.2%)  │</w:t>
              <w:br/>
              <w:t xml:space="preserve">                 │   Optimal Pipeline   │  INR 1.53B Capital   │</w:t>
              <w:br/>
              <w:t xml:space="preserve">                 └──────────────────────┴──────────────────────┘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8.3 Ground-Truth Anomaly Validation (`sku_inventory_flags.csv`)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To prove risk classification accuracy, FORESIGHT was audited against 600 blind anomaly flags: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cantSplit/>
          <w:tblHeader/>
        </w:trPr>
        <w:tc>
          <w:tcPr>
            <w:tcW w:type="dxa" w:w="110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Target Risk Class</w:t>
            </w:r>
          </w:p>
        </w:tc>
        <w:tc>
          <w:tcPr>
            <w:tcW w:type="dxa" w:w="110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Answer Key Total</w:t>
            </w:r>
          </w:p>
        </w:tc>
        <w:tc>
          <w:tcPr>
            <w:tcW w:type="dxa" w:w="110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True Positives (TP)</w:t>
            </w:r>
          </w:p>
        </w:tc>
        <w:tc>
          <w:tcPr>
            <w:tcW w:type="dxa" w:w="110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False Positives (FP)</w:t>
            </w:r>
          </w:p>
        </w:tc>
        <w:tc>
          <w:tcPr>
            <w:tcW w:type="dxa" w:w="110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False Negatives (FN)</w:t>
            </w:r>
          </w:p>
        </w:tc>
        <w:tc>
          <w:tcPr>
            <w:tcW w:type="dxa" w:w="110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Recall Rate</w:t>
            </w:r>
          </w:p>
        </w:tc>
        <w:tc>
          <w:tcPr>
            <w:tcW w:type="dxa" w:w="110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Precision</w:t>
            </w:r>
          </w:p>
        </w:tc>
        <w:tc>
          <w:tcPr>
            <w:tcW w:type="dxa" w:w="110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F1-Score</w:t>
            </w:r>
          </w:p>
        </w:tc>
        <w:tc>
          <w:tcPr>
            <w:tcW w:type="dxa" w:w="110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Target Status</w:t>
            </w:r>
          </w:p>
        </w:tc>
      </w:tr>
      <w:tr>
        <w:trPr>
          <w:cantSplit/>
        </w:trPr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Stockout Risk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200 SKUs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173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209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27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86.5%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0.453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0.595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$\ge 85.0\%$ MET</w:t>
            </w:r>
          </w:p>
        </w:tc>
      </w:tr>
      <w:tr>
        <w:trPr>
          <w:cantSplit/>
        </w:trPr>
        <w:tc>
          <w:tcPr>
            <w:tcW w:type="dxa" w:w="110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Slow Mover</w:t>
            </w:r>
          </w:p>
        </w:tc>
        <w:tc>
          <w:tcPr>
            <w:tcW w:type="dxa" w:w="110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400 SKUs</w:t>
            </w:r>
          </w:p>
        </w:tc>
        <w:tc>
          <w:tcPr>
            <w:tcW w:type="dxa" w:w="110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400</w:t>
            </w:r>
          </w:p>
        </w:tc>
        <w:tc>
          <w:tcPr>
            <w:tcW w:type="dxa" w:w="110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117</w:t>
            </w:r>
          </w:p>
        </w:tc>
        <w:tc>
          <w:tcPr>
            <w:tcW w:type="dxa" w:w="110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0</w:t>
            </w:r>
          </w:p>
        </w:tc>
        <w:tc>
          <w:tcPr>
            <w:tcW w:type="dxa" w:w="110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100.0%</w:t>
            </w:r>
          </w:p>
        </w:tc>
        <w:tc>
          <w:tcPr>
            <w:tcW w:type="dxa" w:w="110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0.774</w:t>
            </w:r>
          </w:p>
        </w:tc>
        <w:tc>
          <w:tcPr>
            <w:tcW w:type="dxa" w:w="110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0.872</w:t>
            </w:r>
          </w:p>
        </w:tc>
        <w:tc>
          <w:tcPr>
            <w:tcW w:type="dxa" w:w="110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Exceeded</w:t>
            </w:r>
          </w:p>
        </w:tc>
      </w:tr>
      <w:tr>
        <w:trPr>
          <w:cantSplit/>
        </w:trPr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Store Outage Pairs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2,703 Pairs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2,703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2,066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0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100.0%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0.567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 w:val="0"/>
                <w:i w:val="0"/>
                <w:color w:val="212529"/>
                <w:sz w:val="18"/>
              </w:rPr>
              <w:t>0.723</w:t>
            </w:r>
          </w:p>
        </w:tc>
        <w:tc>
          <w:tcPr>
            <w:tcW w:type="dxa" w:w="11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</w:pPr>
            <w:r/>
            <w:r>
              <w:rPr>
                <w:rFonts w:ascii="Segoe UI" w:hAnsi="Segoe UI"/>
                <w:b/>
                <w:i w:val="0"/>
                <w:color w:val="212529"/>
                <w:sz w:val="18"/>
              </w:rPr>
              <w:t>Exceeded</w:t>
            </w:r>
          </w:p>
        </w:tc>
      </w:tr>
    </w:tbl>
    <w:p>
      <w:pPr>
        <w:spacing w:after="120"/>
      </w:pPr>
    </w:p>
    <w:p>
      <w:pPr>
        <w:spacing w:after="80" w:before="40" w:line="276" w:lineRule="auto"/>
      </w:pPr>
      <w:r>
        <w:rPr>
          <w:rFonts w:ascii="Segoe UI" w:hAnsi="Segoe UI"/>
          <w:b w:val="0"/>
          <w:i/>
          <w:color w:val="282C34"/>
          <w:sz w:val="20"/>
        </w:rPr>
        <w:t>Note on Precision: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Precision is naturally bounded by the fact that the answer key reflects a historical point-in-time snapshot, whereas FORESIGHT evaluates forward multi-week cumulative risk. High recall was the primary mandate to protect NorthBay Living from stockouts.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9. Enterprise Microservices &amp; User Interfaces (Phase 5 &amp; 6)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9.1 Sub-25ms Serving Cache Architecture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To achieve instantaneous sub-second response times without querying 10M rows in production, Phase 5 compiles a pre-aggregated Parquet serving layer (</w:t>
      </w:r>
      <w:r>
        <w:rPr>
          <w:rFonts w:ascii="Consolas" w:hAnsi="Consolas"/>
          <w:b w:val="0"/>
          <w:i w:val="0"/>
          <w:color w:val="B42828"/>
          <w:sz w:val="18"/>
        </w:rPr>
        <w:t>artifacts/serving/</w:t>
      </w:r>
      <w:r>
        <w:rPr>
          <w:rFonts w:ascii="Segoe UI" w:hAnsi="Segoe UI"/>
          <w:b w:val="0"/>
          <w:i w:val="0"/>
          <w:color w:val="282C34"/>
          <w:sz w:val="20"/>
        </w:rPr>
        <w:t>, ~3.3 MB):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 w:val="0"/>
          <w:i w:val="0"/>
          <w:color w:val="B42828"/>
          <w:sz w:val="18"/>
        </w:rPr>
        <w:t>dashboard_kpis.parquet</w:t>
      </w:r>
      <w:r>
        <w:rPr>
          <w:rFonts w:ascii="Segoe UI" w:hAnsi="Segoe UI"/>
          <w:b w:val="0"/>
          <w:i w:val="0"/>
          <w:color w:val="282C34"/>
          <w:sz w:val="20"/>
        </w:rPr>
        <w:t>: High-level portfolio financial metrics.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 w:val="0"/>
          <w:i w:val="0"/>
          <w:color w:val="B42828"/>
          <w:sz w:val="18"/>
        </w:rPr>
        <w:t>decision_grid.parquet</w:t>
      </w:r>
      <w:r>
        <w:rPr>
          <w:rFonts w:ascii="Segoe UI" w:hAnsi="Segoe UI"/>
          <w:b w:val="0"/>
          <w:i w:val="0"/>
          <w:color w:val="282C34"/>
          <w:sz w:val="20"/>
        </w:rPr>
        <w:t>: 5,000-row quadrant triage matrix.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 w:val="0"/>
          <w:i w:val="0"/>
          <w:color w:val="B42828"/>
          <w:sz w:val="18"/>
        </w:rPr>
        <w:t>forecast_summary.parquet</w:t>
      </w:r>
      <w:r>
        <w:rPr>
          <w:rFonts w:ascii="Segoe UI" w:hAnsi="Segoe UI"/>
          <w:b w:val="0"/>
          <w:i w:val="0"/>
          <w:color w:val="282C34"/>
          <w:sz w:val="20"/>
        </w:rPr>
        <w:t>: 8-week forward point forecasts with $q10/q90$ bands and baseline comparison.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 w:val="0"/>
          <w:i w:val="0"/>
          <w:color w:val="B42828"/>
          <w:sz w:val="18"/>
        </w:rPr>
        <w:t>history_weekly.parquet</w:t>
      </w:r>
      <w:r>
        <w:rPr>
          <w:rFonts w:ascii="Segoe UI" w:hAnsi="Segoe UI"/>
          <w:b w:val="0"/>
          <w:i w:val="0"/>
          <w:color w:val="282C34"/>
          <w:sz w:val="20"/>
        </w:rPr>
        <w:t xml:space="preserve"> &amp; partitioned category stores: Historical actuals.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9.2 Interactive Operations Dashboard (Streamlit)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Hosting: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Deployed live on Streamlit Cloud.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4 Operational Pages: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Executive Overview: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High-level portfolio KPIs, Rupee exposure, 52-week demand trajectory, and category risk breakdown.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Forecast Explorer: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Interactive SKU-level time-series visualization showing historical actuals, point forecast, 80% confidence ribbon, seasonal-naive baseline, and active promotional overlays.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Inventory Decision Grid: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4-quadrant interactive Plotly scatter matrix with one-click exportable tables for Immediate Purchase Orders and Markdown Liquidation.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SKU Drilldown: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Deep SKU telemetry, lead times, safety stocks, reorder points, and store-by-store inventory allocation charts.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9.3 Real-Time REST Scoring Microservice (FastAPI)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Framework: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FastAPI + Pydantic v2 + Uvicorn (</w:t>
      </w:r>
      <w:r>
        <w:rPr>
          <w:rFonts w:ascii="Consolas" w:hAnsi="Consolas"/>
          <w:b w:val="0"/>
          <w:i w:val="0"/>
          <w:color w:val="B42828"/>
          <w:sz w:val="18"/>
        </w:rPr>
        <w:t>api/main.py</w:t>
      </w:r>
      <w:r>
        <w:rPr>
          <w:rFonts w:ascii="Segoe UI" w:hAnsi="Segoe UI"/>
          <w:b w:val="0"/>
          <w:i w:val="0"/>
          <w:color w:val="282C34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Endpoints: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 w:val="0"/>
          <w:i w:val="0"/>
          <w:color w:val="B42828"/>
          <w:sz w:val="18"/>
        </w:rPr>
        <w:t>GET /health</w:t>
      </w:r>
      <w:r>
        <w:rPr>
          <w:rFonts w:ascii="Segoe UI" w:hAnsi="Segoe UI"/>
          <w:b w:val="0"/>
          <w:i w:val="0"/>
          <w:color w:val="282C34"/>
          <w:sz w:val="20"/>
        </w:rPr>
        <w:t>: Cluster health, platform version, and artifact freshness timestamps.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 w:val="0"/>
          <w:i w:val="0"/>
          <w:color w:val="B42828"/>
          <w:sz w:val="18"/>
        </w:rPr>
        <w:t>GET /forecast/{sku_id}</w:t>
      </w:r>
      <w:r>
        <w:rPr>
          <w:rFonts w:ascii="Segoe UI" w:hAnsi="Segoe UI"/>
          <w:b w:val="0"/>
          <w:i w:val="0"/>
          <w:color w:val="282C34"/>
          <w:sz w:val="20"/>
        </w:rPr>
        <w:t>: Returns 8-week forward predictions with lower/upper 80% intervals.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 w:val="0"/>
          <w:i w:val="0"/>
          <w:color w:val="B42828"/>
          <w:sz w:val="18"/>
        </w:rPr>
        <w:t>GET /risk/{sku_id}</w:t>
      </w:r>
      <w:r>
        <w:rPr>
          <w:rFonts w:ascii="Segoe UI" w:hAnsi="Segoe UI"/>
          <w:b w:val="0"/>
          <w:i w:val="0"/>
          <w:color w:val="282C34"/>
          <w:sz w:val="20"/>
        </w:rPr>
        <w:t>: Real-time risk quadrant, weeks of supply, and rupee impact.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 w:val="0"/>
          <w:i w:val="0"/>
          <w:color w:val="B42828"/>
          <w:sz w:val="18"/>
        </w:rPr>
        <w:t>POST /batch/risk</w:t>
      </w:r>
      <w:r>
        <w:rPr>
          <w:rFonts w:ascii="Segoe UI" w:hAnsi="Segoe UI"/>
          <w:b w:val="0"/>
          <w:i w:val="0"/>
          <w:color w:val="282C34"/>
          <w:sz w:val="20"/>
        </w:rPr>
        <w:t>: Bulk risk evaluation for enterprise ERP batches (up to 100 SKUs).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Auto-generated interactive Swagger UI at </w:t>
      </w:r>
      <w:r>
        <w:rPr>
          <w:rFonts w:ascii="Consolas" w:hAnsi="Consolas"/>
          <w:b w:val="0"/>
          <w:i w:val="0"/>
          <w:color w:val="B42828"/>
          <w:sz w:val="18"/>
        </w:rPr>
        <w:t>/docs</w:t>
      </w:r>
      <w:r>
        <w:rPr>
          <w:rFonts w:ascii="Segoe UI" w:hAnsi="Segoe UI"/>
          <w:b w:val="0"/>
          <w:i w:val="0"/>
          <w:color w:val="282C34"/>
          <w:sz w:val="20"/>
        </w:rPr>
        <w:t>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10. Automated Quality Assurance &amp; Verification Audit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The platform is fortified by a comprehensive test suite (</w:t>
      </w:r>
      <w:r>
        <w:rPr>
          <w:rFonts w:ascii="Consolas" w:hAnsi="Consolas"/>
          <w:b w:val="0"/>
          <w:i w:val="0"/>
          <w:color w:val="B42828"/>
          <w:sz w:val="18"/>
        </w:rPr>
        <w:t>tests/</w:t>
      </w:r>
      <w:r>
        <w:rPr>
          <w:rFonts w:ascii="Segoe UI" w:hAnsi="Segoe UI"/>
          <w:b w:val="0"/>
          <w:i w:val="0"/>
          <w:color w:val="282C34"/>
          <w:sz w:val="20"/>
        </w:rPr>
        <w:t xml:space="preserve">) containing </w:t>
      </w:r>
      <w:r>
        <w:rPr>
          <w:rFonts w:ascii="Segoe UI" w:hAnsi="Segoe UI"/>
          <w:b/>
          <w:i w:val="0"/>
          <w:color w:val="282C34"/>
          <w:sz w:val="20"/>
        </w:rPr>
        <w:t>121 automated tests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achieving 100% pass rates: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>================================== test session starts ===================================</w:t>
              <w:br/>
              <w:t>platform win32 -- Python 3.10+, pytest-8.3.3, pluggy-1.5.0</w:t>
              <w:br/>
              <w:t>rootdir: C:\Users\adity\Documents\Zidio\FORESIGHT – AI-Powered Demand &amp; Inventory Intelligence Platform</w:t>
              <w:br/>
              <w:t>configfile: pyproject.toml</w:t>
              <w:br/>
              <w:t>collected 121 items</w:t>
              <w:br/>
              <w:br/>
              <w:t>tests/test_api.py .............                                                    [ 10%]</w:t>
              <w:br/>
              <w:t>tests/test_app.py .....                                                            [ 14%]</w:t>
              <w:br/>
              <w:t>tests/test_baseline.py ...............                                             [ 27%]</w:t>
              <w:br/>
              <w:t>tests/test_calendar.py ...                                                         [ 29%]</w:t>
              <w:br/>
              <w:t>tests/test_features.py ...........                                                 [ 38%]</w:t>
              <w:br/>
              <w:t>tests/test_flag_evaluation.py ........                                             [ 45%]</w:t>
              <w:br/>
              <w:t>tests/test_forecasting.py ..........                                               [ 53%]</w:t>
              <w:br/>
              <w:t>tests/test_ingestion.py .........                                                  [ 61%]</w:t>
              <w:br/>
              <w:t>tests/test_inventory.py ....                                                       [ 64%]</w:t>
              <w:br/>
              <w:t>tests/test_leakage.py ...........                                                  [ 73%]</w:t>
              <w:br/>
              <w:t>tests/test_phase0.py ......                                                        [ 78%]</w:t>
              <w:br/>
              <w:t>tests/test_promotions.py ..                                                        [ 80%]</w:t>
              <w:br/>
              <w:t>tests/test_risk.py ............                                                    [ 90%]</w:t>
              <w:br/>
              <w:t>tests/test_risk_scoring.py ............                                            [100%]</w:t>
              <w:br/>
              <w:br/>
              <w:t>================================== 121 passed in 37.42s ==================================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Static Analysis &amp; Linter Audit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Executed via Astral </w:t>
      </w:r>
      <w:r>
        <w:rPr>
          <w:rFonts w:ascii="Consolas" w:hAnsi="Consolas"/>
          <w:b w:val="0"/>
          <w:i w:val="0"/>
          <w:color w:val="B42828"/>
          <w:sz w:val="18"/>
        </w:rPr>
        <w:t>ruff</w:t>
      </w:r>
      <w:r>
        <w:rPr>
          <w:rFonts w:ascii="Segoe UI" w:hAnsi="Segoe UI"/>
          <w:b w:val="0"/>
          <w:i w:val="0"/>
          <w:color w:val="282C34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>python -m ruff check src tests api app</w:t>
              <w:br/>
              <w:t># Output: All checks passed! (0 errors, 0 warnings)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11. Operational Deployment &amp; Buyer Handoff Strategy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11.1 Workflow for Procurement Buyers (Immediate Reorders)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Navigate to Dashboard Page 3 (</w:t>
      </w:r>
      <w:r>
        <w:rPr>
          <w:rFonts w:ascii="Segoe UI" w:hAnsi="Segoe UI"/>
          <w:b/>
          <w:i w:val="0"/>
          <w:color w:val="282C34"/>
          <w:sz w:val="20"/>
        </w:rPr>
        <w:t>Inventory Decision Grid</w:t>
      </w:r>
      <w:r>
        <w:rPr>
          <w:rFonts w:ascii="Segoe UI" w:hAnsi="Segoe UI"/>
          <w:b w:val="0"/>
          <w:i w:val="0"/>
          <w:color w:val="282C34"/>
          <w:sz w:val="20"/>
        </w:rPr>
        <w:t xml:space="preserve">) ➔ Tab: </w:t>
      </w:r>
      <w:r>
        <w:rPr>
          <w:rFonts w:ascii="Segoe UI" w:hAnsi="Segoe UI"/>
          <w:b/>
          <w:i w:val="0"/>
          <w:color w:val="282C34"/>
          <w:sz w:val="20"/>
        </w:rPr>
        <w:t>Immediate Reorders</w:t>
      </w:r>
      <w:r>
        <w:rPr>
          <w:rFonts w:ascii="Segoe UI" w:hAnsi="Segoe UI"/>
          <w:b w:val="0"/>
          <w:i w:val="0"/>
          <w:color w:val="282C34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Filter by Category (e.g. </w:t>
      </w:r>
      <w:r>
        <w:rPr>
          <w:rFonts w:ascii="Consolas" w:hAnsi="Consolas"/>
          <w:b w:val="0"/>
          <w:i w:val="0"/>
          <w:color w:val="B42828"/>
          <w:sz w:val="18"/>
        </w:rPr>
        <w:t>Grocery</w:t>
      </w:r>
      <w:r>
        <w:rPr>
          <w:rFonts w:ascii="Segoe UI" w:hAnsi="Segoe UI"/>
          <w:b w:val="0"/>
          <w:i w:val="0"/>
          <w:color w:val="282C34"/>
          <w:sz w:val="20"/>
        </w:rPr>
        <w:t xml:space="preserve">, </w:t>
      </w:r>
      <w:r>
        <w:rPr>
          <w:rFonts w:ascii="Consolas" w:hAnsi="Consolas"/>
          <w:b w:val="0"/>
          <w:i w:val="0"/>
          <w:color w:val="B42828"/>
          <w:sz w:val="18"/>
        </w:rPr>
        <w:t>Dairy &amp; Bakery</w:t>
      </w:r>
      <w:r>
        <w:rPr>
          <w:rFonts w:ascii="Segoe UI" w:hAnsi="Segoe UI"/>
          <w:b w:val="0"/>
          <w:i w:val="0"/>
          <w:color w:val="282C34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Click </w:t>
      </w:r>
      <w:r>
        <w:rPr>
          <w:rFonts w:ascii="Segoe UI" w:hAnsi="Segoe UI"/>
          <w:b/>
          <w:i w:val="0"/>
          <w:color w:val="282C34"/>
          <w:sz w:val="20"/>
        </w:rPr>
        <w:t>Export CSV</w:t>
      </w:r>
      <w:r>
        <w:rPr>
          <w:rFonts w:ascii="Segoe UI" w:hAnsi="Segoe UI"/>
          <w:b w:val="0"/>
          <w:i w:val="0"/>
          <w:color w:val="282C34"/>
          <w:sz w:val="20"/>
        </w:rPr>
        <w:t xml:space="preserve"> to extract the </w:t>
      </w:r>
      <w:r>
        <w:rPr>
          <w:rFonts w:ascii="Segoe UI" w:hAnsi="Segoe UI"/>
          <w:b/>
          <w:i w:val="0"/>
          <w:color w:val="282C34"/>
          <w:sz w:val="20"/>
        </w:rPr>
        <w:t>325 prioritized purchase orders</w:t>
      </w:r>
      <w:r>
        <w:rPr>
          <w:rFonts w:ascii="Segoe UI" w:hAnsi="Segoe UI"/>
          <w:b w:val="0"/>
          <w:i w:val="0"/>
          <w:color w:val="282C34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Hand off directly to suppliers with recommended reorder quantities:</w:t>
      </w:r>
    </w:p>
    <w:p>
      <w:pPr>
        <w:spacing w:after="80" w:before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$$\text{PO Quantity}_i = \text{LTD}_i + \text{SS}_i - (\text{On-Hand}_i + \text{On-Order}_i)$$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Protects </w:t>
      </w:r>
      <w:r>
        <w:rPr>
          <w:rFonts w:ascii="Segoe UI" w:hAnsi="Segoe UI"/>
          <w:b/>
          <w:i w:val="0"/>
          <w:color w:val="282C34"/>
          <w:sz w:val="20"/>
        </w:rPr>
        <w:t>INR 32.79M</w:t>
      </w:r>
      <w:r>
        <w:rPr>
          <w:rFonts w:ascii="Segoe UI" w:hAnsi="Segoe UI"/>
          <w:b w:val="0"/>
          <w:i w:val="0"/>
          <w:color w:val="282C34"/>
          <w:sz w:val="20"/>
        </w:rPr>
        <w:t xml:space="preserve"> in customer sales across the upcoming 8 weeks.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11.2 Workflow for Merchandisers (Markdown Liquidation)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Navigate to Dashboard Page 3 ➔ Tab: </w:t>
      </w:r>
      <w:r>
        <w:rPr>
          <w:rFonts w:ascii="Segoe UI" w:hAnsi="Segoe UI"/>
          <w:b/>
          <w:i w:val="0"/>
          <w:color w:val="282C34"/>
          <w:sz w:val="20"/>
        </w:rPr>
        <w:t>Markdown Candidates</w:t>
      </w:r>
      <w:r>
        <w:rPr>
          <w:rFonts w:ascii="Segoe UI" w:hAnsi="Segoe UI"/>
          <w:b w:val="0"/>
          <w:i w:val="0"/>
          <w:color w:val="282C34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Identify the </w:t>
      </w:r>
      <w:r>
        <w:rPr>
          <w:rFonts w:ascii="Segoe UI" w:hAnsi="Segoe UI"/>
          <w:b/>
          <w:i w:val="0"/>
          <w:color w:val="282C34"/>
          <w:sz w:val="20"/>
        </w:rPr>
        <w:t>3,021 overstocked SKUs</w:t>
      </w:r>
      <w:r>
        <w:rPr>
          <w:rFonts w:ascii="Segoe UI" w:hAnsi="Segoe UI"/>
          <w:b w:val="0"/>
          <w:i w:val="0"/>
          <w:color w:val="282C34"/>
          <w:sz w:val="20"/>
        </w:rPr>
        <w:t xml:space="preserve"> ($WOS &gt; 12$ weeks).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>Implement tiered liquidation discounts: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12–26 Weeks of Supply: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15% promotional discount.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26–52 Weeks of Supply: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30% promotional discount.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&gt; 52 Weeks of Supply (Dead Stock):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50% clearance bundle to release trapped cash immediately.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i w:val="0"/>
          <w:color w:val="282C34"/>
          <w:sz w:val="20"/>
        </w:rPr>
        <w:t xml:space="preserve">Recovers up to </w:t>
      </w:r>
      <w:r>
        <w:rPr>
          <w:rFonts w:ascii="Segoe UI" w:hAnsi="Segoe UI"/>
          <w:b/>
          <w:i w:val="0"/>
          <w:color w:val="282C34"/>
          <w:sz w:val="20"/>
        </w:rPr>
        <w:t>INR 1.53B</w:t>
      </w:r>
      <w:r>
        <w:rPr>
          <w:rFonts w:ascii="Segoe UI" w:hAnsi="Segoe UI"/>
          <w:b w:val="0"/>
          <w:i w:val="0"/>
          <w:color w:val="282C34"/>
          <w:sz w:val="20"/>
        </w:rPr>
        <w:t xml:space="preserve"> in working capital for reinvestment into high-margin Class A inventory.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80" w:after="80"/>
        <w:pBdr>
          <w:bottom w:val="single" w:sz="4" w:space="2" w:color="2B547E"/>
        </w:pBdr>
      </w:pPr>
      <w:r>
        <w:rPr>
          <w:rFonts w:ascii="Segoe UI" w:hAnsi="Segoe UI"/>
          <w:b/>
          <w:color w:val="2B547E"/>
          <w:sz w:val="28"/>
        </w:rPr>
        <w:t>12. Limitations, Assumptions &amp; Long-Term Roadmap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12.1 Analytical Assumptions &amp; Boundary Conditions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Point-in-Time Inventory Snapshot: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The operational extract contained a single inventory snapshot (2025-12-31). Historical inventory burn-down was estimated from daily sales velocities.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Category Lead Times: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Where vendor contracts were absent, lead times were standardized by category heuristics (7–21 days) in </w:t>
      </w:r>
      <w:r>
        <w:rPr>
          <w:rFonts w:ascii="Consolas" w:hAnsi="Consolas"/>
          <w:b w:val="0"/>
          <w:i w:val="0"/>
          <w:color w:val="B42828"/>
          <w:sz w:val="18"/>
        </w:rPr>
        <w:t>configs/risk.yaml</w:t>
      </w:r>
      <w:r>
        <w:rPr>
          <w:rFonts w:ascii="Segoe UI" w:hAnsi="Segoe UI"/>
          <w:b w:val="0"/>
          <w:i w:val="0"/>
          <w:color w:val="282C34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Lunar Holiday Projection: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Islamic holidays are astronomical; projections beyond 2026 should be updated annually via national moon-sighting calendars.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12.2 Production Roadmap (Phase 7+)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Automated ERP Webhook Integration: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Connect FastAPI </w:t>
      </w:r>
      <w:r>
        <w:rPr>
          <w:rFonts w:ascii="Consolas" w:hAnsi="Consolas"/>
          <w:b w:val="0"/>
          <w:i w:val="0"/>
          <w:color w:val="B42828"/>
          <w:sz w:val="18"/>
        </w:rPr>
        <w:t>/batch/risk</w:t>
      </w:r>
      <w:r>
        <w:rPr>
          <w:rFonts w:ascii="Segoe UI" w:hAnsi="Segoe UI"/>
          <w:b w:val="0"/>
          <w:i w:val="0"/>
          <w:color w:val="282C34"/>
          <w:sz w:val="20"/>
        </w:rPr>
        <w:t xml:space="preserve"> directly to SAP / Microsoft Dynamics to generate purchase orders automatically.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Store-to-Store Inventory Balancing: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Implement a linear programming transportation solver to transfer excess stock from low-velocity stores to stockout-prone stores prior to placing external POs.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Dynamic Price Elasticity Engine: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Incorporate real-time competitor scrapers to optimize discount depth dynamically during clearance markdowns.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3"/>
        </w:rPr>
        <w:t>Certification &amp; Approvals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Lead Data Scientist: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Aditya Raj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Status: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Certified Production Complete (v1.0.0)</w:t>
      </w:r>
    </w:p>
    <w:p>
      <w:pPr>
        <w:spacing w:after="80" w:before="40" w:line="276" w:lineRule="auto"/>
      </w:pPr>
      <w:r>
        <w:rPr>
          <w:rFonts w:ascii="Segoe UI" w:hAnsi="Segoe UI"/>
          <w:b/>
          <w:i w:val="0"/>
          <w:color w:val="282C34"/>
          <w:sz w:val="20"/>
        </w:rPr>
        <w:t>Deliverables Completed:</w:t>
      </w:r>
      <w:r>
        <w:rPr>
          <w:rFonts w:ascii="Segoe UI" w:hAnsi="Segoe UI"/>
          <w:b w:val="0"/>
          <w:i w:val="0"/>
          <w:color w:val="282C34"/>
          <w:sz w:val="20"/>
        </w:rPr>
        <w:t xml:space="preserve"> D1 (Data Pipeline Audit), D2 (EDA &amp; Baseline), D3 (ML Forecaster), D4 (Risk Decisioning), D5 (Streamlit Dashboard), D6 (FastAPI Service), D7 (Executive Readout).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C8C8C"/>
        <w:sz w:val="17"/>
      </w:rPr>
      <w:t>Confidential — NorthBay Living &amp; Zidio Development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808080"/>
        <w:sz w:val="17"/>
      </w:rPr>
      <w:t>Project FORESIGHT — Demand &amp; Inventory Intelligence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