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58F9A17A"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t>GG MM YYYY</w:t>
      </w:r>
    </w:p>
    <w:p w14:paraId="51DCF0F9" w14:textId="77777777" w:rsidR="000B50DD" w:rsidRPr="00D01078" w:rsidRDefault="000B50DD" w:rsidP="000B50DD">
      <w:pPr>
        <w:pStyle w:val="OMGTitlePage"/>
      </w:pPr>
    </w:p>
    <w:p w14:paraId="24154FCF" w14:textId="5E50756B" w:rsidR="000B50DD" w:rsidRPr="00D01078" w:rsidRDefault="000B50DD" w:rsidP="000B50DD">
      <w:pPr>
        <w:pStyle w:val="Inventory"/>
      </w:pPr>
      <w:r w:rsidRPr="00D01078">
        <w:t>Document Number:</w:t>
      </w:r>
      <w:r w:rsidRPr="00D01078">
        <w:tab/>
      </w:r>
      <w:r w:rsidRPr="00D01078">
        <w:tab/>
      </w:r>
      <w:r w:rsidRPr="00D01078">
        <w:tab/>
        <w:t>ptc/201</w:t>
      </w:r>
      <w:r w:rsidR="0027017E">
        <w:t>2</w:t>
      </w:r>
      <w:r w:rsidRPr="00D01078">
        <w:t>-</w:t>
      </w:r>
      <w:r w:rsidR="0027017E">
        <w:t>1</w:t>
      </w:r>
      <w:r w:rsidR="000E070F">
        <w:t>1</w:t>
      </w:r>
      <w:r w:rsidR="0027017E">
        <w:t>-xx</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r w:rsidR="0002734C" w:rsidRPr="00D01078">
        <w:t>PrismTech</w:t>
      </w:r>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04711BF1" w:rsidR="000B50DD" w:rsidRPr="00D01078" w:rsidRDefault="000B50DD" w:rsidP="000B50DD">
      <w:pPr>
        <w:pStyle w:val="Inventory"/>
      </w:pPr>
      <w:r w:rsidRPr="00D01078">
        <w:t>Revised specification (clean):</w:t>
      </w:r>
      <w:r w:rsidRPr="00D01078">
        <w:tab/>
      </w:r>
      <w:r w:rsidRPr="00D01078">
        <w:tab/>
      </w:r>
      <w:r w:rsidR="000E070F">
        <w:t>ptc/2012</w:t>
      </w:r>
      <w:r w:rsidRPr="00D01078">
        <w:t>-</w:t>
      </w:r>
      <w:r w:rsidR="000E070F">
        <w:t>11-xx</w:t>
      </w:r>
    </w:p>
    <w:p w14:paraId="072BC677" w14:textId="1BC449BA" w:rsidR="000B50DD" w:rsidRPr="00D01078" w:rsidRDefault="000B50DD" w:rsidP="000B50DD">
      <w:pPr>
        <w:pStyle w:val="Inventory"/>
      </w:pPr>
      <w:r w:rsidRPr="00D01078">
        <w:t>Revised spec</w:t>
      </w:r>
      <w:r w:rsidR="000E070F">
        <w:t>ification (change-bar):</w:t>
      </w:r>
      <w:r w:rsidR="000E070F">
        <w:tab/>
        <w:t>ptc/2012-11-xx</w:t>
      </w:r>
    </w:p>
    <w:p w14:paraId="3569840B" w14:textId="77777777" w:rsidR="000B50DD" w:rsidRPr="00D01078" w:rsidRDefault="000B50DD" w:rsidP="000B50DD">
      <w:pPr>
        <w:pStyle w:val="Inventory"/>
      </w:pPr>
    </w:p>
    <w:p w14:paraId="2BFB7868" w14:textId="77777777" w:rsidR="000B50DD" w:rsidRPr="00D01078" w:rsidRDefault="000B50DD" w:rsidP="000B50DD">
      <w:pPr>
        <w:pStyle w:val="OMGTitlePage"/>
      </w:pPr>
      <w:r w:rsidRPr="00D01078">
        <w:t>Accompanying documents</w:t>
      </w:r>
    </w:p>
    <w:p w14:paraId="69470286" w14:textId="5410BC77" w:rsidR="000B50DD" w:rsidRPr="00D01078" w:rsidRDefault="007F7940" w:rsidP="000B50DD">
      <w:pPr>
        <w:pStyle w:val="Inventory"/>
      </w:pPr>
      <w:r>
        <w:t>Inventory:</w:t>
      </w:r>
      <w:r>
        <w:tab/>
      </w:r>
      <w:r>
        <w:tab/>
      </w:r>
      <w:r>
        <w:tab/>
      </w:r>
      <w:r>
        <w:tab/>
      </w:r>
      <w:r>
        <w:tab/>
        <w:t>ptc/2012</w:t>
      </w:r>
      <w:r w:rsidR="000B50DD" w:rsidRPr="00D01078">
        <w:t>-</w:t>
      </w:r>
      <w:r>
        <w:t>11-xx</w:t>
      </w:r>
      <w:r>
        <w:rPr>
          <w:rStyle w:val="TODO"/>
        </w:rPr>
        <w:t xml:space="preserve"> </w:t>
      </w:r>
      <w:r w:rsidR="000B50DD" w:rsidRPr="00D01078">
        <w:tab/>
      </w:r>
      <w:r w:rsidR="00B8174D">
        <w:t xml:space="preserve">          </w:t>
      </w:r>
      <w:r w:rsidR="00D26646">
        <w:t xml:space="preserve"> </w:t>
      </w:r>
      <w:r w:rsidR="000B50DD" w:rsidRPr="00D01078">
        <w:t>Non-normative</w:t>
      </w:r>
    </w:p>
    <w:p w14:paraId="6F26CB25" w14:textId="5D04AE57" w:rsidR="000B50DD" w:rsidRPr="00D01078" w:rsidRDefault="00322FB4" w:rsidP="000B50DD">
      <w:pPr>
        <w:pStyle w:val="Inventory"/>
        <w:rPr>
          <w:color w:val="FF0000"/>
        </w:rPr>
      </w:pPr>
      <w:r w:rsidRPr="00D01078">
        <w:t>dds-psm-cxx</w:t>
      </w:r>
      <w:r w:rsidR="000B50DD" w:rsidRPr="00D01078">
        <w:t>.</w:t>
      </w:r>
      <w:r w:rsidRPr="00D01078">
        <w:t>tar.gz</w:t>
      </w:r>
      <w:r w:rsidR="007F7940">
        <w:t>:</w:t>
      </w:r>
      <w:r w:rsidR="007F7940">
        <w:tab/>
      </w:r>
      <w:r w:rsidR="007F7940">
        <w:tab/>
      </w:r>
      <w:r w:rsidR="007F7940">
        <w:tab/>
      </w:r>
      <w:r w:rsidR="007F7940">
        <w:tab/>
        <w:t>ptc/2012-11-xx</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18DFB072" w14:textId="00BEAD2C" w:rsidR="000B50DD" w:rsidRPr="00D01078" w:rsidRDefault="000B50DD" w:rsidP="000B50DD">
      <w:r w:rsidRPr="00D01078">
        <w:t>Template: omg/09-06-01</w:t>
      </w: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QoS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8"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QoS from XML filers. This solution is not ideal since if generalized, e.g. QoS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PolicyBuilder  builder = PolicyBuilder::load("XMLBuilder");  </w:t>
      </w:r>
    </w:p>
    <w:p w14:paraId="1F3AF52F" w14:textId="0D06DA66" w:rsidR="0041741F" w:rsidRPr="00D01078" w:rsidRDefault="0041741F" w:rsidP="002C25A5">
      <w:pPr>
        <w:rPr>
          <w:rFonts w:asciiTheme="majorHAnsi" w:hAnsiTheme="majorHAnsi"/>
          <w:sz w:val="22"/>
          <w:szCs w:val="22"/>
        </w:rPr>
      </w:pPr>
      <w:r w:rsidRPr="00D01078">
        <w:rPr>
          <w:rFonts w:asciiTheme="majorHAnsi" w:hAnsiTheme="majorHAnsi" w:cs="Courier"/>
          <w:color w:val="000000"/>
          <w:sz w:val="22"/>
          <w:szCs w:val="22"/>
        </w:rPr>
        <w:t xml:space="preserve">TopicQos tqos = builder.topic_qos(file_name, profile_name);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QoS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This issue has a twin-issue on the dds-psm-java.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P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dds::core::qos::TQoSProvider provider has been added to the C++ API to allow the external configuration of QoS.  </w:t>
      </w:r>
      <w:r w:rsidR="00753B21">
        <w:rPr>
          <w:rFonts w:asciiTheme="majorHAnsi" w:eastAsia="Times New Roman" w:hAnsiTheme="majorHAnsi" w:cs="Times New Roman"/>
          <w:bCs/>
          <w:color w:val="000000"/>
          <w:sz w:val="22"/>
          <w:szCs w:val="22"/>
        </w:rPr>
        <w:t>Section 7.6.2.1 of the specification document has been updated accordingly to describe the dds::core::TQoSProvider.</w:t>
      </w: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79DEE300"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Under Discussion</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_Toc178327460"/>
      <w:bookmarkStart w:id="3" w:name="Issue15967"/>
      <w:r w:rsidRPr="00D01078">
        <w:t xml:space="preserve">Issue 15967: factory methods on the "parents" (e.g. create_topic, create_data_writer, etc.) </w:t>
      </w:r>
      <w:bookmarkEnd w:id="2"/>
    </w:p>
    <w:bookmarkEnd w:id="3"/>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9"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 changes introduced in the final submission to support factory methods on  the "parents" (e.g. create_topic, create_data_writer, etc.) has introduced a  few issues.  a. Reference types are not created in a uniform way. In essence,    DomainParticipant, Subscriber, Publisher, DataReader and DataWriter    types are instantiated using a different syntax than that used by    WaitSets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The dds-psm-cxx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DDS entities, such as DomainParticipant, Publisher and Subscriber.</w:t>
      </w: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77777777"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_Toc178327461"/>
      <w:bookmarkStart w:id="5" w:name="Issue16261"/>
      <w:r w:rsidRPr="00D01078">
        <w:t xml:space="preserve">Issue 16261: Union/array/bounded types lacking </w:t>
      </w:r>
      <w:bookmarkEnd w:id="4"/>
    </w:p>
    <w:bookmarkEnd w:id="5"/>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0"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2406CF16"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178327462"/>
      <w:r w:rsidRPr="00D01078">
        <w:t xml:space="preserve">Issue 16269: Inconsistencies related to use of const&amp; </w:t>
      </w:r>
      <w:bookmarkEnd w:id="7"/>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1"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There is consistency issue in the spec with respect to the use of const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_Toc178327463"/>
      <w:bookmarkStart w:id="9"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The API has been verified to consistently use const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8"/>
    </w:p>
    <w:bookmarkEnd w:id="9"/>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const Duration operator /(uint32_t lhs,  const Duration&amp; rhs); </w:t>
      </w:r>
    </w:p>
    <w:p w14:paraId="742EC790" w14:textId="77777777" w:rsidR="000970E7" w:rsidRPr="00D01078" w:rsidRDefault="0041741F" w:rsidP="00523FC9">
      <w:pPr>
        <w:rPr>
          <w:rFonts w:asciiTheme="majorHAnsi" w:hAnsiTheme="majorHAnsi" w:cs="Courier"/>
          <w:color w:val="000000"/>
          <w:sz w:val="20"/>
          <w:szCs w:val="22"/>
        </w:rPr>
      </w:pPr>
      <w:r w:rsidRPr="00D01078">
        <w:rPr>
          <w:rFonts w:ascii="Menlo Regular" w:hAnsi="Menlo Regular" w:cs="Menlo Regular"/>
          <w:color w:val="000000"/>
          <w:sz w:val="18"/>
          <w:szCs w:val="22"/>
        </w:rPr>
        <w:t xml:space="preserve">const Time operator /(uint32_t lhs,  const Time&amp; rhs);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Remove the following free functions. const Duration operator /(uint32_t lhs, const Duration&amp; rhs);  const Time operator /(uint32_t lhs, const Time&amp; rhs);</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_Toc178327464"/>
      <w:bookmarkStart w:id="11"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Removed methods that allowed a number to be divided by a duration.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0"/>
    </w:p>
    <w:bookmarkEnd w:id="11"/>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All the classes that inherit from dds::core::Value&lt;D&gt; seem to be missing a copy-ctor. For example, QosPolicyCount in src\hpp\tdds\core\policy\QosPolicyCount.hpp. Without a copy-ctor, VS2010 issues a “cannot convert from ...” error.   Most of these classes are found in the following files:   src\hpp\tdds\core\InstanceHandle.hpp src\hpp\tdds\core\policy\CorePolicy.hpp src\hpp\tdds\core\policy\QosPolicyCount.hpp src\hpp\tdds\core\qos\EntityQos.hpp   Proposed Solution: Add a copy constructor to all the classes that inherit from dds::core::Value&lt;D&gt; as follows:   QosPolicyCount(const QosPolicyCount&amp; src) : dds::core::Value&lt;DELEGATE&gt;(src.delegate())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dds-psm-cxx\src\hpp\dds\core\Exception.hpp do not need copy-ctor because there is nothing to copy and the base classes don’t have copy constructors either.    Proposed resolution: Remove the declarations of copy constructors in dds-psm-cxx\src\hpp\dds\core\Exception.hpp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The private constructor of SampleRejectedStatus in dds-psm-cxx-read-only\src\hpp\dds\core\status\State.hpp needs a typecast to avoid compilation errors on Visual studio versions of STL.   The following constructor can’t be called due to ambiguous overloads of bistset&lt;N&gt; constructors.   private: SampleRejectedState(uint32_t s) : MaskType(s) { }    Proposed solution: Change the call to the base constructor to include an explicit static_cast to int.    private: SampleRejectedState(uint32_t s) : MaskType(static_cast&lt;int&gt;(s)) { }</w:t>
      </w:r>
      <w:bookmarkStart w:id="12" w:name="_Toc178327465"/>
      <w:bookmarkStart w:id="13"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The Visual Studio C++ 2010 compiler was raising a series of errors and warning that were not caught by GCC relating to some lacking ctors and conversion operators in some template classes.  All the errors raised by Visual Studio C++ 2010 have been addressed as verifiable on the latest version of the dds-psm-cxx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2"/>
    </w:p>
    <w:bookmarkEnd w:id="13"/>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D&gt; Reference(const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R&gt; Reference(const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 xml:space="preserve">e(const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With just member operator== and operator!= functions, Reference&lt;D&gt; can't be used in expressions like    if(dds::null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dds::core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(dds::null_type,</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const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return r.is_nil();</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w:t>
      </w:r>
      <w:r w:rsidR="00D12F74" w:rsidRPr="00D01078">
        <w:rPr>
          <w:rFonts w:ascii="Menlo Regular" w:hAnsi="Menlo Regular" w:cs="Menlo Regular"/>
          <w:color w:val="000000"/>
          <w:sz w:val="18"/>
          <w:szCs w:val="22"/>
        </w:rPr>
        <w:t xml:space="preserve">::null_type,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xml:space="preserve">const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!r.is_nil();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4" w:name="_Toc178327466"/>
      <w:bookmarkStart w:id="15"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The changes suggested by the issue submitter have been applied to the Refence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Issue 16340: Fixing bugs and improving usability of the InstanceHandle&lt;D&gt; class</w:t>
      </w:r>
      <w:bookmarkEnd w:id="14"/>
    </w:p>
    <w:bookmarkEnd w:id="15"/>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The InstanceHandle class in dds-psm-cxx\src\hpp\tdds\core\instancehandle.hpp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InstanceHandle(const DELEGATE &amp; d) :  dds::core::Value&lt;DELEGATE&gt;(d)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copy-constructor  InstanceHandle(const InstanceHandle&amp; src)  :  dds::core::Value&lt;DELEGATE&gt;(src.delegate())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InstanceHandle&amp; operator=(const dds::core::null_type&amp; src) { return this-&gt;delegate().operator=(src);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like  if(dds::null == instance_handle_object)    Currently it supports other way round. The proposed solution is to add two overloaded operators in tdds::core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 &lt;class D&gt; bool operator==</w:t>
      </w:r>
      <w:r w:rsidRPr="00D01078">
        <w:rPr>
          <w:rFonts w:ascii="Menlo Regular" w:hAnsi="Menlo Regular" w:cs="Menlo Regular"/>
          <w:color w:val="000000"/>
          <w:sz w:val="20"/>
          <w:szCs w:val="22"/>
        </w:rPr>
        <w:t xml:space="preserve">(dds::core::null_type,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InstanceHandle&lt;D&gt; const &amp;ih)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ih.is_nil();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 &lt;class D&gt; bool operator!=</w:t>
      </w:r>
      <w:r w:rsidRPr="00D01078">
        <w:rPr>
          <w:rFonts w:ascii="Menlo Regular" w:hAnsi="Menlo Regular" w:cs="Menlo Regular"/>
          <w:color w:val="000000"/>
          <w:sz w:val="20"/>
          <w:szCs w:val="22"/>
        </w:rPr>
        <w:t xml:space="preserve">(dds::core::null_type,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InstanceHandle&lt;D&gt; const &amp;ih)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!ih.is_nil();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Finally, the InstanceHandle&lt;D&gt; class and in general the classes that support comparison with dds::null will benefit from supporting a generic and succinct syntax of the form: if(instance_handle_object).    Proposed Solution: An idiomatic way of implenting it is the safe-bool idiom, which has been used widely in standard and boost smart pointer classes, such as std::auto_ptr, boost::shared_ptr. Here is a self-sufficient file that shows one way of implementing the safe bool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6" w:name="_Toc178327467"/>
      <w:bookmarkStart w:id="17"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TInstanceHandle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7F0055"/>
          <w:sz w:val="18"/>
          <w:szCs w:val="22"/>
          <w:lang w:val="fr-FR"/>
        </w:rPr>
        <w:t>template</w:t>
      </w:r>
      <w:r w:rsidRPr="005159C4">
        <w:rPr>
          <w:rFonts w:ascii="Monaco" w:hAnsi="Monaco" w:cs="Monaco"/>
          <w:color w:val="000000"/>
          <w:sz w:val="18"/>
          <w:szCs w:val="22"/>
          <w:lang w:val="fr-FR"/>
        </w:rPr>
        <w:t xml:space="preserve"> &lt;</w:t>
      </w:r>
      <w:r w:rsidRPr="005159C4">
        <w:rPr>
          <w:rFonts w:ascii="Monaco" w:hAnsi="Monaco" w:cs="Monaco"/>
          <w:b/>
          <w:bCs/>
          <w:color w:val="7F0055"/>
          <w:sz w:val="18"/>
          <w:szCs w:val="22"/>
          <w:lang w:val="fr-FR"/>
        </w:rPr>
        <w:t>typename</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000000"/>
          <w:sz w:val="18"/>
          <w:szCs w:val="22"/>
          <w:lang w:val="fr-FR"/>
        </w:rPr>
        <w:t>TInstanceHandle</w:t>
      </w:r>
      <w:r w:rsidRPr="005159C4">
        <w:rPr>
          <w:rFonts w:ascii="Monaco" w:hAnsi="Monaco" w:cs="Monaco"/>
          <w:color w:val="000000"/>
          <w:sz w:val="18"/>
          <w:szCs w:val="22"/>
          <w:lang w:val="fr-FR"/>
        </w:rPr>
        <w:t>(</w:t>
      </w:r>
      <w:r w:rsidRPr="005159C4">
        <w:rPr>
          <w:rFonts w:ascii="Monaco" w:hAnsi="Monaco" w:cs="Monaco"/>
          <w:b/>
          <w:bCs/>
          <w:color w:val="7F0055"/>
          <w:sz w:val="18"/>
          <w:szCs w:val="22"/>
          <w:lang w:val="fr-FR"/>
        </w:rPr>
        <w:t>const</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InstanceHandle is a Value as opposed to a Reference type. As such comparison with null_ref is conceptually non-correct and potentially highly misleading. The current API provides an isNil method to check wether the handle is or isn’t nil.</w:t>
      </w:r>
      <w:r w:rsidR="0035336E">
        <w:rPr>
          <w:rFonts w:asciiTheme="majorHAnsi" w:eastAsia="Times New Roman" w:hAnsiTheme="majorHAnsi" w:cs="Times New Roman"/>
          <w:color w:val="000000"/>
          <w:sz w:val="22"/>
          <w:szCs w:val="22"/>
        </w:rPr>
        <w:t xml:space="preserve"> In addition, the InstanceHandle defines the NilHandle to allow proper comparisons.</w:t>
      </w:r>
      <w:r w:rsidR="00391F8B">
        <w:rPr>
          <w:rFonts w:asciiTheme="majorHAnsi" w:eastAsia="Times New Roman" w:hAnsiTheme="majorHAnsi" w:cs="Times New Roman"/>
          <w:color w:val="000000"/>
          <w:sz w:val="22"/>
          <w:szCs w:val="22"/>
        </w:rPr>
        <w:t xml:space="preserve">  To this hand an operator== for the InstanceHandle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1B3C866" w14:textId="74D7CE50" w:rsidR="00391F8B" w:rsidRPr="00391F8B"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r w:rsidR="00427172" w:rsidRPr="00427172">
        <w:rPr>
          <w:rFonts w:asciiTheme="majorHAnsi" w:eastAsia="Times New Roman" w:hAnsiTheme="majorHAnsi" w:cs="Times New Roman"/>
          <w:bCs/>
          <w:color w:val="000000"/>
          <w:sz w:val="22"/>
          <w:szCs w:val="22"/>
        </w:rPr>
        <w:t>https://github.com/kydos/dds-psm-cxx/blob/master/src/hpp/dds/core/TInstanceHandle.hpp</w:t>
      </w:r>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FDE843D" w14:textId="77777777"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46841511" w14:textId="77777777"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5428FF39" w14:textId="1219BCBC"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AA0E2D">
        <w:rPr>
          <w:rFonts w:asciiTheme="majorHAnsi" w:eastAsia="Times New Roman" w:hAnsiTheme="majorHAnsi" w:cs="Times New Roman"/>
          <w:color w:val="000000"/>
          <w:sz w:val="22"/>
          <w:szCs w:val="22"/>
        </w:rPr>
        <w:t>Under Discussion</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6"/>
    </w:p>
    <w:bookmarkEnd w:id="17"/>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5"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'dds::domain::NoOpDomainParticipantListener' : inherits 'dds::pub::NoOpPublisherListener::dds::pub::NoOpPublisherListener::on_offered_deadline_missed' via dominance   Proposed solution:   Add empty bodies for all the inherited virtual functions in all the NoOp*Listener classes. Particularly, NoOpDomainParticipantListener, NoOpPublisherListener, and NoOpSubscriberListener.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694CD11"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DF424BD"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8" w:name="_Toc178327468"/>
      <w:bookmarkStart w:id="19" w:name="Issue16374"/>
      <w:r w:rsidRPr="00D01078">
        <w:br w:type="page"/>
      </w:r>
    </w:p>
    <w:p w14:paraId="706D8B86" w14:textId="1991D18A" w:rsidR="0041741F" w:rsidRPr="00D01078" w:rsidRDefault="0041741F" w:rsidP="00331F6D">
      <w:pPr>
        <w:pStyle w:val="Titre1"/>
      </w:pPr>
      <w:r w:rsidRPr="00D01078">
        <w:t>Issue 16374: Use traits for topic/datareader/datawriter</w:t>
      </w:r>
      <w:bookmarkEnd w:id="18"/>
    </w:p>
    <w:bookmarkEnd w:id="19"/>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16"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The proposed PSM takes the DDS PSM and now gives the users templates instead of new classes as with the IDL to C++ mapping.   For example RadarTrackDataWriter becomes DataWriter&lt;RadarTrack&gt;.   To my idea this this is syntactical sugar and I still see how the DDS implementation implement their support. I would like to propose a different way. As user I just have RadarTrack, that is coming from my user domain, so why now create a set of traits that can be used by the end user. Than he doesn't see anything special from DDS, not whether it is a template or a class.    So he writes RadarTrack::data_writer_type dw = pub.create_datawriter() RadarTrack::topic_type tp = dp.create_topic().  The DDS implementation can than do anything behind data_writer_type,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DDS-PSM-Cxx currently uses traits specialization to devise the right Delegate type for a Topic&lt;Foo&gt;, DataWriter&lt;Foo&gt;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0"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1"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1"/>
    </w:p>
    <w:bookmarkEnd w:id="20"/>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copy-ctor of std::string may run out of memory resulting into std::bad_alloc exception. However, in practice, APIs must specify guarantees about the internal state of the data structures after any exception propagates out. Exception-safety guarantees for C++ abstractions come in four categories: strong, basic, nothrow, and neutral. For instance, the push_back member function of std::vector, std::list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std::string and may throw. Consider, for instance, SubscriptionBuiltinTopicData. Value&lt;D&gt; delegates the assignment to its delegate, SubscriptionBuiltinTopicDataImpl. This impl class has non-pod members such as std::string and does not define its own assignment operator. Assignment of one string (topic_name) may succeed but the assignment of second string (type_name) may fail with a bad_alloc exception. This may result into inconsistent left-hand-side SubscriptionBuiltinTopicData object when DataWriter:: matched_subscription_data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At least basic guarantees for reference types:  Not all implementations may be able to provide strong guarantees for reference types such as DataWriter&lt;Foo&gt;, DataReader&lt;Foo&gt;.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70300B3F" w14:textId="0603A014"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3D3E891" w14:textId="7E2C569C"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AF29D8B" w14:textId="238E00EF"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2" w:name="Issue16402"/>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3" w:name="_Toc178327470"/>
      <w:r w:rsidRPr="00D01078">
        <w:t>Issue 16402: Exception safety guarantees for the DataReader API</w:t>
      </w:r>
      <w:bookmarkEnd w:id="23"/>
    </w:p>
    <w:bookmarkEnd w:id="22"/>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8"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The DataReader API must provide an exception-safe way to retrieve samples and must specify guarantees when exceptions are thrown. The exception safety of the DataReader API is analyzed with respect to user level state and middleware state. Read and take are both logically non-const operations with respect to the m/w because both of them have side effects such as changes in the sample_state and instance_state. There could be exceptions while delivering samples from m/w space to user space on the boundary of the read/take function calls. Depending upon the implementation there may or may not be a way to roll-back the changes in sample_state and instance_state. However, it is critical to have a way to not lose the samples even in case of exceptions. In general, it is difficult to provide strong guarantees with respect to m/w for datareader api.</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LoanedSamples:    The constructor of LoanedSamples should provide strong guarantees. All the remaining operations (specifically copy-ctor and copy-assignment operator) should provide no-throw guarantees. It is important for LoanedSample to not throw exception during copy because then the samples would be lost. Further, read/take api should minimize dynamic memory allocation and locks on the critical path for performance reasons. Therefore LoanedSamples can’t use reference semantics either. (Reference&lt;D&gt; uses shared_ptr, which uses dynamic memory allocation and mutex to construct and protect the reference count.)   These strict guarantees for LoanedSamples appear to be essential to support at least minimally exception safe read/take api that does no lose samples in case of exceptions. It is also the intent of LoanedSamples&lt;T&gt; to return the resources to m/w as soon as it goes out of scope.   Proposed Solution: Use std::auto_ptr semantics in LoanedSamples. A key property of std::auto_ptr is that it can be safely returned while moving the resources out of an inner scope to an outer. No exceptions will be thrown. LoanedSamples&lt;T&gt; should be designed as such to avoid exceptions on copy. There is an idiomatic way of implementing such a class: The Move-constructor Idiom.   Consequences: No std::vector&lt;LoanedSamples&lt;T&gt;&gt; would be possible. However the anticipated use-case of LoandedSamples is that the users would iterate over the range of samples and copy them and return the loan. For those users who really want to create vectors of loaned buffers, they would take ownership of the buffer from the LoanedSamples and use std::vector&lt;shared_ptr&lt;T&gt; &gt; to automate memory management. Use of custom deleters feature of shared_ptr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take(): Basic exception safe.    The take function is loaning a buffer from the m/w. The implementations may or may not provide a way to ‘untake' samples. So this function cannot provide strong exception safety with respect to m/w. Therefore, guarantees of LoanedSample above are applicable here. This would guarantee that the samples that are removed from the history cache are not destoyed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read(): Basic exception safe.   An attempt can be made to reread the samples. Above guarantees of LoanedSamples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read(SamplesFWIterator, InfoFWIterator, size_t max_samples): Basic exception safe void take(SamplesFWIterator, InfoFWIterator, size_t max_samples):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max_samples objects. In other words, the range cannot contain any uninitialized object. This prohibits uses such as   std::vector&lt;T&gt; v; v.reserve(max); dr.read(v.begin(), v.end(), max);   Changes to m/w state ==== The read() function has side effects like changes in the view_state and instance_state so it's really not a const function. The implementations may or may not provide a way to ‘unread' samples.  So with respect to these status bits there is no way to provide strong exception guarantee so only basic guarantee is provided.   Proposed Solution: In case of an exception (e.g., std::bad_alloc) during these function calls, construct an internal LoanedSamples&lt;T&gt; object and wrap it in a ‘ReadTakeException’ object and throw it. ReadTakeException class must provide an API to retrieve the LoanedSamples. Nothrow guarantees of LoanedSamples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read(SamplesBIIterator, InfoBIIterator, size_t max_samples): Basic exception safe take(SamplesBIIterator, InfoBIIterator, size_t max_samples): Basic exception safe  In addition to the exceptions that forward iterator versions can throw, these functions can throw when vector::push_back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6C85ACB"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Pr="00D01078" w:rsidRDefault="0041741F"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bCs/>
          <w:color w:val="000000"/>
          <w:sz w:val="22"/>
          <w:szCs w:val="22"/>
        </w:rPr>
        <w:t>Actions taken:</w:t>
      </w:r>
      <w:bookmarkStart w:id="24" w:name="Issue16403"/>
      <w:r w:rsidR="000654D9" w:rsidRPr="00D01078">
        <w:rPr>
          <w:rFonts w:asciiTheme="majorHAnsi" w:eastAsia="Times New Roman" w:hAnsiTheme="majorHAnsi" w:cs="Times New Roman"/>
          <w:color w:val="000000"/>
          <w:sz w:val="22"/>
          <w:szCs w:val="22"/>
        </w:rPr>
        <w:t xml:space="preserve"> </w:t>
      </w: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5"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5"/>
    </w:p>
    <w:bookmarkEnd w:id="24"/>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9"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DataReader::</w:t>
      </w:r>
      <w:r w:rsidRPr="00D01078">
        <w:rPr>
          <w:rFonts w:asciiTheme="majorHAnsi" w:hAnsiTheme="majorHAnsi" w:cs="Courier"/>
          <w:color w:val="000000"/>
          <w:sz w:val="22"/>
          <w:szCs w:val="22"/>
        </w:rPr>
        <w:t>create_readcondition as in dds-psm-cxx\src\hpp\dds\sub\DataReader.hpp is a  shared_ptr usage anti-pattern.    Proposed Solution:  Create separate shared_ptr&lt;T&gt; objects for every new operation. Pass the shared_ptr&lt;T&gt; to the constructor of ReadCondition.</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All setters and getters (including overloaded operators) of EntityQos should be strong exception safe.   Proposed Solution: Make copy-assignment operator of every qos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6" w:name="Issue16404"/>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7" w:name="_Toc178327472"/>
      <w:r w:rsidRPr="00D01078">
        <w:br w:type="page"/>
      </w:r>
    </w:p>
    <w:p w14:paraId="34D3727B" w14:textId="38A69AB3" w:rsidR="0041741F" w:rsidRPr="00D01078" w:rsidRDefault="0041741F" w:rsidP="00AD6F2A">
      <w:pPr>
        <w:pStyle w:val="Titre1"/>
      </w:pPr>
      <w:r w:rsidRPr="00D01078">
        <w:t>Issue 16404: Improving usability of EntityQoS API</w:t>
      </w:r>
      <w:bookmarkEnd w:id="27"/>
    </w:p>
    <w:bookmarkEnd w:id="26"/>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0"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qos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477E08BD"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398DBA4A"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Dwqos.policy&lt;History&gt;().kind(KEEP_ALL).depth(200); Dwqos.policy&lt;ResourceLimits&gt;().max_samples(p).max_instances(q).max_samples_per_instance(r); </w:t>
      </w:r>
    </w:p>
    <w:p w14:paraId="15620F6E"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&lt;&lt; dwqos;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Currently, it needs different function calls for every qos parameter.  Proposed Solution: Change all the normative core qos policy classes (e.g., History, ResourceLimits)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0C289ECF" w14:textId="77777777" w:rsidR="00A26342"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2F28F79E" w14:textId="77777777"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dwqos &lt;&lt; History::KeepAll(200)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r w:rsidR="00AC612E">
        <w:rPr>
          <w:rFonts w:asciiTheme="majorHAnsi" w:hAnsiTheme="majorHAnsi" w:cs="Courier"/>
          <w:color w:val="000000"/>
          <w:sz w:val="22"/>
          <w:szCs w:val="22"/>
        </w:rPr>
        <w:t>dwqos.policy&lt;</w:t>
      </w:r>
      <w:r>
        <w:rPr>
          <w:rFonts w:asciiTheme="majorHAnsi" w:hAnsiTheme="majorHAnsi" w:cs="Courier"/>
          <w:color w:val="000000"/>
          <w:sz w:val="22"/>
          <w:szCs w:val="22"/>
        </w:rPr>
        <w:t>ResourceLimits</w:t>
      </w:r>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w:t>
      </w:r>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.max_instances(q)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.max_samples_per_instance(r);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dw &lt;&lt; dwqos;</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1"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5DF0971E"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3"/>
      <w:bookmarkStart w:id="29"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8"/>
    </w:p>
    <w:bookmarkEnd w:id="29"/>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api is significantly easier using automatic conversion from value types to the delegate types. The situation arises when an extension method defined in the idds namespace takes a parameter defined only in the idds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dds::core::Value&lt;D&gt;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operator D &amp; () { return d_; } operator const D &amp; () const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7F3D6F30" w:rsidR="00725BE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bookmarkStart w:id="30" w:name="_GoBack"/>
      <w:bookmarkEnd w:id="30"/>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141A32F3"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AF6A72">
        <w:rPr>
          <w:rFonts w:asciiTheme="majorHAnsi" w:eastAsia="Times New Roman" w:hAnsiTheme="majorHAnsi" w:cs="Times New Roman"/>
          <w:color w:val="000000"/>
          <w:sz w:val="22"/>
          <w:szCs w:val="22"/>
        </w:rPr>
        <w:t>Reject</w:t>
      </w:r>
    </w:p>
    <w:p w14:paraId="450ABBAE" w14:textId="77777777"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1" w:name="_Toc178327474"/>
      <w:bookmarkStart w:id="32"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1"/>
    </w:p>
    <w:bookmarkEnd w:id="32"/>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23"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We would like to propose to make the mapping for native and type parameters the same. So const T&amp; for in and T/const T&amp; for return. This makes the mapping easier and more consistent. For example the DDS InstanceHandle_t is defined as native, some vendors define it as long, some as a struct which leads to different code being generated when the end user has a local interface with a DDS InstanceHandle_t as argument. Also when the end user changes a typedef from a native to a struct the argument passing doesn't change from T to const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hpp\dds\core\Value.hpp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D* operator-&gt;() const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"const"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operator==(const Value&amp; other) const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 !=(const Value&amp; other) const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hpp\tdds\core\qos\EntityQos.hpp line 88 added "const"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EntityQos&amp; operator &gt;&gt; (POLICY&amp; p) const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4- dds\core\policy\CorePolicy.hpp,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policy_name&lt;POLICY&gt;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const std::string&amp;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5- hpp\dds\core\Exception.hpp, line 202 wrong parameter type in the ctor</w:t>
      </w:r>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InvalidDataError(const InvalidDataError&amp; src);</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 xml:space="preserve">The missing “const” and “&amp;” pointed out by the issue have been added as visible in the latest version of the dds-psm-cxx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r w:rsidR="00E057DA" w:rsidRPr="00D01078">
        <w:t>RadarTrack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5"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The RaderTrack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typdef sequence&lt;octet&gt; plot_type;</w:t>
      </w:r>
    </w:p>
    <w:p w14:paraId="3F08FDFF"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plot_type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6"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DDS PSM does expose dds::core::optional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Pr="00D01078" w:rsidRDefault="00BD0734" w:rsidP="00BD0734">
      <w:pPr>
        <w:rPr>
          <w:rFonts w:asciiTheme="majorHAnsi" w:hAnsiTheme="majorHAnsi" w:cs="Courier"/>
          <w:color w:val="000000"/>
          <w:sz w:val="22"/>
          <w:szCs w:val="22"/>
        </w:rPr>
      </w:pP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struct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7"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The “representative” example in Section 8.2 is not very “representative”. For example, everything in the struct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typedef sequence&lt;long, 1000000&gt; HugeLongSeq;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LargeStruct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HugeLongSeq mySeq;</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struct RadarTrack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LargeStruct myLargeMember;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According to Section 7.4, the return value of the accessor for myLargeMember would either return by value or const reference. This would cause two copies (one for return value of getter and another for setter) of 4 MB of data in order to change one element of LargeStruct::mySeq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 believe that use cases like this require accessors that return by non-const reference if the generated code is to be at all efficient. On page 17 of the Beta 1 spec, there is already use of this pattern for the non-const accessors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3FCEC405"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types have a reference return type as opposed to a const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14:paraId="10124246" w14:textId="77777777" w:rsidTr="00C353DA">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77777777" w:rsidR="00A32434" w:rsidRPr="00D01078" w:rsidRDefault="00A32434" w:rsidP="00C353DA">
            <w:pPr>
              <w:jc w:val="center"/>
              <w:rPr>
                <w:b/>
              </w:rPr>
            </w:pPr>
            <w:r w:rsidRPr="00D0107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77777777" w:rsidR="00A32434" w:rsidRPr="00D01078" w:rsidRDefault="00A32434" w:rsidP="00C353DA">
            <w:pPr>
              <w:jc w:val="center"/>
              <w:rPr>
                <w:b/>
              </w:rPr>
            </w:pPr>
            <w:r w:rsidRPr="00D01078">
              <w:rPr>
                <w:b/>
                <w:color w:val="FFFFFF"/>
              </w:rPr>
              <w:t>Getter/Setter Signature</w:t>
            </w:r>
          </w:p>
        </w:tc>
      </w:tr>
      <w:tr w:rsidR="00A32434" w:rsidRPr="00D01078" w14:paraId="4812D996"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77777777" w:rsidR="00A32434" w:rsidRPr="00D01078" w:rsidRDefault="00A32434" w:rsidP="00C353DA">
            <w:pPr>
              <w:jc w:val="center"/>
              <w:rPr>
                <w:b/>
              </w:rPr>
            </w:pPr>
            <w:r w:rsidRPr="00D01078">
              <w:rPr>
                <w:b/>
              </w:rPr>
              <w:t xml:space="preserve">NT attribute;  </w:t>
            </w:r>
          </w:p>
          <w:p w14:paraId="3A199FF9" w14:textId="77777777" w:rsidR="00A32434" w:rsidRPr="00D01078" w:rsidRDefault="00A32434" w:rsidP="00C353DA">
            <w:pPr>
              <w:jc w:val="center"/>
            </w:pPr>
            <w:r w:rsidRPr="00D01078">
              <w:t xml:space="preserve">Where </w:t>
            </w:r>
            <w:r w:rsidRPr="00D01078">
              <w:rPr>
                <w:b/>
              </w:rPr>
              <w:t xml:space="preserve">NT </w:t>
            </w:r>
            <w:r w:rsidRPr="00D01078">
              <w:t>is a native Type.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77777777" w:rsidR="00A32434" w:rsidRPr="00D01078" w:rsidRDefault="00A32434" w:rsidP="00C353DA">
            <w:pPr>
              <w:jc w:val="center"/>
            </w:pPr>
            <w:r w:rsidRPr="00D01078">
              <w:rPr>
                <w:b/>
              </w:rPr>
              <w:t>NT</w:t>
            </w:r>
            <w:r w:rsidRPr="00D01078">
              <w:t xml:space="preserve"> attribute();</w:t>
            </w:r>
          </w:p>
          <w:p w14:paraId="1608E590" w14:textId="77777777" w:rsidR="00A32434" w:rsidRPr="00D01078" w:rsidRDefault="00A32434" w:rsidP="00C353DA">
            <w:pPr>
              <w:jc w:val="center"/>
            </w:pPr>
            <w:r w:rsidRPr="00D01078">
              <w:t>void attribute(</w:t>
            </w:r>
            <w:r w:rsidRPr="00D01078">
              <w:rPr>
                <w:b/>
              </w:rPr>
              <w:t>NT</w:t>
            </w:r>
            <w:r w:rsidRPr="00D01078">
              <w:t xml:space="preserve"> attrib);</w:t>
            </w:r>
          </w:p>
          <w:p w14:paraId="6E5B8539" w14:textId="77777777" w:rsidR="00A32434" w:rsidRPr="00D01078" w:rsidRDefault="00A32434" w:rsidP="00C353DA"/>
        </w:tc>
      </w:tr>
      <w:tr w:rsidR="00A32434" w:rsidRPr="00D01078" w14:paraId="0CE18D37"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77777777" w:rsidR="00A32434" w:rsidRPr="00D01078" w:rsidRDefault="00A32434" w:rsidP="00C353DA">
            <w:pPr>
              <w:jc w:val="center"/>
              <w:rPr>
                <w:b/>
              </w:rPr>
            </w:pPr>
            <w:r w:rsidRPr="00D01078">
              <w:rPr>
                <w:b/>
              </w:rPr>
              <w:t>CT attribute;</w:t>
            </w:r>
          </w:p>
          <w:p w14:paraId="1E4E6935" w14:textId="77777777" w:rsidR="00A32434" w:rsidRPr="00D01078" w:rsidRDefault="00A32434" w:rsidP="00C353DA">
            <w:r w:rsidRPr="00D01078">
              <w:t>Where CT is a constructed type  (e.g. a struct)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77777777" w:rsidR="00A32434" w:rsidRPr="00D01078" w:rsidRDefault="00A32434" w:rsidP="00C353DA">
            <w:pPr>
              <w:jc w:val="center"/>
            </w:pPr>
            <w:r w:rsidRPr="00D01078">
              <w:rPr>
                <w:b/>
              </w:rPr>
              <w:t>CT&amp;</w:t>
            </w:r>
            <w:r w:rsidRPr="00D01078">
              <w:t xml:space="preserve"> attribute();</w:t>
            </w:r>
          </w:p>
          <w:p w14:paraId="0A5A827C" w14:textId="77777777" w:rsidR="00A32434" w:rsidRPr="00D01078" w:rsidRDefault="00A32434" w:rsidP="00C353DA">
            <w:pPr>
              <w:jc w:val="center"/>
            </w:pPr>
            <w:r w:rsidRPr="00D01078">
              <w:t xml:space="preserve">void attribute(const </w:t>
            </w:r>
            <w:r w:rsidRPr="00D01078">
              <w:rPr>
                <w:b/>
              </w:rPr>
              <w:t>CT&amp;</w:t>
            </w:r>
            <w:r w:rsidRPr="00D01078">
              <w:t xml:space="preserve"> attrib);</w:t>
            </w:r>
          </w:p>
          <w:p w14:paraId="4D4C8D9D" w14:textId="77777777" w:rsidR="00A32434" w:rsidRPr="00D01078" w:rsidRDefault="00A32434" w:rsidP="00C353DA">
            <w:pPr>
              <w:jc w:val="cente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Issue 16655: The tdds namespace should b</w:t>
      </w:r>
      <w:r w:rsidR="00E057DA" w:rsidRPr="00D01078">
        <w:t>e merged into the dds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t xml:space="preserve">PrismTech (Dr. Angelo Corsaro, PhD., </w:t>
      </w:r>
      <w:hyperlink r:id="rId28" w:history="1">
        <w:r w:rsidRPr="00D01078">
          <w:rPr>
            <w:rFonts w:asciiTheme="majorHAnsi" w:hAnsiTheme="majorHAnsi"/>
            <w:color w:val="0000E9"/>
            <w:u w:val="single" w:color="0000E9"/>
          </w:rPr>
          <w:t>angelo.corsaro(at)prismtech.com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DDS-PSM-Cxx specification groups types constructors into the "tdds" namespace. However this separation makes it harder than it should be to navigate the code. The suggested approach is to remove the "tdds" namespace and migrate those classes into the "dds" namespace by prefixing them with a "T". For instance the "tdds::sub::Subscriber" would become "dds::sub::TSubscriber".</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Pr="00D01078"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tdds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3D8BA498" w:rsidR="00552F91" w:rsidRPr="00D01078" w:rsidRDefault="00552F91" w:rsidP="00D8060F">
      <w:pPr>
        <w:pStyle w:val="Titre1"/>
      </w:pPr>
      <w:r w:rsidRPr="00D01078">
        <w:t xml:space="preserve">Issue 16885: Expected use of AnyDataReader::get and its implication on AnyDataReader's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Sumant Tambe, </w:t>
      </w:r>
      <w:hyperlink r:id="rId29" w:history="1">
        <w:r w:rsidRPr="00D01078">
          <w:rPr>
            <w:rFonts w:asciiTheme="majorHAnsi" w:hAnsiTheme="majorHAnsi"/>
            <w:bCs/>
          </w:rPr>
          <w:t>sumant(at)rti.com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4425908A" w14:textId="1BC985C4"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adr.get&lt;RadarTrack&gt;();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1E25C96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adr.get&lt;dds::sub::DataReader&lt;RadarTrack&gt;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AnyDataReader, however, does not look consistent with this use. Currently, the template constructor of the AnyDataReader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Also, it is not consistent with AnyDataWriter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7582CA08" w:rsidR="00552F91" w:rsidRDefault="00552F91" w:rsidP="00D8060F">
      <w:pPr>
        <w:rPr>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r w:rsidRPr="00D01078">
        <w:rPr>
          <w:rFonts w:asciiTheme="majorHAnsi" w:hAnsiTheme="majorHAnsi" w:cs="Courier"/>
          <w:sz w:val="26"/>
          <w:szCs w:val="26"/>
        </w:rPr>
        <w:t>AnyDataWriter in AnyDataReader, AnyT</w:t>
      </w:r>
      <w:r w:rsidR="00A15209">
        <w:rPr>
          <w:rFonts w:asciiTheme="majorHAnsi" w:hAnsiTheme="majorHAnsi" w:cs="Courier"/>
          <w:sz w:val="26"/>
          <w:szCs w:val="26"/>
        </w:rPr>
        <w:t xml:space="preserve">opic, and AnyTopicDescription now use consistently the </w:t>
      </w:r>
      <w:r w:rsidRPr="00D01078">
        <w:rPr>
          <w:rFonts w:asciiTheme="majorHAnsi" w:hAnsiTheme="majorHAnsi" w:cs="Courier"/>
          <w:sz w:val="26"/>
          <w:szCs w:val="26"/>
        </w:rPr>
        <w:t>topic type as a type parameter for constructor and get() member function.</w:t>
      </w:r>
      <w:r w:rsidR="00BA6A74">
        <w:rPr>
          <w:rFonts w:asciiTheme="majorHAnsi" w:hAnsiTheme="majorHAnsi" w:cs="Courier"/>
          <w:sz w:val="26"/>
          <w:szCs w:val="26"/>
        </w:rPr>
        <w:t xml:space="preserve"> </w:t>
      </w:r>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CE681E" w:rsidP="00D8060F">
      <w:pPr>
        <w:rPr>
          <w:rFonts w:asciiTheme="majorHAnsi" w:hAnsiTheme="majorHAnsi" w:cs="Courier"/>
          <w:sz w:val="26"/>
          <w:szCs w:val="26"/>
        </w:rPr>
      </w:pPr>
      <w:hyperlink r:id="rId30" w:history="1">
        <w:r w:rsidR="00AD2F1F" w:rsidRPr="00027C71">
          <w:rPr>
            <w:rStyle w:val="Lienhypertexte"/>
            <w:rFonts w:asciiTheme="majorHAnsi" w:hAnsiTheme="majorHAnsi" w:cs="Courier"/>
            <w:sz w:val="26"/>
            <w:szCs w:val="26"/>
          </w:rPr>
          <w:t>github.com/kydos/dds-psm-cxx/blob/master/src/hpp/dds/pub/AnyDataWriter.hpp</w:t>
        </w:r>
      </w:hyperlink>
    </w:p>
    <w:p w14:paraId="7D9B045C" w14:textId="79E5BF29" w:rsidR="00AD2F1F" w:rsidRDefault="00CE681E" w:rsidP="00D8060F">
      <w:pPr>
        <w:rPr>
          <w:rFonts w:asciiTheme="majorHAnsi" w:hAnsiTheme="majorHAnsi" w:cs="Courier"/>
          <w:sz w:val="26"/>
          <w:szCs w:val="26"/>
        </w:rPr>
      </w:pPr>
      <w:hyperlink r:id="rId31" w:history="1">
        <w:r w:rsidR="00AF6704" w:rsidRPr="00027C71">
          <w:rPr>
            <w:rStyle w:val="Lienhypertexte"/>
            <w:rFonts w:asciiTheme="majorHAnsi" w:hAnsiTheme="majorHAnsi" w:cs="Courier"/>
            <w:sz w:val="26"/>
            <w:szCs w:val="26"/>
          </w:rPr>
          <w:t>github.com/kydos/dds-psm-cxx/blob/master/src/hpp/dds/sub/AnyDataReader.hpp</w:t>
        </w:r>
      </w:hyperlink>
    </w:p>
    <w:p w14:paraId="14275D7E" w14:textId="20CA3579" w:rsidR="00AF6704" w:rsidRDefault="00CE681E" w:rsidP="00D8060F">
      <w:pPr>
        <w:rPr>
          <w:rFonts w:asciiTheme="majorHAnsi" w:hAnsiTheme="majorHAnsi" w:cs="Courier"/>
          <w:sz w:val="26"/>
          <w:szCs w:val="26"/>
        </w:rPr>
      </w:pPr>
      <w:hyperlink r:id="rId32" w:history="1">
        <w:r w:rsidR="00886374" w:rsidRPr="00027C71">
          <w:rPr>
            <w:rStyle w:val="Lienhypertexte"/>
            <w:rFonts w:asciiTheme="majorHAnsi" w:hAnsiTheme="majorHAnsi" w:cs="Courier"/>
            <w:sz w:val="26"/>
            <w:szCs w:val="26"/>
          </w:rPr>
          <w:t>github.com/kydos/dds-psm-cxx/blob/master/src/hpp/dds/topic/AnyTopic.hpp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7062DE99"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A2C56">
        <w:rPr>
          <w:rFonts w:asciiTheme="majorHAnsi" w:eastAsia="Times New Roman" w:hAnsiTheme="majorHAnsi" w:cs="Times New Roman"/>
          <w:b/>
          <w:color w:val="000000"/>
          <w:sz w:val="22"/>
          <w:szCs w:val="22"/>
        </w:rPr>
        <w:t>Under Discussion</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Sumant Tambe, </w:t>
      </w:r>
      <w:hyperlink r:id="rId33" w:history="1">
        <w:r w:rsidRPr="007C6BD0">
          <w:rPr>
            <w:rFonts w:asciiTheme="majorHAnsi" w:hAnsiTheme="majorHAnsi" w:cs="Times"/>
            <w:color w:val="0000E9"/>
            <w:sz w:val="26"/>
            <w:szCs w:val="26"/>
            <w:u w:val="single" w:color="0000E9"/>
          </w:rPr>
          <w:t>sumant(at)rti.com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begin_data()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end_data()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Iter&gt;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data(Iter begin, Iter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size_t data_size()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*ptr, size_t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first version is more consistent with modern C++ usage of iterators. In either case a convention must be defined for portability. This may also be applicable to idl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p>
    <w:p w14:paraId="47655E6E"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Revised Text:</w:t>
      </w:r>
      <w:r w:rsidRPr="00D01078">
        <w:rPr>
          <w:rFonts w:asciiTheme="majorHAnsi" w:hAnsiTheme="majorHAnsi" w:cs="Times"/>
          <w:sz w:val="26"/>
          <w:szCs w:val="26"/>
        </w:rPr>
        <w:t xml:space="preserve"> </w:t>
      </w:r>
    </w:p>
    <w:p w14:paraId="737DB4AC" w14:textId="2EA72339" w:rsidR="007F055A" w:rsidRPr="00D01078" w:rsidRDefault="00D8060F" w:rsidP="00743F04">
      <w:pPr>
        <w:widowControl w:val="0"/>
        <w:autoSpaceDE w:val="0"/>
        <w:autoSpaceDN w:val="0"/>
        <w:adjustRightInd w:val="0"/>
        <w:rPr>
          <w:rFonts w:ascii="Times" w:hAnsi="Times" w:cs="Times"/>
          <w:b/>
          <w:bCs/>
          <w:sz w:val="48"/>
          <w:szCs w:val="48"/>
        </w:rPr>
      </w:pPr>
      <w:r w:rsidRPr="00D01078">
        <w:rPr>
          <w:rFonts w:asciiTheme="majorHAnsi" w:hAnsiTheme="majorHAnsi" w:cs="Times"/>
          <w:b/>
          <w:bCs/>
          <w:sz w:val="26"/>
          <w:szCs w:val="26"/>
        </w:rPr>
        <w:t>Actions taken: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Issue 17048: The Status API, e.g. sample_rejected_status, deadline_missed_status, etc., a</w:t>
      </w:r>
      <w:r w:rsidR="007F055A" w:rsidRPr="00D01078">
        <w:t>re missing from the DataReader</w:t>
      </w:r>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4"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Status API, e.g. sample_rejected_status, deadline_missed_status, etc.,  are missing from the DataReader.</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54DF880C" w14:textId="77777777" w:rsidR="001C316B"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DataReader. See </w:t>
      </w:r>
      <w:hyperlink r:id="rId35" w:history="1">
        <w:r w:rsidR="001C316B" w:rsidRPr="009D3EC3">
          <w:rPr>
            <w:rStyle w:val="Lienhypertexte"/>
            <w:rFonts w:asciiTheme="majorHAnsi" w:hAnsiTheme="majorHAnsi" w:cs="Times"/>
            <w:sz w:val="26"/>
            <w:szCs w:val="26"/>
          </w:rPr>
          <w:t>github.com/kydos/dds-psm-cxx/blob/master/src/hpp/dds/sub/TDataReader.hpp</w:t>
        </w:r>
      </w:hyperlink>
    </w:p>
    <w:p w14:paraId="6A048D3A" w14:textId="10C20C1C" w:rsidR="00D8060F" w:rsidRPr="00D01078" w:rsidRDefault="00D8060F"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77777777"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ReaderState: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6"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ReaderState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However the name of the class is relatively misleading as these statuses have nothing to do with the DataReader.</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Rename  the "ReaderState" class into "DataStatus".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The ReaderState class has been renamed into DataState.</w:t>
      </w:r>
      <w:r w:rsidR="00443D6C">
        <w:rPr>
          <w:rFonts w:asciiTheme="majorHAnsi" w:hAnsiTheme="majorHAnsi" w:cs="Times"/>
          <w:sz w:val="26"/>
          <w:szCs w:val="26"/>
        </w:rPr>
        <w:t xml:space="preserve"> See </w:t>
      </w:r>
      <w:hyperlink r:id="rId37" w:history="1">
        <w:r w:rsidR="00443D6C" w:rsidRPr="009D3EC3">
          <w:rPr>
            <w:rStyle w:val="Lienhypertexte"/>
            <w:rFonts w:asciiTheme="majorHAnsi" w:hAnsiTheme="majorHAnsi" w:cs="Times"/>
            <w:sz w:val="26"/>
            <w:szCs w:val="26"/>
          </w:rPr>
          <w:t>github.com/kydos/dds-psm-cxx/blob/master/src/hpp/dds/sub/TDataReader.hpp</w:t>
        </w:r>
      </w:hyperlink>
    </w:p>
    <w:p w14:paraId="53301416" w14:textId="0DC64376" w:rsidR="009C3FAA" w:rsidRDefault="00CE681E" w:rsidP="00443D6C">
      <w:pPr>
        <w:widowControl w:val="0"/>
        <w:autoSpaceDE w:val="0"/>
        <w:autoSpaceDN w:val="0"/>
        <w:adjustRightInd w:val="0"/>
        <w:rPr>
          <w:rFonts w:asciiTheme="majorHAnsi" w:hAnsiTheme="majorHAnsi" w:cs="Times"/>
          <w:sz w:val="26"/>
          <w:szCs w:val="26"/>
        </w:rPr>
      </w:pPr>
      <w:hyperlink r:id="rId38" w:history="1">
        <w:r w:rsidR="009C3FAA" w:rsidRPr="009D3EC3">
          <w:rPr>
            <w:rStyle w:val="Lienhypertexte"/>
            <w:rFonts w:asciiTheme="majorHAnsi" w:hAnsiTheme="majorHAnsi" w:cs="Times"/>
            <w:sz w:val="26"/>
            <w:szCs w:val="26"/>
          </w:rPr>
          <w:t>github.com/kydos/dds-psm-cxx/blob/master/s</w:t>
        </w:r>
        <w:r w:rsidR="009C3FAA">
          <w:rPr>
            <w:rStyle w:val="Lienhypertexte"/>
            <w:rFonts w:asciiTheme="majorHAnsi" w:hAnsiTheme="majorHAnsi" w:cs="Times"/>
            <w:sz w:val="26"/>
            <w:szCs w:val="26"/>
          </w:rPr>
          <w:t>rc/hpp/dds/sub/status/DataState</w:t>
        </w:r>
        <w:r w:rsidR="009C3FAA" w:rsidRPr="009D3EC3">
          <w:rPr>
            <w:rStyle w:val="Lienhypertexte"/>
            <w:rFonts w:asciiTheme="majorHAnsi" w:hAnsiTheme="majorHAnsi" w:cs="Times"/>
            <w:sz w:val="26"/>
            <w:szCs w:val="26"/>
          </w:rPr>
          <w:t>.hpp</w:t>
        </w:r>
      </w:hyperlink>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707AD3DA"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ReaderQuery on DataReader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9"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ReaderQuery class bundles together the read-state as well as potential read conditions. However the read-condition is not always present. This leads to code that needs to check all the time wether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3757BBE" w14:textId="7BE954C2" w:rsidR="00D8060F" w:rsidRPr="00D01078" w:rsidRDefault="00EF0316"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Proposed </w:t>
      </w:r>
      <w:r w:rsidR="00D8060F" w:rsidRPr="00D01078">
        <w:rPr>
          <w:rFonts w:asciiTheme="majorHAnsi" w:hAnsiTheme="majorHAnsi" w:cs="Courier"/>
          <w:sz w:val="26"/>
          <w:szCs w:val="26"/>
        </w:rPr>
        <w:t>Resolution</w:t>
      </w:r>
      <w:r w:rsidRPr="00D01078">
        <w:rPr>
          <w:rFonts w:asciiTheme="majorHAnsi" w:hAnsiTheme="majorHAnsi" w:cs="Courier"/>
          <w:sz w:val="26"/>
          <w:szCs w:val="26"/>
        </w:rPr>
        <w:t xml:space="preserve"> : </w:t>
      </w:r>
      <w:r w:rsidR="00D8060F" w:rsidRPr="00D01078">
        <w:rPr>
          <w:rFonts w:asciiTheme="majorHAnsi" w:hAnsiTheme="majorHAnsi" w:cs="Courier"/>
          <w:sz w:val="26"/>
          <w:szCs w:val="26"/>
        </w:rPr>
        <w:t>Remove the ReaderQuery and let the read API deal, through proper operations overloads, with ReadState and potential ReadConditions. This way it will always be clear if a read/take is with a condition or not both for the client code and the DDS implementor.</w:t>
      </w:r>
    </w:p>
    <w:p w14:paraId="3D18EBFC"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33A71B6" w14:textId="434161AE" w:rsidR="00D806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The DataReader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ReaderQuery. See </w:t>
      </w:r>
      <w:hyperlink r:id="rId40" w:history="1">
        <w:r w:rsidR="00A15804" w:rsidRPr="009D3EC3">
          <w:rPr>
            <w:rStyle w:val="Lienhypertexte"/>
            <w:rFonts w:asciiTheme="majorHAnsi" w:hAnsiTheme="majorHAnsi" w:cs="Times"/>
            <w:sz w:val="26"/>
            <w:szCs w:val="26"/>
          </w:rPr>
          <w:t>https://github.com/kydos/dds-psm-cxx/blob/master/src/hpp/dds/sub/TDataReader.hpp</w:t>
        </w:r>
      </w:hyperlink>
    </w:p>
    <w:p w14:paraId="6A14B2DE" w14:textId="77777777" w:rsidR="00A15804" w:rsidRDefault="00A15804" w:rsidP="00D8060F">
      <w:pPr>
        <w:widowControl w:val="0"/>
        <w:autoSpaceDE w:val="0"/>
        <w:autoSpaceDN w:val="0"/>
        <w:adjustRightInd w:val="0"/>
        <w:rPr>
          <w:rFonts w:asciiTheme="majorHAnsi" w:hAnsiTheme="majorHAnsi" w:cs="Times"/>
          <w:sz w:val="26"/>
          <w:szCs w:val="26"/>
        </w:rPr>
      </w:pPr>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70F8AE5A"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(dds-psm-cxx-ftf)</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1"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ctors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parametrized ctors to incomplete arg-list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Change ctors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35B061AF" w14:textId="03640DFD"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r w:rsidR="007B597C">
        <w:rPr>
          <w:rFonts w:asciiTheme="majorHAnsi" w:hAnsiTheme="majorHAnsi" w:cs="Times"/>
          <w:sz w:val="26"/>
          <w:szCs w:val="26"/>
        </w:rPr>
        <w:t xml:space="preserve">ctors identified in this issue were declared “protected”. See </w:t>
      </w:r>
      <w:hyperlink r:id="rId42" w:history="1">
        <w:r w:rsidR="007B597C" w:rsidRPr="009D3EC3">
          <w:rPr>
            <w:rStyle w:val="Lienhypertexte"/>
            <w:rFonts w:asciiTheme="majorHAnsi" w:hAnsiTheme="majorHAnsi" w:cs="Times"/>
            <w:sz w:val="26"/>
            <w:szCs w:val="26"/>
          </w:rPr>
          <w:t>https://github.com/kydos/dds-psm-cxx/blob/master/src/hpp/dds/core/Reference.hpp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777777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DDS-XTypes</w:t>
      </w:r>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DDS-XTypes spec introduced several API changes that should be incorporated into the DDS-PSM-Cxx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3"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current DataReader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When loaning the data the data and the SampleInfo is encapsulated on a Sample type, while when providing user storage two different containers hold the data and the SampleInfo.</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For consistency the two API should encapsulate the data and the SamplInfo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07B33DC4"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This issue raises a relevant consistency issue. But, further analysis of the problem revealed that for interoperability with legacy DDS code and with scientific libraries it is better to keep sample and info in different containers.  As a consequence the issue has been resolved by updating the TLoanedSample class to use separate containers for both data and info. The TSample class has also been removed.</w:t>
      </w:r>
      <w:r w:rsidR="00FB4E58">
        <w:rPr>
          <w:rFonts w:asciiTheme="majorHAnsi" w:hAnsiTheme="majorHAnsi" w:cs="Times"/>
          <w:sz w:val="26"/>
          <w:szCs w:val="26"/>
        </w:rPr>
        <w:t xml:space="preserve"> As a result of this changes the regular as well as the loaned read expose consistent mechanism </w:t>
      </w:r>
      <w:r w:rsidR="004D3230">
        <w:rPr>
          <w:rFonts w:asciiTheme="majorHAnsi" w:hAnsiTheme="majorHAnsi" w:cs="Times"/>
          <w:sz w:val="26"/>
          <w:szCs w:val="26"/>
        </w:rPr>
        <w:t xml:space="preserve">to access DDS </w:t>
      </w:r>
      <w:r w:rsidR="00FB4E58">
        <w:rPr>
          <w:rFonts w:asciiTheme="majorHAnsi" w:hAnsiTheme="majorHAnsi" w:cs="Times"/>
          <w:sz w:val="26"/>
          <w:szCs w:val="26"/>
        </w:rPr>
        <w:t xml:space="preserve">samples and </w:t>
      </w:r>
      <w:r w:rsidR="00DE32BA">
        <w:rPr>
          <w:rFonts w:asciiTheme="majorHAnsi" w:hAnsiTheme="majorHAnsi" w:cs="Times"/>
          <w:sz w:val="26"/>
          <w:szCs w:val="26"/>
        </w:rPr>
        <w:t>sample</w:t>
      </w:r>
      <w:r w:rsidR="00FC41C3">
        <w:rPr>
          <w:rFonts w:asciiTheme="majorHAnsi" w:hAnsiTheme="majorHAnsi" w:cs="Times"/>
          <w:sz w:val="26"/>
          <w:szCs w:val="26"/>
        </w:rPr>
        <w:t>s</w:t>
      </w:r>
      <w:r w:rsidR="00DE32BA">
        <w:rPr>
          <w:rFonts w:asciiTheme="majorHAnsi" w:hAnsiTheme="majorHAnsi" w:cs="Times"/>
          <w:sz w:val="26"/>
          <w:szCs w:val="26"/>
        </w:rPr>
        <w:t>-</w:t>
      </w:r>
      <w:r w:rsidR="00FB4E58">
        <w:rPr>
          <w:rFonts w:asciiTheme="majorHAnsi" w:hAnsiTheme="majorHAnsi" w:cs="Times"/>
          <w:sz w:val="26"/>
          <w:szCs w:val="26"/>
        </w:rPr>
        <w:t>info.</w:t>
      </w:r>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44"/>
      <w:footerReference w:type="default" r:id="rId4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F058DC" w:rsidRDefault="00F058DC" w:rsidP="003D3505">
      <w:r>
        <w:separator/>
      </w:r>
    </w:p>
  </w:endnote>
  <w:endnote w:type="continuationSeparator" w:id="0">
    <w:p w14:paraId="21572F52" w14:textId="77777777" w:rsidR="00F058DC" w:rsidRDefault="00F058DC"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F058DC" w:rsidRDefault="00F058DC"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F058DC" w14:paraId="74883817" w14:textId="77777777" w:rsidTr="007E2432">
      <w:tc>
        <w:tcPr>
          <w:tcW w:w="4428" w:type="dxa"/>
        </w:tcPr>
        <w:p w14:paraId="5B731267" w14:textId="77777777" w:rsidR="00F058DC" w:rsidRPr="001B4E3E" w:rsidRDefault="00F058DC" w:rsidP="007E2432">
          <w:pPr>
            <w:pStyle w:val="Pieddepage"/>
            <w:ind w:right="360"/>
            <w:rPr>
              <w:rFonts w:ascii="Arial" w:hAnsi="Arial"/>
              <w:sz w:val="20"/>
            </w:rPr>
          </w:pPr>
          <w:r w:rsidRPr="001B4E3E">
            <w:rPr>
              <w:rFonts w:ascii="Arial" w:hAnsi="Arial"/>
              <w:sz w:val="20"/>
            </w:rPr>
            <w:t>Document ptc/2012-</w:t>
          </w:r>
          <w:r w:rsidRPr="001B4E3E">
            <w:rPr>
              <w:rStyle w:val="TODO"/>
              <w:rFonts w:ascii="Arial" w:hAnsi="Arial"/>
              <w:sz w:val="20"/>
            </w:rPr>
            <w:t>??-??</w:t>
          </w:r>
        </w:p>
      </w:tc>
      <w:tc>
        <w:tcPr>
          <w:tcW w:w="4428" w:type="dxa"/>
        </w:tcPr>
        <w:p w14:paraId="6895E397" w14:textId="77777777" w:rsidR="00F058DC" w:rsidRDefault="00F058DC" w:rsidP="007E2432">
          <w:pPr>
            <w:pStyle w:val="Pieddepage"/>
            <w:jc w:val="right"/>
            <w:rPr>
              <w:rFonts w:ascii="Arial" w:hAnsi="Arial"/>
              <w:sz w:val="20"/>
            </w:rPr>
          </w:pPr>
        </w:p>
        <w:p w14:paraId="59490074" w14:textId="77777777" w:rsidR="00F058DC" w:rsidRDefault="00F058DC" w:rsidP="007E2432">
          <w:pPr>
            <w:pStyle w:val="Pieddepage"/>
            <w:jc w:val="right"/>
            <w:rPr>
              <w:rFonts w:ascii="Arial" w:hAnsi="Arial"/>
              <w:sz w:val="20"/>
            </w:rPr>
          </w:pPr>
        </w:p>
        <w:p w14:paraId="60A351DB" w14:textId="77777777" w:rsidR="00F058DC" w:rsidRDefault="00F058DC" w:rsidP="007E2432">
          <w:pPr>
            <w:pStyle w:val="Pieddepage"/>
            <w:jc w:val="right"/>
            <w:rPr>
              <w:rFonts w:ascii="Arial" w:hAnsi="Arial"/>
              <w:sz w:val="20"/>
            </w:rPr>
          </w:pPr>
        </w:p>
      </w:tc>
    </w:tr>
  </w:tbl>
  <w:p w14:paraId="4D0AFE17" w14:textId="77777777" w:rsidR="00F058DC" w:rsidRDefault="00F058D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F058DC" w:rsidRDefault="00F058DC" w:rsidP="003D3505">
      <w:r>
        <w:separator/>
      </w:r>
    </w:p>
  </w:footnote>
  <w:footnote w:type="continuationSeparator" w:id="0">
    <w:p w14:paraId="4252AC43" w14:textId="77777777" w:rsidR="00F058DC" w:rsidRDefault="00F058DC"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F058DC" w14:paraId="02C57D92" w14:textId="77777777" w:rsidTr="007E2432">
      <w:tc>
        <w:tcPr>
          <w:tcW w:w="4428" w:type="dxa"/>
        </w:tcPr>
        <w:p w14:paraId="3B5AE705" w14:textId="77777777" w:rsidR="00F058DC" w:rsidRDefault="00F058DC" w:rsidP="007E2432">
          <w:pPr>
            <w:pStyle w:val="En-tte"/>
            <w:rPr>
              <w:rFonts w:ascii="Arial" w:hAnsi="Arial"/>
              <w:sz w:val="20"/>
            </w:rPr>
          </w:pPr>
          <w:r>
            <w:rPr>
              <w:rFonts w:ascii="Arial" w:hAnsi="Arial"/>
              <w:sz w:val="20"/>
            </w:rPr>
            <w:t>Object Management Group</w:t>
          </w:r>
        </w:p>
      </w:tc>
      <w:tc>
        <w:tcPr>
          <w:tcW w:w="4428" w:type="dxa"/>
        </w:tcPr>
        <w:p w14:paraId="295D7E5D" w14:textId="77777777" w:rsidR="00F058DC" w:rsidRDefault="00F058DC" w:rsidP="007E2432">
          <w:pPr>
            <w:pStyle w:val="En-tte"/>
            <w:jc w:val="right"/>
            <w:rPr>
              <w:rFonts w:ascii="Arial" w:hAnsi="Arial"/>
              <w:sz w:val="20"/>
            </w:rPr>
          </w:pPr>
          <w:r>
            <w:rPr>
              <w:rFonts w:ascii="Arial" w:hAnsi="Arial"/>
              <w:sz w:val="20"/>
            </w:rPr>
            <w:t>Final FTF Report</w:t>
          </w:r>
        </w:p>
      </w:tc>
    </w:tr>
  </w:tbl>
  <w:p w14:paraId="6D6EFDF6" w14:textId="77777777" w:rsidR="00F058DC" w:rsidRDefault="00F058DC" w:rsidP="003D3505">
    <w:pPr>
      <w:pStyle w:val="En-tte"/>
      <w:pBdr>
        <w:bottom w:val="double" w:sz="4" w:space="1" w:color="auto"/>
      </w:pBdr>
    </w:pPr>
  </w:p>
  <w:p w14:paraId="728DA344" w14:textId="77777777" w:rsidR="00F058DC" w:rsidRDefault="00F058D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2734C"/>
    <w:rsid w:val="00033B1B"/>
    <w:rsid w:val="00035267"/>
    <w:rsid w:val="0003554F"/>
    <w:rsid w:val="000654D9"/>
    <w:rsid w:val="000970E7"/>
    <w:rsid w:val="000A1F0E"/>
    <w:rsid w:val="000A6A31"/>
    <w:rsid w:val="000B50DD"/>
    <w:rsid w:val="000B76A7"/>
    <w:rsid w:val="000E070F"/>
    <w:rsid w:val="000E75DC"/>
    <w:rsid w:val="000F2DC5"/>
    <w:rsid w:val="001118C3"/>
    <w:rsid w:val="0013672B"/>
    <w:rsid w:val="0014373B"/>
    <w:rsid w:val="00151F9D"/>
    <w:rsid w:val="00152FFD"/>
    <w:rsid w:val="00155C4A"/>
    <w:rsid w:val="0016701C"/>
    <w:rsid w:val="001704EE"/>
    <w:rsid w:val="001743AE"/>
    <w:rsid w:val="00181288"/>
    <w:rsid w:val="001A67AE"/>
    <w:rsid w:val="001B0B7F"/>
    <w:rsid w:val="001B6B5C"/>
    <w:rsid w:val="001C21D9"/>
    <w:rsid w:val="001C316B"/>
    <w:rsid w:val="001E12C0"/>
    <w:rsid w:val="001E3DB6"/>
    <w:rsid w:val="001F2001"/>
    <w:rsid w:val="001F673E"/>
    <w:rsid w:val="0020010B"/>
    <w:rsid w:val="00233307"/>
    <w:rsid w:val="00262FBD"/>
    <w:rsid w:val="00266D06"/>
    <w:rsid w:val="00267CF1"/>
    <w:rsid w:val="0027017E"/>
    <w:rsid w:val="0027313D"/>
    <w:rsid w:val="00273943"/>
    <w:rsid w:val="002C0A3F"/>
    <w:rsid w:val="002C25A5"/>
    <w:rsid w:val="002C5139"/>
    <w:rsid w:val="002F28A0"/>
    <w:rsid w:val="003023FE"/>
    <w:rsid w:val="00315A81"/>
    <w:rsid w:val="00322FB4"/>
    <w:rsid w:val="003246C0"/>
    <w:rsid w:val="00325BA3"/>
    <w:rsid w:val="00331F6D"/>
    <w:rsid w:val="00332FAC"/>
    <w:rsid w:val="00337672"/>
    <w:rsid w:val="00347932"/>
    <w:rsid w:val="00350FAD"/>
    <w:rsid w:val="0035336E"/>
    <w:rsid w:val="00361636"/>
    <w:rsid w:val="00382F0C"/>
    <w:rsid w:val="00391F8B"/>
    <w:rsid w:val="00394CA2"/>
    <w:rsid w:val="003A337B"/>
    <w:rsid w:val="003D21F5"/>
    <w:rsid w:val="003D3505"/>
    <w:rsid w:val="003D35F7"/>
    <w:rsid w:val="003D45C8"/>
    <w:rsid w:val="0041741F"/>
    <w:rsid w:val="00427172"/>
    <w:rsid w:val="004305DB"/>
    <w:rsid w:val="00443D6C"/>
    <w:rsid w:val="00453879"/>
    <w:rsid w:val="004565B0"/>
    <w:rsid w:val="004620C2"/>
    <w:rsid w:val="004864AA"/>
    <w:rsid w:val="004879A7"/>
    <w:rsid w:val="004A23AA"/>
    <w:rsid w:val="004C3413"/>
    <w:rsid w:val="004C4D6B"/>
    <w:rsid w:val="004C4DC0"/>
    <w:rsid w:val="004C5B8B"/>
    <w:rsid w:val="004D3230"/>
    <w:rsid w:val="004D329D"/>
    <w:rsid w:val="004D35F1"/>
    <w:rsid w:val="004D5775"/>
    <w:rsid w:val="004D6F2E"/>
    <w:rsid w:val="004E6DB8"/>
    <w:rsid w:val="004E7E33"/>
    <w:rsid w:val="00503DA8"/>
    <w:rsid w:val="005159C4"/>
    <w:rsid w:val="00523FC9"/>
    <w:rsid w:val="00552F91"/>
    <w:rsid w:val="00577F45"/>
    <w:rsid w:val="005A445A"/>
    <w:rsid w:val="005D7715"/>
    <w:rsid w:val="005E0D9C"/>
    <w:rsid w:val="00602B98"/>
    <w:rsid w:val="00607674"/>
    <w:rsid w:val="006553F5"/>
    <w:rsid w:val="00661F6C"/>
    <w:rsid w:val="00686119"/>
    <w:rsid w:val="006A25A0"/>
    <w:rsid w:val="006A703F"/>
    <w:rsid w:val="006C222F"/>
    <w:rsid w:val="006D2942"/>
    <w:rsid w:val="006E1558"/>
    <w:rsid w:val="006E1F9E"/>
    <w:rsid w:val="006F36F3"/>
    <w:rsid w:val="00702C05"/>
    <w:rsid w:val="00725BED"/>
    <w:rsid w:val="00736648"/>
    <w:rsid w:val="00741A5B"/>
    <w:rsid w:val="00743F04"/>
    <w:rsid w:val="00746769"/>
    <w:rsid w:val="00751823"/>
    <w:rsid w:val="007537FD"/>
    <w:rsid w:val="00753B21"/>
    <w:rsid w:val="007805AC"/>
    <w:rsid w:val="007A14CD"/>
    <w:rsid w:val="007B597C"/>
    <w:rsid w:val="007B685C"/>
    <w:rsid w:val="007C6BD0"/>
    <w:rsid w:val="007D544D"/>
    <w:rsid w:val="007E2432"/>
    <w:rsid w:val="007F055A"/>
    <w:rsid w:val="007F4A02"/>
    <w:rsid w:val="007F7940"/>
    <w:rsid w:val="008735F1"/>
    <w:rsid w:val="00886374"/>
    <w:rsid w:val="00887D9B"/>
    <w:rsid w:val="00894151"/>
    <w:rsid w:val="008972AC"/>
    <w:rsid w:val="008C74C7"/>
    <w:rsid w:val="008D162F"/>
    <w:rsid w:val="008D41CC"/>
    <w:rsid w:val="008E0D14"/>
    <w:rsid w:val="009150D1"/>
    <w:rsid w:val="009422DD"/>
    <w:rsid w:val="00951C61"/>
    <w:rsid w:val="00980735"/>
    <w:rsid w:val="0098767D"/>
    <w:rsid w:val="009974C4"/>
    <w:rsid w:val="009A15A5"/>
    <w:rsid w:val="009A2C56"/>
    <w:rsid w:val="009A3273"/>
    <w:rsid w:val="009C1FEF"/>
    <w:rsid w:val="009C3FAA"/>
    <w:rsid w:val="009C462B"/>
    <w:rsid w:val="009D057A"/>
    <w:rsid w:val="009E2790"/>
    <w:rsid w:val="009E2E23"/>
    <w:rsid w:val="009E3654"/>
    <w:rsid w:val="00A15209"/>
    <w:rsid w:val="00A15804"/>
    <w:rsid w:val="00A21D4C"/>
    <w:rsid w:val="00A26342"/>
    <w:rsid w:val="00A26382"/>
    <w:rsid w:val="00A32434"/>
    <w:rsid w:val="00A45211"/>
    <w:rsid w:val="00A60C89"/>
    <w:rsid w:val="00AA0E2D"/>
    <w:rsid w:val="00AB1E5E"/>
    <w:rsid w:val="00AC612E"/>
    <w:rsid w:val="00AD061F"/>
    <w:rsid w:val="00AD2F1F"/>
    <w:rsid w:val="00AD6F2A"/>
    <w:rsid w:val="00AE20D6"/>
    <w:rsid w:val="00AF6704"/>
    <w:rsid w:val="00AF6A72"/>
    <w:rsid w:val="00B10726"/>
    <w:rsid w:val="00B240D3"/>
    <w:rsid w:val="00B36A28"/>
    <w:rsid w:val="00B373C3"/>
    <w:rsid w:val="00B4144D"/>
    <w:rsid w:val="00B439B6"/>
    <w:rsid w:val="00B66A1E"/>
    <w:rsid w:val="00B70832"/>
    <w:rsid w:val="00B8174D"/>
    <w:rsid w:val="00B93829"/>
    <w:rsid w:val="00BA6A74"/>
    <w:rsid w:val="00BC2101"/>
    <w:rsid w:val="00BD0734"/>
    <w:rsid w:val="00BD2832"/>
    <w:rsid w:val="00BF0461"/>
    <w:rsid w:val="00C11543"/>
    <w:rsid w:val="00C125F6"/>
    <w:rsid w:val="00C353DA"/>
    <w:rsid w:val="00C37815"/>
    <w:rsid w:val="00C60E63"/>
    <w:rsid w:val="00C93916"/>
    <w:rsid w:val="00CD6837"/>
    <w:rsid w:val="00CE681E"/>
    <w:rsid w:val="00CE76DB"/>
    <w:rsid w:val="00CF6582"/>
    <w:rsid w:val="00D01078"/>
    <w:rsid w:val="00D12F74"/>
    <w:rsid w:val="00D26646"/>
    <w:rsid w:val="00D27257"/>
    <w:rsid w:val="00D35823"/>
    <w:rsid w:val="00D40B4A"/>
    <w:rsid w:val="00D43DEE"/>
    <w:rsid w:val="00D8060F"/>
    <w:rsid w:val="00DB19FB"/>
    <w:rsid w:val="00DB2FE6"/>
    <w:rsid w:val="00DE32BA"/>
    <w:rsid w:val="00DE3AD9"/>
    <w:rsid w:val="00DF4C62"/>
    <w:rsid w:val="00E057DA"/>
    <w:rsid w:val="00E14338"/>
    <w:rsid w:val="00E41C19"/>
    <w:rsid w:val="00E44E14"/>
    <w:rsid w:val="00E4575D"/>
    <w:rsid w:val="00E82FDE"/>
    <w:rsid w:val="00E90C26"/>
    <w:rsid w:val="00E93A0C"/>
    <w:rsid w:val="00EA2D3C"/>
    <w:rsid w:val="00EA4BD8"/>
    <w:rsid w:val="00EA5500"/>
    <w:rsid w:val="00EC67DF"/>
    <w:rsid w:val="00EE3322"/>
    <w:rsid w:val="00EF0316"/>
    <w:rsid w:val="00EF214D"/>
    <w:rsid w:val="00EF2E03"/>
    <w:rsid w:val="00EF328C"/>
    <w:rsid w:val="00EF5094"/>
    <w:rsid w:val="00F046D1"/>
    <w:rsid w:val="00F058DC"/>
    <w:rsid w:val="00F40A79"/>
    <w:rsid w:val="00F60D95"/>
    <w:rsid w:val="00F6393C"/>
    <w:rsid w:val="00FA654C"/>
    <w:rsid w:val="00FB4E58"/>
    <w:rsid w:val="00FC41C3"/>
    <w:rsid w:val="00FD5F22"/>
    <w:rsid w:val="00FD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mailto:%20sumant(at)rti.com" TargetMode="External"/><Relationship Id="rId21" Type="http://schemas.openxmlformats.org/officeDocument/2006/relationships/hyperlink" Target="https://github.com/kydos/dds-psm-cxx/blob/master/src/hpp/dds/core/policy/TCorePolicy.hpp" TargetMode="External"/><Relationship Id="rId22" Type="http://schemas.openxmlformats.org/officeDocument/2006/relationships/hyperlink" Target="mailto:%20sumant(at)rti.com" TargetMode="External"/><Relationship Id="rId23" Type="http://schemas.openxmlformats.org/officeDocument/2006/relationships/hyperlink" Target="mailto:%20jwillemsen(at)remedy.nl" TargetMode="External"/><Relationship Id="rId24" Type="http://schemas.openxmlformats.org/officeDocument/2006/relationships/hyperlink" Target="mailto:%20sumant(at)rti.com" TargetMode="External"/><Relationship Id="rId25" Type="http://schemas.openxmlformats.org/officeDocument/2006/relationships/hyperlink" Target="mailto:%20jwillemsen(at)remedy.nl" TargetMode="External"/><Relationship Id="rId26" Type="http://schemas.openxmlformats.org/officeDocument/2006/relationships/hyperlink" Target="mailto:%20jwillemsen(at)remedy.nl" TargetMode="External"/><Relationship Id="rId27" Type="http://schemas.openxmlformats.org/officeDocument/2006/relationships/hyperlink" Target="mailto:%20jwillemsen(at)remedy.nl" TargetMode="External"/><Relationship Id="rId28" Type="http://schemas.openxmlformats.org/officeDocument/2006/relationships/hyperlink" Target="mailto:%20angelo.corsaro(at)prismtech.com" TargetMode="External"/><Relationship Id="rId29" Type="http://schemas.openxmlformats.org/officeDocument/2006/relationships/hyperlink" Target="mailto:%20sumant(at)rt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kydos/dds-psm-cxx/blob/master/src/hpp/dds/pub/AnyDataWriter.hpp" TargetMode="External"/><Relationship Id="rId31" Type="http://schemas.openxmlformats.org/officeDocument/2006/relationships/hyperlink" Target="https://github.com/kydos/dds-psm-cxx/blob/master/src/hpp/dds/sub/AnyDataReader.hpp" TargetMode="External"/><Relationship Id="rId32" Type="http://schemas.openxmlformats.org/officeDocument/2006/relationships/hyperlink" Target="https://github.com/kydos/dds-psm-cxx/blob/master/src/hpp/dds/topic/AnyTopic.hpp" TargetMode="External"/><Relationship Id="rId9" Type="http://schemas.openxmlformats.org/officeDocument/2006/relationships/hyperlink" Target="mailto:%20angelo.corsaro(at)prismtech.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33" Type="http://schemas.openxmlformats.org/officeDocument/2006/relationships/hyperlink" Target="mailto:%20sumant(at)rti.com" TargetMode="External"/><Relationship Id="rId34" Type="http://schemas.openxmlformats.org/officeDocument/2006/relationships/hyperlink" Target="mailto:%20angelo.corsaro(at)prismtech.com" TargetMode="External"/><Relationship Id="rId35" Type="http://schemas.openxmlformats.org/officeDocument/2006/relationships/hyperlink" Target="https://github.com/kydos/dds-psm-cxx/blob/master/src/hpp/dds/sub/TDataReader.hpp" TargetMode="External"/><Relationship Id="rId36" Type="http://schemas.openxmlformats.org/officeDocument/2006/relationships/hyperlink" Target="mailto:%20angelo.corsaro(at)prismtech.com" TargetMode="External"/><Relationship Id="rId10" Type="http://schemas.openxmlformats.org/officeDocument/2006/relationships/hyperlink" Target="mailto:%20jwillemsen(at)remedy.nl" TargetMode="External"/><Relationship Id="rId11" Type="http://schemas.openxmlformats.org/officeDocument/2006/relationships/hyperlink" Target="mailto:%20jwillemsen(at)remedy.nl" TargetMode="External"/><Relationship Id="rId12" Type="http://schemas.openxmlformats.org/officeDocument/2006/relationships/hyperlink" Target="mailto:%20sumant(at)rti.com" TargetMode="External"/><Relationship Id="rId13" Type="http://schemas.openxmlformats.org/officeDocument/2006/relationships/hyperlink" Target="mailto:%20sumant(at)rti.com" TargetMode="External"/><Relationship Id="rId14" Type="http://schemas.openxmlformats.org/officeDocument/2006/relationships/hyperlink" Target="mailto:%20sumant(at)rti.com" TargetMode="External"/><Relationship Id="rId15" Type="http://schemas.openxmlformats.org/officeDocument/2006/relationships/hyperlink" Target="mailto:%20sumant(at)rti.com" TargetMode="External"/><Relationship Id="rId16" Type="http://schemas.openxmlformats.org/officeDocument/2006/relationships/hyperlink" Target="mailto:%20jwillemsen(at)remedy.nl"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mailto:%20sumant(at)rti.com" TargetMode="External"/><Relationship Id="rId37" Type="http://schemas.openxmlformats.org/officeDocument/2006/relationships/hyperlink" Target="https://github.com/kydos/dds-psm-cxx/blob/master/src/hpp/dds/sub/TDataReader.hpp" TargetMode="External"/><Relationship Id="rId38" Type="http://schemas.openxmlformats.org/officeDocument/2006/relationships/hyperlink" Target="https://github.com/kydos/dds-psm-cxx/blob/master/src/hpp/dds/sub/status/DataStatus.hpp" TargetMode="External"/><Relationship Id="rId39" Type="http://schemas.openxmlformats.org/officeDocument/2006/relationships/hyperlink" Target="mailto:%20angelo.corsaro(at)prismtech.com" TargetMode="External"/><Relationship Id="rId40" Type="http://schemas.openxmlformats.org/officeDocument/2006/relationships/hyperlink" Target="https://github.com/kydos/dds-psm-cxx/blob/master/src/hpp/dds/sub/TDataReader.hpp" TargetMode="External"/><Relationship Id="rId41" Type="http://schemas.openxmlformats.org/officeDocument/2006/relationships/hyperlink" Target="mailto:%20angelo.corsaro(at)prismtech.com" TargetMode="External"/><Relationship Id="rId42" Type="http://schemas.openxmlformats.org/officeDocument/2006/relationships/hyperlink" Target="https://github.com/kydos/dds-psm-cxx/blob/master/src/hpp/dds/core/Reference.hpp" TargetMode="External"/><Relationship Id="rId43" Type="http://schemas.openxmlformats.org/officeDocument/2006/relationships/hyperlink" Target="mailto:%20angelo.corsaro(at)prismtech.com" TargetMode="External"/><Relationship Id="rId44" Type="http://schemas.openxmlformats.org/officeDocument/2006/relationships/header" Target="header1.xml"/><Relationship Id="rId45"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33</Pages>
  <Words>6919</Words>
  <Characters>38058</Characters>
  <Application>Microsoft Macintosh Word</Application>
  <DocSecurity>0</DocSecurity>
  <Lines>317</Lines>
  <Paragraphs>89</Paragraphs>
  <ScaleCrop>false</ScaleCrop>
  <Company>Independent</Company>
  <LinksUpToDate>false</LinksUpToDate>
  <CharactersWithSpaces>44888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12</cp:revision>
  <dcterms:created xsi:type="dcterms:W3CDTF">2012-10-15T12:32:00Z</dcterms:created>
  <dcterms:modified xsi:type="dcterms:W3CDTF">2012-10-15T13:08:00Z</dcterms:modified>
</cp:coreProperties>
</file>