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Pruebas automatizadas - Portal de productores</w:t>
      </w:r>
    </w:p>
    <w:p>
      <w:r>
        <w:rPr>
          <w:sz w:val="26"/>
        </w:rPr>
        <w:t>Pantalla Principal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40"/>
        </w:rPr>
        <w:t>Consultar solicitud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nroSolicitud: 2619, fechaDesde: 17/11/2020, fechaHasta: 17/12/2020, nombreTomador: GUADALUPE BASSO, documentoTomador: , estado: SOLICITUD ENVIADA, nombreAsegurado: , documentoAsegurado: , ramo: ACCIDENTES PERSONALES COLECTIVO	, productor: </w:t>
      </w:r>
    </w:p>
    <w:p>
      <w:r>
        <w:rPr>
          <w:sz w:val="26"/>
        </w:rPr>
        <w:t>Datos de la búsqueda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de la solicitud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de la solicitud</w:t>
        <w:drawing>
          <wp:inline distT="0" distR="0" distB="0" distL="0">
            <wp:extent cx="6350000" cy="2540000"/>
            <wp:docPr id="3" name="Drawing 3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2020-12-21T12:14:25Z</dcterms:created>
  <dc:creator>Apache POI</dc:creator>
</cp:coreProperties>
</file>