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7A66" w14:textId="77777777" w:rsidR="00AD1919" w:rsidRDefault="00AD1919">
      <w:pPr>
        <w:spacing w:before="1800"/>
      </w:pPr>
    </w:p>
    <w:p w14:paraId="39366CCD" w14:textId="77777777" w:rsidR="00AD1919" w:rsidRDefault="00000000">
      <w:pPr>
        <w:pBdr>
          <w:bottom w:val="single" w:sz="18" w:space="6" w:color="C8A24B"/>
        </w:pBdr>
        <w:spacing w:after="40"/>
      </w:pPr>
      <w:r>
        <w:rPr>
          <w:b/>
          <w:bCs/>
          <w:color w:val="2E6CA4"/>
          <w:sz w:val="22"/>
          <w:szCs w:val="22"/>
        </w:rPr>
        <w:t>INDUSTRY RESEARCH REPORT</w:t>
      </w:r>
    </w:p>
    <w:p w14:paraId="2009B97C" w14:textId="71763894" w:rsidR="00AD1919" w:rsidRDefault="00000000" w:rsidP="005D2998">
      <w:pPr>
        <w:spacing w:before="240" w:after="60"/>
      </w:pPr>
      <w:r>
        <w:rPr>
          <w:b/>
          <w:bCs/>
          <w:color w:val="1F3A5F"/>
          <w:sz w:val="56"/>
          <w:szCs w:val="56"/>
        </w:rPr>
        <w:t>U.S. Modular Building Industry</w:t>
      </w:r>
    </w:p>
    <w:p w14:paraId="301D9640" w14:textId="77777777" w:rsidR="00AD1919" w:rsidRDefault="00000000">
      <w:pPr>
        <w:spacing w:after="60"/>
      </w:pPr>
      <w:r>
        <w:rPr>
          <w:color w:val="666666"/>
          <w:sz w:val="22"/>
          <w:szCs w:val="22"/>
        </w:rPr>
        <w:t>Permanent Modular · Relocatable Buildings · Panelized &amp; Pod Systems · Factory-Built Housing</w:t>
      </w:r>
    </w:p>
    <w:p w14:paraId="7A19E4AC" w14:textId="77777777" w:rsidR="00AD1919" w:rsidRDefault="00000000">
      <w:pPr>
        <w:pBdr>
          <w:top w:val="single" w:sz="6" w:space="8" w:color="CCCCCC"/>
        </w:pBdr>
        <w:spacing w:before="2600" w:after="40"/>
      </w:pPr>
      <w:r>
        <w:rPr>
          <w:i/>
          <w:iCs/>
          <w:color w:val="666666"/>
          <w:sz w:val="20"/>
          <w:szCs w:val="20"/>
        </w:rPr>
        <w:t>Market Size · Structure · Major Players · Technology · Risks · Five-Year Outlook</w:t>
      </w:r>
    </w:p>
    <w:p w14:paraId="4E668901" w14:textId="77777777" w:rsidR="00AD1919" w:rsidRDefault="00000000">
      <w:r>
        <w:rPr>
          <w:b/>
          <w:bCs/>
          <w:color w:val="1F3A5F"/>
          <w:sz w:val="20"/>
          <w:szCs w:val="20"/>
        </w:rPr>
        <w:t>Prepared June 2026  ·  IBIS-style format</w:t>
      </w:r>
    </w:p>
    <w:p w14:paraId="4EA2C234" w14:textId="77777777" w:rsidR="00AD1919" w:rsidRDefault="00000000">
      <w:r>
        <w:rPr>
          <w:color w:val="666666"/>
          <w:sz w:val="18"/>
          <w:szCs w:val="18"/>
        </w:rPr>
        <w:t>Latest available data through FY2025 / calendar 2025</w:t>
      </w:r>
    </w:p>
    <w:p w14:paraId="550132BC" w14:textId="77777777" w:rsidR="00AD1919" w:rsidRDefault="00000000">
      <w:r>
        <w:br w:type="page"/>
      </w:r>
    </w:p>
    <w:p w14:paraId="2A043B14" w14:textId="77777777" w:rsidR="00AD1919" w:rsidRDefault="00000000">
      <w:pPr>
        <w:pStyle w:val="Heading1"/>
      </w:pPr>
      <w:bookmarkStart w:id="0" w:name="_Toc236397786"/>
      <w:r>
        <w:lastRenderedPageBreak/>
        <w:t>Contents</w:t>
      </w:r>
      <w:bookmarkEnd w:id="0"/>
    </w:p>
    <w:sdt>
      <w:sdtPr>
        <w:alias w:val="Contents"/>
        <w:id w:val="-1989387803"/>
      </w:sdtPr>
      <w:sdtContent>
        <w:p w14:paraId="119D035B" w14:textId="0D5A5D0B" w:rsidR="005D2998"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397786" w:history="1">
            <w:r w:rsidR="005D2998" w:rsidRPr="00726130">
              <w:rPr>
                <w:rStyle w:val="Hyperlink"/>
                <w:noProof/>
              </w:rPr>
              <w:t>Contents</w:t>
            </w:r>
            <w:r w:rsidR="005D2998">
              <w:rPr>
                <w:noProof/>
              </w:rPr>
              <w:tab/>
            </w:r>
            <w:r w:rsidR="005D2998">
              <w:rPr>
                <w:noProof/>
              </w:rPr>
              <w:fldChar w:fldCharType="begin"/>
            </w:r>
            <w:r w:rsidR="005D2998">
              <w:rPr>
                <w:noProof/>
              </w:rPr>
              <w:instrText xml:space="preserve"> PAGEREF _Toc236397786 \h </w:instrText>
            </w:r>
            <w:r w:rsidR="005D2998">
              <w:rPr>
                <w:noProof/>
              </w:rPr>
            </w:r>
            <w:r w:rsidR="005D2998">
              <w:rPr>
                <w:noProof/>
              </w:rPr>
              <w:fldChar w:fldCharType="separate"/>
            </w:r>
            <w:r w:rsidR="005D2998">
              <w:rPr>
                <w:noProof/>
              </w:rPr>
              <w:t>2</w:t>
            </w:r>
            <w:r w:rsidR="005D2998">
              <w:rPr>
                <w:noProof/>
              </w:rPr>
              <w:fldChar w:fldCharType="end"/>
            </w:r>
          </w:hyperlink>
        </w:p>
        <w:p w14:paraId="4F96837D" w14:textId="2549F797"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87" w:history="1">
            <w:r w:rsidRPr="00726130">
              <w:rPr>
                <w:rStyle w:val="Hyperlink"/>
                <w:noProof/>
              </w:rPr>
              <w:t>1. Executive Summary</w:t>
            </w:r>
            <w:r>
              <w:rPr>
                <w:noProof/>
              </w:rPr>
              <w:tab/>
            </w:r>
            <w:r>
              <w:rPr>
                <w:noProof/>
              </w:rPr>
              <w:fldChar w:fldCharType="begin"/>
            </w:r>
            <w:r>
              <w:rPr>
                <w:noProof/>
              </w:rPr>
              <w:instrText xml:space="preserve"> PAGEREF _Toc236397787 \h </w:instrText>
            </w:r>
            <w:r>
              <w:rPr>
                <w:noProof/>
              </w:rPr>
            </w:r>
            <w:r>
              <w:rPr>
                <w:noProof/>
              </w:rPr>
              <w:fldChar w:fldCharType="separate"/>
            </w:r>
            <w:r>
              <w:rPr>
                <w:noProof/>
              </w:rPr>
              <w:t>4</w:t>
            </w:r>
            <w:r>
              <w:rPr>
                <w:noProof/>
              </w:rPr>
              <w:fldChar w:fldCharType="end"/>
            </w:r>
          </w:hyperlink>
        </w:p>
        <w:p w14:paraId="5C3F2C8C" w14:textId="62535059"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88" w:history="1">
            <w:r w:rsidRPr="00726130">
              <w:rPr>
                <w:rStyle w:val="Hyperlink"/>
                <w:noProof/>
              </w:rPr>
              <w:t>2. Industry Definition &amp; Scope</w:t>
            </w:r>
            <w:r>
              <w:rPr>
                <w:noProof/>
              </w:rPr>
              <w:tab/>
            </w:r>
            <w:r>
              <w:rPr>
                <w:noProof/>
              </w:rPr>
              <w:fldChar w:fldCharType="begin"/>
            </w:r>
            <w:r>
              <w:rPr>
                <w:noProof/>
              </w:rPr>
              <w:instrText xml:space="preserve"> PAGEREF _Toc236397788 \h </w:instrText>
            </w:r>
            <w:r>
              <w:rPr>
                <w:noProof/>
              </w:rPr>
            </w:r>
            <w:r>
              <w:rPr>
                <w:noProof/>
              </w:rPr>
              <w:fldChar w:fldCharType="separate"/>
            </w:r>
            <w:r>
              <w:rPr>
                <w:noProof/>
              </w:rPr>
              <w:t>5</w:t>
            </w:r>
            <w:r>
              <w:rPr>
                <w:noProof/>
              </w:rPr>
              <w:fldChar w:fldCharType="end"/>
            </w:r>
          </w:hyperlink>
        </w:p>
        <w:p w14:paraId="7E9CE467" w14:textId="40389B3B"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89" w:history="1">
            <w:r w:rsidRPr="00726130">
              <w:rPr>
                <w:rStyle w:val="Hyperlink"/>
                <w:noProof/>
              </w:rPr>
              <w:t>2.1 Core Categories</w:t>
            </w:r>
            <w:r>
              <w:rPr>
                <w:noProof/>
              </w:rPr>
              <w:tab/>
            </w:r>
            <w:r>
              <w:rPr>
                <w:noProof/>
              </w:rPr>
              <w:fldChar w:fldCharType="begin"/>
            </w:r>
            <w:r>
              <w:rPr>
                <w:noProof/>
              </w:rPr>
              <w:instrText xml:space="preserve"> PAGEREF _Toc236397789 \h </w:instrText>
            </w:r>
            <w:r>
              <w:rPr>
                <w:noProof/>
              </w:rPr>
            </w:r>
            <w:r>
              <w:rPr>
                <w:noProof/>
              </w:rPr>
              <w:fldChar w:fldCharType="separate"/>
            </w:r>
            <w:r>
              <w:rPr>
                <w:noProof/>
              </w:rPr>
              <w:t>5</w:t>
            </w:r>
            <w:r>
              <w:rPr>
                <w:noProof/>
              </w:rPr>
              <w:fldChar w:fldCharType="end"/>
            </w:r>
          </w:hyperlink>
        </w:p>
        <w:p w14:paraId="63F332AF" w14:textId="02CF5542"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90" w:history="1">
            <w:r w:rsidRPr="00726130">
              <w:rPr>
                <w:rStyle w:val="Hyperlink"/>
                <w:noProof/>
              </w:rPr>
              <w:t>2.2 NAICS Coverage &amp; the Measurement Challenge</w:t>
            </w:r>
            <w:r>
              <w:rPr>
                <w:noProof/>
              </w:rPr>
              <w:tab/>
            </w:r>
            <w:r>
              <w:rPr>
                <w:noProof/>
              </w:rPr>
              <w:fldChar w:fldCharType="begin"/>
            </w:r>
            <w:r>
              <w:rPr>
                <w:noProof/>
              </w:rPr>
              <w:instrText xml:space="preserve"> PAGEREF _Toc236397790 \h </w:instrText>
            </w:r>
            <w:r>
              <w:rPr>
                <w:noProof/>
              </w:rPr>
            </w:r>
            <w:r>
              <w:rPr>
                <w:noProof/>
              </w:rPr>
              <w:fldChar w:fldCharType="separate"/>
            </w:r>
            <w:r>
              <w:rPr>
                <w:noProof/>
              </w:rPr>
              <w:t>5</w:t>
            </w:r>
            <w:r>
              <w:rPr>
                <w:noProof/>
              </w:rPr>
              <w:fldChar w:fldCharType="end"/>
            </w:r>
          </w:hyperlink>
        </w:p>
        <w:p w14:paraId="03EC59BD" w14:textId="7C6D8126"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91" w:history="1">
            <w:r w:rsidRPr="00726130">
              <w:rPr>
                <w:rStyle w:val="Hyperlink"/>
                <w:noProof/>
              </w:rPr>
              <w:t>3. Market Size &amp; Structure</w:t>
            </w:r>
            <w:r>
              <w:rPr>
                <w:noProof/>
              </w:rPr>
              <w:tab/>
            </w:r>
            <w:r>
              <w:rPr>
                <w:noProof/>
              </w:rPr>
              <w:fldChar w:fldCharType="begin"/>
            </w:r>
            <w:r>
              <w:rPr>
                <w:noProof/>
              </w:rPr>
              <w:instrText xml:space="preserve"> PAGEREF _Toc236397791 \h </w:instrText>
            </w:r>
            <w:r>
              <w:rPr>
                <w:noProof/>
              </w:rPr>
            </w:r>
            <w:r>
              <w:rPr>
                <w:noProof/>
              </w:rPr>
              <w:fldChar w:fldCharType="separate"/>
            </w:r>
            <w:r>
              <w:rPr>
                <w:noProof/>
              </w:rPr>
              <w:t>6</w:t>
            </w:r>
            <w:r>
              <w:rPr>
                <w:noProof/>
              </w:rPr>
              <w:fldChar w:fldCharType="end"/>
            </w:r>
          </w:hyperlink>
        </w:p>
        <w:p w14:paraId="1D3B6C4C" w14:textId="0246FCC9"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92" w:history="1">
            <w:r w:rsidRPr="00726130">
              <w:rPr>
                <w:rStyle w:val="Hyperlink"/>
                <w:noProof/>
              </w:rPr>
              <w:t>3.1 Permanent Modular Construction</w:t>
            </w:r>
            <w:r>
              <w:rPr>
                <w:noProof/>
              </w:rPr>
              <w:tab/>
            </w:r>
            <w:r>
              <w:rPr>
                <w:noProof/>
              </w:rPr>
              <w:fldChar w:fldCharType="begin"/>
            </w:r>
            <w:r>
              <w:rPr>
                <w:noProof/>
              </w:rPr>
              <w:instrText xml:space="preserve"> PAGEREF _Toc236397792 \h </w:instrText>
            </w:r>
            <w:r>
              <w:rPr>
                <w:noProof/>
              </w:rPr>
            </w:r>
            <w:r>
              <w:rPr>
                <w:noProof/>
              </w:rPr>
              <w:fldChar w:fldCharType="separate"/>
            </w:r>
            <w:r>
              <w:rPr>
                <w:noProof/>
              </w:rPr>
              <w:t>6</w:t>
            </w:r>
            <w:r>
              <w:rPr>
                <w:noProof/>
              </w:rPr>
              <w:fldChar w:fldCharType="end"/>
            </w:r>
          </w:hyperlink>
        </w:p>
        <w:p w14:paraId="0BB661C6" w14:textId="0A8820FA"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93" w:history="1">
            <w:r w:rsidRPr="00726130">
              <w:rPr>
                <w:rStyle w:val="Hyperlink"/>
                <w:noProof/>
              </w:rPr>
              <w:t>3.2 Relocatable Modular Buildings</w:t>
            </w:r>
            <w:r>
              <w:rPr>
                <w:noProof/>
              </w:rPr>
              <w:tab/>
            </w:r>
            <w:r>
              <w:rPr>
                <w:noProof/>
              </w:rPr>
              <w:fldChar w:fldCharType="begin"/>
            </w:r>
            <w:r>
              <w:rPr>
                <w:noProof/>
              </w:rPr>
              <w:instrText xml:space="preserve"> PAGEREF _Toc236397793 \h </w:instrText>
            </w:r>
            <w:r>
              <w:rPr>
                <w:noProof/>
              </w:rPr>
            </w:r>
            <w:r>
              <w:rPr>
                <w:noProof/>
              </w:rPr>
              <w:fldChar w:fldCharType="separate"/>
            </w:r>
            <w:r>
              <w:rPr>
                <w:noProof/>
              </w:rPr>
              <w:t>6</w:t>
            </w:r>
            <w:r>
              <w:rPr>
                <w:noProof/>
              </w:rPr>
              <w:fldChar w:fldCharType="end"/>
            </w:r>
          </w:hyperlink>
        </w:p>
        <w:p w14:paraId="6ED1AB50" w14:textId="163EF28E"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94" w:history="1">
            <w:r w:rsidRPr="00726130">
              <w:rPr>
                <w:rStyle w:val="Hyperlink"/>
                <w:noProof/>
              </w:rPr>
              <w:t>3.3 Residential Offsite Adoption Remains Low</w:t>
            </w:r>
            <w:r>
              <w:rPr>
                <w:noProof/>
              </w:rPr>
              <w:tab/>
            </w:r>
            <w:r>
              <w:rPr>
                <w:noProof/>
              </w:rPr>
              <w:fldChar w:fldCharType="begin"/>
            </w:r>
            <w:r>
              <w:rPr>
                <w:noProof/>
              </w:rPr>
              <w:instrText xml:space="preserve"> PAGEREF _Toc236397794 \h </w:instrText>
            </w:r>
            <w:r>
              <w:rPr>
                <w:noProof/>
              </w:rPr>
            </w:r>
            <w:r>
              <w:rPr>
                <w:noProof/>
              </w:rPr>
              <w:fldChar w:fldCharType="separate"/>
            </w:r>
            <w:r>
              <w:rPr>
                <w:noProof/>
              </w:rPr>
              <w:t>6</w:t>
            </w:r>
            <w:r>
              <w:rPr>
                <w:noProof/>
              </w:rPr>
              <w:fldChar w:fldCharType="end"/>
            </w:r>
          </w:hyperlink>
        </w:p>
        <w:p w14:paraId="7CA619B7" w14:textId="028288AD"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95" w:history="1">
            <w:r w:rsidRPr="00726130">
              <w:rPr>
                <w:rStyle w:val="Hyperlink"/>
                <w:noProof/>
              </w:rPr>
              <w:t>3.4 Manufactured Housing: The Larger Adjacent Market</w:t>
            </w:r>
            <w:r>
              <w:rPr>
                <w:noProof/>
              </w:rPr>
              <w:tab/>
            </w:r>
            <w:r>
              <w:rPr>
                <w:noProof/>
              </w:rPr>
              <w:fldChar w:fldCharType="begin"/>
            </w:r>
            <w:r>
              <w:rPr>
                <w:noProof/>
              </w:rPr>
              <w:instrText xml:space="preserve"> PAGEREF _Toc236397795 \h </w:instrText>
            </w:r>
            <w:r>
              <w:rPr>
                <w:noProof/>
              </w:rPr>
            </w:r>
            <w:r>
              <w:rPr>
                <w:noProof/>
              </w:rPr>
              <w:fldChar w:fldCharType="separate"/>
            </w:r>
            <w:r>
              <w:rPr>
                <w:noProof/>
              </w:rPr>
              <w:t>6</w:t>
            </w:r>
            <w:r>
              <w:rPr>
                <w:noProof/>
              </w:rPr>
              <w:fldChar w:fldCharType="end"/>
            </w:r>
          </w:hyperlink>
        </w:p>
        <w:p w14:paraId="0B3572DA" w14:textId="004246CD"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96" w:history="1">
            <w:r w:rsidRPr="00726130">
              <w:rPr>
                <w:rStyle w:val="Hyperlink"/>
                <w:noProof/>
              </w:rPr>
              <w:t>4. Major Markets &amp; End-Use Segments</w:t>
            </w:r>
            <w:r>
              <w:rPr>
                <w:noProof/>
              </w:rPr>
              <w:tab/>
            </w:r>
            <w:r>
              <w:rPr>
                <w:noProof/>
              </w:rPr>
              <w:fldChar w:fldCharType="begin"/>
            </w:r>
            <w:r>
              <w:rPr>
                <w:noProof/>
              </w:rPr>
              <w:instrText xml:space="preserve"> PAGEREF _Toc236397796 \h </w:instrText>
            </w:r>
            <w:r>
              <w:rPr>
                <w:noProof/>
              </w:rPr>
            </w:r>
            <w:r>
              <w:rPr>
                <w:noProof/>
              </w:rPr>
              <w:fldChar w:fldCharType="separate"/>
            </w:r>
            <w:r>
              <w:rPr>
                <w:noProof/>
              </w:rPr>
              <w:t>8</w:t>
            </w:r>
            <w:r>
              <w:rPr>
                <w:noProof/>
              </w:rPr>
              <w:fldChar w:fldCharType="end"/>
            </w:r>
          </w:hyperlink>
        </w:p>
        <w:p w14:paraId="1C83C1EE" w14:textId="458D881A"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97" w:history="1">
            <w:r w:rsidRPr="00726130">
              <w:rPr>
                <w:rStyle w:val="Hyperlink"/>
                <w:noProof/>
              </w:rPr>
              <w:t>5. Competitive Landscape &amp; Major Players</w:t>
            </w:r>
            <w:r>
              <w:rPr>
                <w:noProof/>
              </w:rPr>
              <w:tab/>
            </w:r>
            <w:r>
              <w:rPr>
                <w:noProof/>
              </w:rPr>
              <w:fldChar w:fldCharType="begin"/>
            </w:r>
            <w:r>
              <w:rPr>
                <w:noProof/>
              </w:rPr>
              <w:instrText xml:space="preserve"> PAGEREF _Toc236397797 \h </w:instrText>
            </w:r>
            <w:r>
              <w:rPr>
                <w:noProof/>
              </w:rPr>
            </w:r>
            <w:r>
              <w:rPr>
                <w:noProof/>
              </w:rPr>
              <w:fldChar w:fldCharType="separate"/>
            </w:r>
            <w:r>
              <w:rPr>
                <w:noProof/>
              </w:rPr>
              <w:t>9</w:t>
            </w:r>
            <w:r>
              <w:rPr>
                <w:noProof/>
              </w:rPr>
              <w:fldChar w:fldCharType="end"/>
            </w:r>
          </w:hyperlink>
        </w:p>
        <w:p w14:paraId="05B38BCD" w14:textId="7BB5CC35"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98" w:history="1">
            <w:r w:rsidRPr="00726130">
              <w:rPr>
                <w:rStyle w:val="Hyperlink"/>
                <w:noProof/>
              </w:rPr>
              <w:t>5.1 Factory-Built Housing (Manufactured &amp; Modular Homes)</w:t>
            </w:r>
            <w:r>
              <w:rPr>
                <w:noProof/>
              </w:rPr>
              <w:tab/>
            </w:r>
            <w:r>
              <w:rPr>
                <w:noProof/>
              </w:rPr>
              <w:fldChar w:fldCharType="begin"/>
            </w:r>
            <w:r>
              <w:rPr>
                <w:noProof/>
              </w:rPr>
              <w:instrText xml:space="preserve"> PAGEREF _Toc236397798 \h </w:instrText>
            </w:r>
            <w:r>
              <w:rPr>
                <w:noProof/>
              </w:rPr>
            </w:r>
            <w:r>
              <w:rPr>
                <w:noProof/>
              </w:rPr>
              <w:fldChar w:fldCharType="separate"/>
            </w:r>
            <w:r>
              <w:rPr>
                <w:noProof/>
              </w:rPr>
              <w:t>9</w:t>
            </w:r>
            <w:r>
              <w:rPr>
                <w:noProof/>
              </w:rPr>
              <w:fldChar w:fldCharType="end"/>
            </w:r>
          </w:hyperlink>
        </w:p>
        <w:p w14:paraId="5406DDC3" w14:textId="174F9BEB"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799" w:history="1">
            <w:r w:rsidRPr="00726130">
              <w:rPr>
                <w:rStyle w:val="Hyperlink"/>
                <w:noProof/>
              </w:rPr>
              <w:t>5.2 Commercial Modular &amp; Relocatable Buildings</w:t>
            </w:r>
            <w:r>
              <w:rPr>
                <w:noProof/>
              </w:rPr>
              <w:tab/>
            </w:r>
            <w:r>
              <w:rPr>
                <w:noProof/>
              </w:rPr>
              <w:fldChar w:fldCharType="begin"/>
            </w:r>
            <w:r>
              <w:rPr>
                <w:noProof/>
              </w:rPr>
              <w:instrText xml:space="preserve"> PAGEREF _Toc236397799 \h </w:instrText>
            </w:r>
            <w:r>
              <w:rPr>
                <w:noProof/>
              </w:rPr>
            </w:r>
            <w:r>
              <w:rPr>
                <w:noProof/>
              </w:rPr>
              <w:fldChar w:fldCharType="separate"/>
            </w:r>
            <w:r>
              <w:rPr>
                <w:noProof/>
              </w:rPr>
              <w:t>9</w:t>
            </w:r>
            <w:r>
              <w:rPr>
                <w:noProof/>
              </w:rPr>
              <w:fldChar w:fldCharType="end"/>
            </w:r>
          </w:hyperlink>
        </w:p>
        <w:p w14:paraId="267654B6" w14:textId="4F413703"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00" w:history="1">
            <w:r w:rsidRPr="00726130">
              <w:rPr>
                <w:rStyle w:val="Hyperlink"/>
                <w:noProof/>
              </w:rPr>
              <w:t>5.3 Notable Volumetric &amp; Specialty Modular Firms</w:t>
            </w:r>
            <w:r>
              <w:rPr>
                <w:noProof/>
              </w:rPr>
              <w:tab/>
            </w:r>
            <w:r>
              <w:rPr>
                <w:noProof/>
              </w:rPr>
              <w:fldChar w:fldCharType="begin"/>
            </w:r>
            <w:r>
              <w:rPr>
                <w:noProof/>
              </w:rPr>
              <w:instrText xml:space="preserve"> PAGEREF _Toc236397800 \h </w:instrText>
            </w:r>
            <w:r>
              <w:rPr>
                <w:noProof/>
              </w:rPr>
            </w:r>
            <w:r>
              <w:rPr>
                <w:noProof/>
              </w:rPr>
              <w:fldChar w:fldCharType="separate"/>
            </w:r>
            <w:r>
              <w:rPr>
                <w:noProof/>
              </w:rPr>
              <w:t>9</w:t>
            </w:r>
            <w:r>
              <w:rPr>
                <w:noProof/>
              </w:rPr>
              <w:fldChar w:fldCharType="end"/>
            </w:r>
          </w:hyperlink>
        </w:p>
        <w:p w14:paraId="249C9FE9" w14:textId="544402CB"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01" w:history="1">
            <w:r w:rsidRPr="00726130">
              <w:rPr>
                <w:rStyle w:val="Hyperlink"/>
                <w:noProof/>
              </w:rPr>
              <w:t>6. Supply Chain &amp; Adjacent Industries</w:t>
            </w:r>
            <w:r>
              <w:rPr>
                <w:noProof/>
              </w:rPr>
              <w:tab/>
            </w:r>
            <w:r>
              <w:rPr>
                <w:noProof/>
              </w:rPr>
              <w:fldChar w:fldCharType="begin"/>
            </w:r>
            <w:r>
              <w:rPr>
                <w:noProof/>
              </w:rPr>
              <w:instrText xml:space="preserve"> PAGEREF _Toc236397801 \h </w:instrText>
            </w:r>
            <w:r>
              <w:rPr>
                <w:noProof/>
              </w:rPr>
            </w:r>
            <w:r>
              <w:rPr>
                <w:noProof/>
              </w:rPr>
              <w:fldChar w:fldCharType="separate"/>
            </w:r>
            <w:r>
              <w:rPr>
                <w:noProof/>
              </w:rPr>
              <w:t>10</w:t>
            </w:r>
            <w:r>
              <w:rPr>
                <w:noProof/>
              </w:rPr>
              <w:fldChar w:fldCharType="end"/>
            </w:r>
          </w:hyperlink>
        </w:p>
        <w:p w14:paraId="27AF86A9" w14:textId="41D69C3A"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02" w:history="1">
            <w:r w:rsidRPr="00726130">
              <w:rPr>
                <w:rStyle w:val="Hyperlink"/>
                <w:noProof/>
              </w:rPr>
              <w:t>6.1 Upstream Inputs</w:t>
            </w:r>
            <w:r>
              <w:rPr>
                <w:noProof/>
              </w:rPr>
              <w:tab/>
            </w:r>
            <w:r>
              <w:rPr>
                <w:noProof/>
              </w:rPr>
              <w:fldChar w:fldCharType="begin"/>
            </w:r>
            <w:r>
              <w:rPr>
                <w:noProof/>
              </w:rPr>
              <w:instrText xml:space="preserve"> PAGEREF _Toc236397802 \h </w:instrText>
            </w:r>
            <w:r>
              <w:rPr>
                <w:noProof/>
              </w:rPr>
            </w:r>
            <w:r>
              <w:rPr>
                <w:noProof/>
              </w:rPr>
              <w:fldChar w:fldCharType="separate"/>
            </w:r>
            <w:r>
              <w:rPr>
                <w:noProof/>
              </w:rPr>
              <w:t>10</w:t>
            </w:r>
            <w:r>
              <w:rPr>
                <w:noProof/>
              </w:rPr>
              <w:fldChar w:fldCharType="end"/>
            </w:r>
          </w:hyperlink>
        </w:p>
        <w:p w14:paraId="13CDD325" w14:textId="2A3CC50D"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03" w:history="1">
            <w:r w:rsidRPr="00726130">
              <w:rPr>
                <w:rStyle w:val="Hyperlink"/>
                <w:noProof/>
              </w:rPr>
              <w:t>6.2 Downstream &amp; Enabling</w:t>
            </w:r>
            <w:r>
              <w:rPr>
                <w:noProof/>
              </w:rPr>
              <w:tab/>
            </w:r>
            <w:r>
              <w:rPr>
                <w:noProof/>
              </w:rPr>
              <w:fldChar w:fldCharType="begin"/>
            </w:r>
            <w:r>
              <w:rPr>
                <w:noProof/>
              </w:rPr>
              <w:instrText xml:space="preserve"> PAGEREF _Toc236397803 \h </w:instrText>
            </w:r>
            <w:r>
              <w:rPr>
                <w:noProof/>
              </w:rPr>
            </w:r>
            <w:r>
              <w:rPr>
                <w:noProof/>
              </w:rPr>
              <w:fldChar w:fldCharType="separate"/>
            </w:r>
            <w:r>
              <w:rPr>
                <w:noProof/>
              </w:rPr>
              <w:t>10</w:t>
            </w:r>
            <w:r>
              <w:rPr>
                <w:noProof/>
              </w:rPr>
              <w:fldChar w:fldCharType="end"/>
            </w:r>
          </w:hyperlink>
        </w:p>
        <w:p w14:paraId="5A29EC6F" w14:textId="23655553"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04" w:history="1">
            <w:r w:rsidRPr="00726130">
              <w:rPr>
                <w:rStyle w:val="Hyperlink"/>
                <w:noProof/>
              </w:rPr>
              <w:t>6.3 Adjacent Industries</w:t>
            </w:r>
            <w:r>
              <w:rPr>
                <w:noProof/>
              </w:rPr>
              <w:tab/>
            </w:r>
            <w:r>
              <w:rPr>
                <w:noProof/>
              </w:rPr>
              <w:fldChar w:fldCharType="begin"/>
            </w:r>
            <w:r>
              <w:rPr>
                <w:noProof/>
              </w:rPr>
              <w:instrText xml:space="preserve"> PAGEREF _Toc236397804 \h </w:instrText>
            </w:r>
            <w:r>
              <w:rPr>
                <w:noProof/>
              </w:rPr>
            </w:r>
            <w:r>
              <w:rPr>
                <w:noProof/>
              </w:rPr>
              <w:fldChar w:fldCharType="separate"/>
            </w:r>
            <w:r>
              <w:rPr>
                <w:noProof/>
              </w:rPr>
              <w:t>10</w:t>
            </w:r>
            <w:r>
              <w:rPr>
                <w:noProof/>
              </w:rPr>
              <w:fldChar w:fldCharType="end"/>
            </w:r>
          </w:hyperlink>
        </w:p>
        <w:p w14:paraId="15604ECB" w14:textId="353F1559"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05" w:history="1">
            <w:r w:rsidRPr="00726130">
              <w:rPr>
                <w:rStyle w:val="Hyperlink"/>
                <w:noProof/>
              </w:rPr>
              <w:t>7. Technology &amp; Operating Trends</w:t>
            </w:r>
            <w:r>
              <w:rPr>
                <w:noProof/>
              </w:rPr>
              <w:tab/>
            </w:r>
            <w:r>
              <w:rPr>
                <w:noProof/>
              </w:rPr>
              <w:fldChar w:fldCharType="begin"/>
            </w:r>
            <w:r>
              <w:rPr>
                <w:noProof/>
              </w:rPr>
              <w:instrText xml:space="preserve"> PAGEREF _Toc236397805 \h </w:instrText>
            </w:r>
            <w:r>
              <w:rPr>
                <w:noProof/>
              </w:rPr>
            </w:r>
            <w:r>
              <w:rPr>
                <w:noProof/>
              </w:rPr>
              <w:fldChar w:fldCharType="separate"/>
            </w:r>
            <w:r>
              <w:rPr>
                <w:noProof/>
              </w:rPr>
              <w:t>11</w:t>
            </w:r>
            <w:r>
              <w:rPr>
                <w:noProof/>
              </w:rPr>
              <w:fldChar w:fldCharType="end"/>
            </w:r>
          </w:hyperlink>
        </w:p>
        <w:p w14:paraId="2ABB8DE0" w14:textId="62E1E09B"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06" w:history="1">
            <w:r w:rsidRPr="00726130">
              <w:rPr>
                <w:rStyle w:val="Hyperlink"/>
                <w:noProof/>
              </w:rPr>
              <w:t>8. Demand Drivers &amp; External Factors</w:t>
            </w:r>
            <w:r>
              <w:rPr>
                <w:noProof/>
              </w:rPr>
              <w:tab/>
            </w:r>
            <w:r>
              <w:rPr>
                <w:noProof/>
              </w:rPr>
              <w:fldChar w:fldCharType="begin"/>
            </w:r>
            <w:r>
              <w:rPr>
                <w:noProof/>
              </w:rPr>
              <w:instrText xml:space="preserve"> PAGEREF _Toc236397806 \h </w:instrText>
            </w:r>
            <w:r>
              <w:rPr>
                <w:noProof/>
              </w:rPr>
            </w:r>
            <w:r>
              <w:rPr>
                <w:noProof/>
              </w:rPr>
              <w:fldChar w:fldCharType="separate"/>
            </w:r>
            <w:r>
              <w:rPr>
                <w:noProof/>
              </w:rPr>
              <w:t>12</w:t>
            </w:r>
            <w:r>
              <w:rPr>
                <w:noProof/>
              </w:rPr>
              <w:fldChar w:fldCharType="end"/>
            </w:r>
          </w:hyperlink>
        </w:p>
        <w:p w14:paraId="783E92D4" w14:textId="5854822C"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07" w:history="1">
            <w:r w:rsidRPr="00726130">
              <w:rPr>
                <w:rStyle w:val="Hyperlink"/>
                <w:noProof/>
              </w:rPr>
              <w:t>8.1 Adoption Drivers (per MBI)</w:t>
            </w:r>
            <w:r>
              <w:rPr>
                <w:noProof/>
              </w:rPr>
              <w:tab/>
            </w:r>
            <w:r>
              <w:rPr>
                <w:noProof/>
              </w:rPr>
              <w:fldChar w:fldCharType="begin"/>
            </w:r>
            <w:r>
              <w:rPr>
                <w:noProof/>
              </w:rPr>
              <w:instrText xml:space="preserve"> PAGEREF _Toc236397807 \h </w:instrText>
            </w:r>
            <w:r>
              <w:rPr>
                <w:noProof/>
              </w:rPr>
            </w:r>
            <w:r>
              <w:rPr>
                <w:noProof/>
              </w:rPr>
              <w:fldChar w:fldCharType="separate"/>
            </w:r>
            <w:r>
              <w:rPr>
                <w:noProof/>
              </w:rPr>
              <w:t>12</w:t>
            </w:r>
            <w:r>
              <w:rPr>
                <w:noProof/>
              </w:rPr>
              <w:fldChar w:fldCharType="end"/>
            </w:r>
          </w:hyperlink>
        </w:p>
        <w:p w14:paraId="1393C1A9" w14:textId="13B208A9"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08" w:history="1">
            <w:r w:rsidRPr="00726130">
              <w:rPr>
                <w:rStyle w:val="Hyperlink"/>
                <w:noProof/>
              </w:rPr>
              <w:t>8.2 The Labor-Shortage Tailwind</w:t>
            </w:r>
            <w:r>
              <w:rPr>
                <w:noProof/>
              </w:rPr>
              <w:tab/>
            </w:r>
            <w:r>
              <w:rPr>
                <w:noProof/>
              </w:rPr>
              <w:fldChar w:fldCharType="begin"/>
            </w:r>
            <w:r>
              <w:rPr>
                <w:noProof/>
              </w:rPr>
              <w:instrText xml:space="preserve"> PAGEREF _Toc236397808 \h </w:instrText>
            </w:r>
            <w:r>
              <w:rPr>
                <w:noProof/>
              </w:rPr>
            </w:r>
            <w:r>
              <w:rPr>
                <w:noProof/>
              </w:rPr>
              <w:fldChar w:fldCharType="separate"/>
            </w:r>
            <w:r>
              <w:rPr>
                <w:noProof/>
              </w:rPr>
              <w:t>12</w:t>
            </w:r>
            <w:r>
              <w:rPr>
                <w:noProof/>
              </w:rPr>
              <w:fldChar w:fldCharType="end"/>
            </w:r>
          </w:hyperlink>
        </w:p>
        <w:p w14:paraId="26792093" w14:textId="7AD21B58"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09" w:history="1">
            <w:r w:rsidRPr="00726130">
              <w:rPr>
                <w:rStyle w:val="Hyperlink"/>
                <w:noProof/>
              </w:rPr>
              <w:t>8.3 Other External Drivers</w:t>
            </w:r>
            <w:r>
              <w:rPr>
                <w:noProof/>
              </w:rPr>
              <w:tab/>
            </w:r>
            <w:r>
              <w:rPr>
                <w:noProof/>
              </w:rPr>
              <w:fldChar w:fldCharType="begin"/>
            </w:r>
            <w:r>
              <w:rPr>
                <w:noProof/>
              </w:rPr>
              <w:instrText xml:space="preserve"> PAGEREF _Toc236397809 \h </w:instrText>
            </w:r>
            <w:r>
              <w:rPr>
                <w:noProof/>
              </w:rPr>
            </w:r>
            <w:r>
              <w:rPr>
                <w:noProof/>
              </w:rPr>
              <w:fldChar w:fldCharType="separate"/>
            </w:r>
            <w:r>
              <w:rPr>
                <w:noProof/>
              </w:rPr>
              <w:t>12</w:t>
            </w:r>
            <w:r>
              <w:rPr>
                <w:noProof/>
              </w:rPr>
              <w:fldChar w:fldCharType="end"/>
            </w:r>
          </w:hyperlink>
        </w:p>
        <w:p w14:paraId="0FE37961" w14:textId="09AE2086"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10" w:history="1">
            <w:r w:rsidRPr="00726130">
              <w:rPr>
                <w:rStyle w:val="Hyperlink"/>
                <w:noProof/>
              </w:rPr>
              <w:t>9. Policy Spotlight: The 21st Century ROAD to Housing Act (2026)</w:t>
            </w:r>
            <w:r>
              <w:rPr>
                <w:noProof/>
              </w:rPr>
              <w:tab/>
            </w:r>
            <w:r>
              <w:rPr>
                <w:noProof/>
              </w:rPr>
              <w:fldChar w:fldCharType="begin"/>
            </w:r>
            <w:r>
              <w:rPr>
                <w:noProof/>
              </w:rPr>
              <w:instrText xml:space="preserve"> PAGEREF _Toc236397810 \h </w:instrText>
            </w:r>
            <w:r>
              <w:rPr>
                <w:noProof/>
              </w:rPr>
            </w:r>
            <w:r>
              <w:rPr>
                <w:noProof/>
              </w:rPr>
              <w:fldChar w:fldCharType="separate"/>
            </w:r>
            <w:r>
              <w:rPr>
                <w:noProof/>
              </w:rPr>
              <w:t>13</w:t>
            </w:r>
            <w:r>
              <w:rPr>
                <w:noProof/>
              </w:rPr>
              <w:fldChar w:fldCharType="end"/>
            </w:r>
          </w:hyperlink>
        </w:p>
        <w:p w14:paraId="24B426C7" w14:textId="5BDA2E81"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11" w:history="1">
            <w:r w:rsidRPr="00726130">
              <w:rPr>
                <w:rStyle w:val="Hyperlink"/>
                <w:noProof/>
              </w:rPr>
              <w:t>9.1 Provisions That Directly Target Factory-Built Housing</w:t>
            </w:r>
            <w:r>
              <w:rPr>
                <w:noProof/>
              </w:rPr>
              <w:tab/>
            </w:r>
            <w:r>
              <w:rPr>
                <w:noProof/>
              </w:rPr>
              <w:fldChar w:fldCharType="begin"/>
            </w:r>
            <w:r>
              <w:rPr>
                <w:noProof/>
              </w:rPr>
              <w:instrText xml:space="preserve"> PAGEREF _Toc236397811 \h </w:instrText>
            </w:r>
            <w:r>
              <w:rPr>
                <w:noProof/>
              </w:rPr>
            </w:r>
            <w:r>
              <w:rPr>
                <w:noProof/>
              </w:rPr>
              <w:fldChar w:fldCharType="separate"/>
            </w:r>
            <w:r>
              <w:rPr>
                <w:noProof/>
              </w:rPr>
              <w:t>13</w:t>
            </w:r>
            <w:r>
              <w:rPr>
                <w:noProof/>
              </w:rPr>
              <w:fldChar w:fldCharType="end"/>
            </w:r>
          </w:hyperlink>
        </w:p>
        <w:p w14:paraId="2E405E09" w14:textId="408EE376"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12" w:history="1">
            <w:r w:rsidRPr="00726130">
              <w:rPr>
                <w:rStyle w:val="Hyperlink"/>
                <w:noProof/>
              </w:rPr>
              <w:t>9.2 Demand-Side and Zoning Provisions That Favor Offsite Delivery</w:t>
            </w:r>
            <w:r>
              <w:rPr>
                <w:noProof/>
              </w:rPr>
              <w:tab/>
            </w:r>
            <w:r>
              <w:rPr>
                <w:noProof/>
              </w:rPr>
              <w:fldChar w:fldCharType="begin"/>
            </w:r>
            <w:r>
              <w:rPr>
                <w:noProof/>
              </w:rPr>
              <w:instrText xml:space="preserve"> PAGEREF _Toc236397812 \h </w:instrText>
            </w:r>
            <w:r>
              <w:rPr>
                <w:noProof/>
              </w:rPr>
            </w:r>
            <w:r>
              <w:rPr>
                <w:noProof/>
              </w:rPr>
              <w:fldChar w:fldCharType="separate"/>
            </w:r>
            <w:r>
              <w:rPr>
                <w:noProof/>
              </w:rPr>
              <w:t>13</w:t>
            </w:r>
            <w:r>
              <w:rPr>
                <w:noProof/>
              </w:rPr>
              <w:fldChar w:fldCharType="end"/>
            </w:r>
          </w:hyperlink>
        </w:p>
        <w:p w14:paraId="76644C85" w14:textId="0625AC3A"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13" w:history="1">
            <w:r w:rsidRPr="00726130">
              <w:rPr>
                <w:rStyle w:val="Hyperlink"/>
                <w:noProof/>
              </w:rPr>
              <w:t>9.3 Impact Assessment: Mapping the Act to This Report’s Constraints</w:t>
            </w:r>
            <w:r>
              <w:rPr>
                <w:noProof/>
              </w:rPr>
              <w:tab/>
            </w:r>
            <w:r>
              <w:rPr>
                <w:noProof/>
              </w:rPr>
              <w:fldChar w:fldCharType="begin"/>
            </w:r>
            <w:r>
              <w:rPr>
                <w:noProof/>
              </w:rPr>
              <w:instrText xml:space="preserve"> PAGEREF _Toc236397813 \h </w:instrText>
            </w:r>
            <w:r>
              <w:rPr>
                <w:noProof/>
              </w:rPr>
            </w:r>
            <w:r>
              <w:rPr>
                <w:noProof/>
              </w:rPr>
              <w:fldChar w:fldCharType="separate"/>
            </w:r>
            <w:r>
              <w:rPr>
                <w:noProof/>
              </w:rPr>
              <w:t>14</w:t>
            </w:r>
            <w:r>
              <w:rPr>
                <w:noProof/>
              </w:rPr>
              <w:fldChar w:fldCharType="end"/>
            </w:r>
          </w:hyperlink>
        </w:p>
        <w:p w14:paraId="00D86E93" w14:textId="14E4FCD4"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14" w:history="1">
            <w:r w:rsidRPr="00726130">
              <w:rPr>
                <w:rStyle w:val="Hyperlink"/>
                <w:noProof/>
              </w:rPr>
              <w:t>9.4 Caveats and Timing</w:t>
            </w:r>
            <w:r>
              <w:rPr>
                <w:noProof/>
              </w:rPr>
              <w:tab/>
            </w:r>
            <w:r>
              <w:rPr>
                <w:noProof/>
              </w:rPr>
              <w:fldChar w:fldCharType="begin"/>
            </w:r>
            <w:r>
              <w:rPr>
                <w:noProof/>
              </w:rPr>
              <w:instrText xml:space="preserve"> PAGEREF _Toc236397814 \h </w:instrText>
            </w:r>
            <w:r>
              <w:rPr>
                <w:noProof/>
              </w:rPr>
            </w:r>
            <w:r>
              <w:rPr>
                <w:noProof/>
              </w:rPr>
              <w:fldChar w:fldCharType="separate"/>
            </w:r>
            <w:r>
              <w:rPr>
                <w:noProof/>
              </w:rPr>
              <w:t>14</w:t>
            </w:r>
            <w:r>
              <w:rPr>
                <w:noProof/>
              </w:rPr>
              <w:fldChar w:fldCharType="end"/>
            </w:r>
          </w:hyperlink>
        </w:p>
        <w:p w14:paraId="0A16B261" w14:textId="10EF84CA"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15" w:history="1">
            <w:r w:rsidRPr="00726130">
              <w:rPr>
                <w:rStyle w:val="Hyperlink"/>
                <w:noProof/>
              </w:rPr>
              <w:t>10. Industry Economics &amp; Cost Structure</w:t>
            </w:r>
            <w:r>
              <w:rPr>
                <w:noProof/>
              </w:rPr>
              <w:tab/>
            </w:r>
            <w:r>
              <w:rPr>
                <w:noProof/>
              </w:rPr>
              <w:fldChar w:fldCharType="begin"/>
            </w:r>
            <w:r>
              <w:rPr>
                <w:noProof/>
              </w:rPr>
              <w:instrText xml:space="preserve"> PAGEREF _Toc236397815 \h </w:instrText>
            </w:r>
            <w:r>
              <w:rPr>
                <w:noProof/>
              </w:rPr>
            </w:r>
            <w:r>
              <w:rPr>
                <w:noProof/>
              </w:rPr>
              <w:fldChar w:fldCharType="separate"/>
            </w:r>
            <w:r>
              <w:rPr>
                <w:noProof/>
              </w:rPr>
              <w:t>16</w:t>
            </w:r>
            <w:r>
              <w:rPr>
                <w:noProof/>
              </w:rPr>
              <w:fldChar w:fldCharType="end"/>
            </w:r>
          </w:hyperlink>
        </w:p>
        <w:p w14:paraId="23C5F6D4" w14:textId="7841B866"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16" w:history="1">
            <w:r w:rsidRPr="00726130">
              <w:rPr>
                <w:rStyle w:val="Hyperlink"/>
                <w:noProof/>
              </w:rPr>
              <w:t>10.1 Characteristics of Successful Operators</w:t>
            </w:r>
            <w:r>
              <w:rPr>
                <w:noProof/>
              </w:rPr>
              <w:tab/>
            </w:r>
            <w:r>
              <w:rPr>
                <w:noProof/>
              </w:rPr>
              <w:fldChar w:fldCharType="begin"/>
            </w:r>
            <w:r>
              <w:rPr>
                <w:noProof/>
              </w:rPr>
              <w:instrText xml:space="preserve"> PAGEREF _Toc236397816 \h </w:instrText>
            </w:r>
            <w:r>
              <w:rPr>
                <w:noProof/>
              </w:rPr>
            </w:r>
            <w:r>
              <w:rPr>
                <w:noProof/>
              </w:rPr>
              <w:fldChar w:fldCharType="separate"/>
            </w:r>
            <w:r>
              <w:rPr>
                <w:noProof/>
              </w:rPr>
              <w:t>16</w:t>
            </w:r>
            <w:r>
              <w:rPr>
                <w:noProof/>
              </w:rPr>
              <w:fldChar w:fldCharType="end"/>
            </w:r>
          </w:hyperlink>
        </w:p>
        <w:p w14:paraId="7C9ADBD8" w14:textId="5FD2B0A7"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17" w:history="1">
            <w:r w:rsidRPr="00726130">
              <w:rPr>
                <w:rStyle w:val="Hyperlink"/>
                <w:noProof/>
              </w:rPr>
              <w:t>10.2 Modular vs. Conventional — Trade-offs</w:t>
            </w:r>
            <w:r>
              <w:rPr>
                <w:noProof/>
              </w:rPr>
              <w:tab/>
            </w:r>
            <w:r>
              <w:rPr>
                <w:noProof/>
              </w:rPr>
              <w:fldChar w:fldCharType="begin"/>
            </w:r>
            <w:r>
              <w:rPr>
                <w:noProof/>
              </w:rPr>
              <w:instrText xml:space="preserve"> PAGEREF _Toc236397817 \h </w:instrText>
            </w:r>
            <w:r>
              <w:rPr>
                <w:noProof/>
              </w:rPr>
            </w:r>
            <w:r>
              <w:rPr>
                <w:noProof/>
              </w:rPr>
              <w:fldChar w:fldCharType="separate"/>
            </w:r>
            <w:r>
              <w:rPr>
                <w:noProof/>
              </w:rPr>
              <w:t>16</w:t>
            </w:r>
            <w:r>
              <w:rPr>
                <w:noProof/>
              </w:rPr>
              <w:fldChar w:fldCharType="end"/>
            </w:r>
          </w:hyperlink>
        </w:p>
        <w:p w14:paraId="5BF0F832" w14:textId="3216DF06"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18" w:history="1">
            <w:r w:rsidRPr="00726130">
              <w:rPr>
                <w:rStyle w:val="Hyperlink"/>
                <w:noProof/>
              </w:rPr>
              <w:t>11. Key Risks &amp; Constraints</w:t>
            </w:r>
            <w:r>
              <w:rPr>
                <w:noProof/>
              </w:rPr>
              <w:tab/>
            </w:r>
            <w:r>
              <w:rPr>
                <w:noProof/>
              </w:rPr>
              <w:fldChar w:fldCharType="begin"/>
            </w:r>
            <w:r>
              <w:rPr>
                <w:noProof/>
              </w:rPr>
              <w:instrText xml:space="preserve"> PAGEREF _Toc236397818 \h </w:instrText>
            </w:r>
            <w:r>
              <w:rPr>
                <w:noProof/>
              </w:rPr>
            </w:r>
            <w:r>
              <w:rPr>
                <w:noProof/>
              </w:rPr>
              <w:fldChar w:fldCharType="separate"/>
            </w:r>
            <w:r>
              <w:rPr>
                <w:noProof/>
              </w:rPr>
              <w:t>17</w:t>
            </w:r>
            <w:r>
              <w:rPr>
                <w:noProof/>
              </w:rPr>
              <w:fldChar w:fldCharType="end"/>
            </w:r>
          </w:hyperlink>
        </w:p>
        <w:p w14:paraId="466E8F06" w14:textId="12243CFB"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19" w:history="1">
            <w:r w:rsidRPr="00726130">
              <w:rPr>
                <w:rStyle w:val="Hyperlink"/>
                <w:noProof/>
              </w:rPr>
              <w:t>11.1 Tariff &amp; Materials Exposure</w:t>
            </w:r>
            <w:r>
              <w:rPr>
                <w:noProof/>
              </w:rPr>
              <w:tab/>
            </w:r>
            <w:r>
              <w:rPr>
                <w:noProof/>
              </w:rPr>
              <w:fldChar w:fldCharType="begin"/>
            </w:r>
            <w:r>
              <w:rPr>
                <w:noProof/>
              </w:rPr>
              <w:instrText xml:space="preserve"> PAGEREF _Toc236397819 \h </w:instrText>
            </w:r>
            <w:r>
              <w:rPr>
                <w:noProof/>
              </w:rPr>
            </w:r>
            <w:r>
              <w:rPr>
                <w:noProof/>
              </w:rPr>
              <w:fldChar w:fldCharType="separate"/>
            </w:r>
            <w:r>
              <w:rPr>
                <w:noProof/>
              </w:rPr>
              <w:t>17</w:t>
            </w:r>
            <w:r>
              <w:rPr>
                <w:noProof/>
              </w:rPr>
              <w:fldChar w:fldCharType="end"/>
            </w:r>
          </w:hyperlink>
        </w:p>
        <w:p w14:paraId="1A71B27F" w14:textId="3981D4BF"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20" w:history="1">
            <w:r w:rsidRPr="00726130">
              <w:rPr>
                <w:rStyle w:val="Hyperlink"/>
                <w:noProof/>
              </w:rPr>
              <w:t>12. SWOT Summary</w:t>
            </w:r>
            <w:r>
              <w:rPr>
                <w:noProof/>
              </w:rPr>
              <w:tab/>
            </w:r>
            <w:r>
              <w:rPr>
                <w:noProof/>
              </w:rPr>
              <w:fldChar w:fldCharType="begin"/>
            </w:r>
            <w:r>
              <w:rPr>
                <w:noProof/>
              </w:rPr>
              <w:instrText xml:space="preserve"> PAGEREF _Toc236397820 \h </w:instrText>
            </w:r>
            <w:r>
              <w:rPr>
                <w:noProof/>
              </w:rPr>
            </w:r>
            <w:r>
              <w:rPr>
                <w:noProof/>
              </w:rPr>
              <w:fldChar w:fldCharType="separate"/>
            </w:r>
            <w:r>
              <w:rPr>
                <w:noProof/>
              </w:rPr>
              <w:t>18</w:t>
            </w:r>
            <w:r>
              <w:rPr>
                <w:noProof/>
              </w:rPr>
              <w:fldChar w:fldCharType="end"/>
            </w:r>
          </w:hyperlink>
        </w:p>
        <w:p w14:paraId="16D97965" w14:textId="4A796F4E"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21" w:history="1">
            <w:r w:rsidRPr="00726130">
              <w:rPr>
                <w:rStyle w:val="Hyperlink"/>
                <w:noProof/>
              </w:rPr>
              <w:t>13. Five-Year Outlook</w:t>
            </w:r>
            <w:r>
              <w:rPr>
                <w:noProof/>
              </w:rPr>
              <w:tab/>
            </w:r>
            <w:r>
              <w:rPr>
                <w:noProof/>
              </w:rPr>
              <w:fldChar w:fldCharType="begin"/>
            </w:r>
            <w:r>
              <w:rPr>
                <w:noProof/>
              </w:rPr>
              <w:instrText xml:space="preserve"> PAGEREF _Toc236397821 \h </w:instrText>
            </w:r>
            <w:r>
              <w:rPr>
                <w:noProof/>
              </w:rPr>
            </w:r>
            <w:r>
              <w:rPr>
                <w:noProof/>
              </w:rPr>
              <w:fldChar w:fldCharType="separate"/>
            </w:r>
            <w:r>
              <w:rPr>
                <w:noProof/>
              </w:rPr>
              <w:t>19</w:t>
            </w:r>
            <w:r>
              <w:rPr>
                <w:noProof/>
              </w:rPr>
              <w:fldChar w:fldCharType="end"/>
            </w:r>
          </w:hyperlink>
        </w:p>
        <w:p w14:paraId="3012E791" w14:textId="0BCFD5FA"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22" w:history="1">
            <w:r w:rsidRPr="00726130">
              <w:rPr>
                <w:rStyle w:val="Hyperlink"/>
                <w:noProof/>
              </w:rPr>
              <w:t>13.1 What the Winners Will Look Like</w:t>
            </w:r>
            <w:r>
              <w:rPr>
                <w:noProof/>
              </w:rPr>
              <w:tab/>
            </w:r>
            <w:r>
              <w:rPr>
                <w:noProof/>
              </w:rPr>
              <w:fldChar w:fldCharType="begin"/>
            </w:r>
            <w:r>
              <w:rPr>
                <w:noProof/>
              </w:rPr>
              <w:instrText xml:space="preserve"> PAGEREF _Toc236397822 \h </w:instrText>
            </w:r>
            <w:r>
              <w:rPr>
                <w:noProof/>
              </w:rPr>
            </w:r>
            <w:r>
              <w:rPr>
                <w:noProof/>
              </w:rPr>
              <w:fldChar w:fldCharType="separate"/>
            </w:r>
            <w:r>
              <w:rPr>
                <w:noProof/>
              </w:rPr>
              <w:t>19</w:t>
            </w:r>
            <w:r>
              <w:rPr>
                <w:noProof/>
              </w:rPr>
              <w:fldChar w:fldCharType="end"/>
            </w:r>
          </w:hyperlink>
        </w:p>
        <w:p w14:paraId="604A7147" w14:textId="0F479C6F" w:rsidR="005D2998" w:rsidRDefault="005D299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23" w:history="1">
            <w:r w:rsidRPr="00726130">
              <w:rPr>
                <w:rStyle w:val="Hyperlink"/>
                <w:noProof/>
              </w:rPr>
              <w:t>13.2 Scenarios</w:t>
            </w:r>
            <w:r>
              <w:rPr>
                <w:noProof/>
              </w:rPr>
              <w:tab/>
            </w:r>
            <w:r>
              <w:rPr>
                <w:noProof/>
              </w:rPr>
              <w:fldChar w:fldCharType="begin"/>
            </w:r>
            <w:r>
              <w:rPr>
                <w:noProof/>
              </w:rPr>
              <w:instrText xml:space="preserve"> PAGEREF _Toc236397823 \h </w:instrText>
            </w:r>
            <w:r>
              <w:rPr>
                <w:noProof/>
              </w:rPr>
            </w:r>
            <w:r>
              <w:rPr>
                <w:noProof/>
              </w:rPr>
              <w:fldChar w:fldCharType="separate"/>
            </w:r>
            <w:r>
              <w:rPr>
                <w:noProof/>
              </w:rPr>
              <w:t>19</w:t>
            </w:r>
            <w:r>
              <w:rPr>
                <w:noProof/>
              </w:rPr>
              <w:fldChar w:fldCharType="end"/>
            </w:r>
          </w:hyperlink>
        </w:p>
        <w:p w14:paraId="22E89533" w14:textId="0F6F9750"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24" w:history="1">
            <w:r w:rsidRPr="00726130">
              <w:rPr>
                <w:rStyle w:val="Hyperlink"/>
                <w:noProof/>
              </w:rPr>
              <w:t>14. Key Statistics Snapshot</w:t>
            </w:r>
            <w:r>
              <w:rPr>
                <w:noProof/>
              </w:rPr>
              <w:tab/>
            </w:r>
            <w:r>
              <w:rPr>
                <w:noProof/>
              </w:rPr>
              <w:fldChar w:fldCharType="begin"/>
            </w:r>
            <w:r>
              <w:rPr>
                <w:noProof/>
              </w:rPr>
              <w:instrText xml:space="preserve"> PAGEREF _Toc236397824 \h </w:instrText>
            </w:r>
            <w:r>
              <w:rPr>
                <w:noProof/>
              </w:rPr>
            </w:r>
            <w:r>
              <w:rPr>
                <w:noProof/>
              </w:rPr>
              <w:fldChar w:fldCharType="separate"/>
            </w:r>
            <w:r>
              <w:rPr>
                <w:noProof/>
              </w:rPr>
              <w:t>20</w:t>
            </w:r>
            <w:r>
              <w:rPr>
                <w:noProof/>
              </w:rPr>
              <w:fldChar w:fldCharType="end"/>
            </w:r>
          </w:hyperlink>
        </w:p>
        <w:p w14:paraId="4FB0884A" w14:textId="49B64342" w:rsidR="005D2998" w:rsidRDefault="005D299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97825" w:history="1">
            <w:r w:rsidRPr="00726130">
              <w:rPr>
                <w:rStyle w:val="Hyperlink"/>
                <w:noProof/>
              </w:rPr>
              <w:t>15. Sources &amp; References</w:t>
            </w:r>
            <w:r>
              <w:rPr>
                <w:noProof/>
              </w:rPr>
              <w:tab/>
            </w:r>
            <w:r>
              <w:rPr>
                <w:noProof/>
              </w:rPr>
              <w:fldChar w:fldCharType="begin"/>
            </w:r>
            <w:r>
              <w:rPr>
                <w:noProof/>
              </w:rPr>
              <w:instrText xml:space="preserve"> PAGEREF _Toc236397825 \h </w:instrText>
            </w:r>
            <w:r>
              <w:rPr>
                <w:noProof/>
              </w:rPr>
            </w:r>
            <w:r>
              <w:rPr>
                <w:noProof/>
              </w:rPr>
              <w:fldChar w:fldCharType="separate"/>
            </w:r>
            <w:r>
              <w:rPr>
                <w:noProof/>
              </w:rPr>
              <w:t>21</w:t>
            </w:r>
            <w:r>
              <w:rPr>
                <w:noProof/>
              </w:rPr>
              <w:fldChar w:fldCharType="end"/>
            </w:r>
          </w:hyperlink>
        </w:p>
        <w:p w14:paraId="6576B36E" w14:textId="426952A7" w:rsidR="00AD1919" w:rsidRDefault="00000000">
          <w:r>
            <w:fldChar w:fldCharType="end"/>
          </w:r>
        </w:p>
      </w:sdtContent>
    </w:sdt>
    <w:p w14:paraId="15CE76A7" w14:textId="77777777" w:rsidR="00AD1919" w:rsidRDefault="00000000">
      <w:r>
        <w:br w:type="page"/>
      </w:r>
    </w:p>
    <w:p w14:paraId="2CAAA987" w14:textId="77777777" w:rsidR="00AD1919" w:rsidRDefault="00000000">
      <w:pPr>
        <w:pStyle w:val="Heading1"/>
      </w:pPr>
      <w:bookmarkStart w:id="1" w:name="_Toc236397787"/>
      <w:r>
        <w:lastRenderedPageBreak/>
        <w:t>1. Executive Summary</w:t>
      </w:r>
      <w:bookmarkEnd w:id="1"/>
    </w:p>
    <w:p w14:paraId="2A36771C" w14:textId="77777777" w:rsidR="00AD1919" w:rsidRDefault="00000000">
      <w:pPr>
        <w:spacing w:after="160" w:line="276" w:lineRule="auto"/>
      </w:pPr>
      <w:r>
        <w:t>The U.S. modular and prefabricated building industry remains small relative to conventional construction, yet it is strategically important because it directly attacks the sector’s most persistent problems: chronic labor scarcity, schedule risk, housing affordability, inconsistent quality control, and jobsite waste. Offsite construction shifts a substantial portion of a building’s value from an uncontrolled jobsite into a controlled factory, where weather, theft, rework, and labor variability can be engineered out.</w:t>
      </w:r>
    </w:p>
    <w:p w14:paraId="06844990" w14:textId="77777777" w:rsidR="00AD1919" w:rsidRDefault="00000000">
      <w:pPr>
        <w:spacing w:after="160" w:line="276" w:lineRule="auto"/>
      </w:pPr>
      <w:r>
        <w:t>The strongest current demand sits in multifamily housing, affordable and supportive housing, education (classrooms and student housing), workforce and temporary housing, healthcare facilities, lodging/hospitality, and data-center-adjacent and office-support space. Across these segments, the common denominators are repeatability, speed-to-revenue, public or institutional funding, and high carrying costs that reward faster delivery.</w:t>
      </w:r>
    </w:p>
    <w:p w14:paraId="1C06CB5E" w14:textId="77777777" w:rsidR="00AD1919" w:rsidRDefault="00AD1919">
      <w:pPr>
        <w:spacing w:after="80"/>
      </w:pPr>
    </w:p>
    <w:p w14:paraId="4BB49583" w14:textId="77777777" w:rsidR="00AD1919" w:rsidRDefault="00000000">
      <w:pPr>
        <w:spacing w:after="100" w:line="276" w:lineRule="auto"/>
      </w:pPr>
      <w:r>
        <w:rPr>
          <w:b/>
          <w:bCs/>
          <w:color w:val="1F3A5F"/>
          <w:sz w:val="24"/>
          <w:szCs w:val="24"/>
        </w:rPr>
        <w:t>Industry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D1919" w14:paraId="64F16C9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69D89D8D" w14:textId="77777777" w:rsidR="00AD1919" w:rsidRDefault="00000000">
            <w:pPr>
              <w:spacing w:after="30"/>
              <w:jc w:val="center"/>
            </w:pPr>
            <w:r>
              <w:rPr>
                <w:b/>
                <w:bCs/>
                <w:color w:val="1F3A5F"/>
                <w:sz w:val="30"/>
                <w:szCs w:val="30"/>
              </w:rPr>
              <w:t>$20.3B</w:t>
            </w:r>
          </w:p>
          <w:p w14:paraId="362117B2" w14:textId="77777777" w:rsidR="00AD1919" w:rsidRDefault="00000000">
            <w:pPr>
              <w:jc w:val="center"/>
            </w:pPr>
            <w:r>
              <w:rPr>
                <w:color w:val="666666"/>
                <w:sz w:val="16"/>
                <w:szCs w:val="16"/>
              </w:rPr>
              <w:t>U.S. permanent modular, 2024</w:t>
            </w:r>
          </w:p>
        </w:tc>
        <w:tc>
          <w:tcPr>
            <w:tcW w:w="234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2E96C99A" w14:textId="77777777" w:rsidR="00AD1919" w:rsidRDefault="00000000">
            <w:pPr>
              <w:spacing w:after="30"/>
              <w:jc w:val="center"/>
            </w:pPr>
            <w:r>
              <w:rPr>
                <w:b/>
                <w:bCs/>
                <w:color w:val="1F3A5F"/>
                <w:sz w:val="30"/>
                <w:szCs w:val="30"/>
              </w:rPr>
              <w:t>5.1%</w:t>
            </w:r>
          </w:p>
          <w:p w14:paraId="69C0ECCA" w14:textId="77777777" w:rsidR="00AD1919" w:rsidRDefault="00000000">
            <w:pPr>
              <w:jc w:val="center"/>
            </w:pPr>
            <w:r>
              <w:rPr>
                <w:color w:val="666666"/>
                <w:sz w:val="16"/>
                <w:szCs w:val="16"/>
              </w:rPr>
              <w:t>Share of key segments</w:t>
            </w:r>
          </w:p>
        </w:tc>
        <w:tc>
          <w:tcPr>
            <w:tcW w:w="234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2948E50A" w14:textId="77777777" w:rsidR="00AD1919" w:rsidRDefault="00000000">
            <w:pPr>
              <w:spacing w:after="30"/>
              <w:jc w:val="center"/>
            </w:pPr>
            <w:r>
              <w:rPr>
                <w:b/>
                <w:bCs/>
                <w:color w:val="1F3A5F"/>
                <w:sz w:val="30"/>
                <w:szCs w:val="30"/>
              </w:rPr>
              <w:t>$25.4B</w:t>
            </w:r>
          </w:p>
          <w:p w14:paraId="6C877A6F" w14:textId="77777777" w:rsidR="00AD1919" w:rsidRDefault="00000000">
            <w:pPr>
              <w:jc w:val="center"/>
            </w:pPr>
            <w:r>
              <w:rPr>
                <w:color w:val="666666"/>
                <w:sz w:val="16"/>
                <w:szCs w:val="16"/>
              </w:rPr>
              <w:t>Forecast market, 2029</w:t>
            </w:r>
          </w:p>
        </w:tc>
        <w:tc>
          <w:tcPr>
            <w:tcW w:w="234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2470F14E" w14:textId="77777777" w:rsidR="00AD1919" w:rsidRDefault="00000000">
            <w:pPr>
              <w:spacing w:after="30"/>
              <w:jc w:val="center"/>
            </w:pPr>
            <w:r>
              <w:rPr>
                <w:b/>
                <w:bCs/>
                <w:color w:val="1F3A5F"/>
                <w:sz w:val="30"/>
                <w:szCs w:val="30"/>
              </w:rPr>
              <w:t>4.5%</w:t>
            </w:r>
          </w:p>
          <w:p w14:paraId="1BE61647" w14:textId="77777777" w:rsidR="00AD1919" w:rsidRDefault="00000000">
            <w:pPr>
              <w:jc w:val="center"/>
            </w:pPr>
            <w:r>
              <w:rPr>
                <w:color w:val="666666"/>
                <w:sz w:val="16"/>
                <w:szCs w:val="16"/>
              </w:rPr>
              <w:t>CAGR, 2024–2029</w:t>
            </w:r>
          </w:p>
        </w:tc>
      </w:tr>
    </w:tbl>
    <w:p w14:paraId="1CDF0185" w14:textId="77777777" w:rsidR="00AD1919" w:rsidRDefault="00AD191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D1919" w14:paraId="631F556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324A150C" w14:textId="77777777" w:rsidR="00AD1919" w:rsidRDefault="00000000">
            <w:pPr>
              <w:spacing w:after="30"/>
              <w:jc w:val="center"/>
            </w:pPr>
            <w:r>
              <w:rPr>
                <w:b/>
                <w:bCs/>
                <w:color w:val="1F3A5F"/>
                <w:sz w:val="30"/>
                <w:szCs w:val="30"/>
              </w:rPr>
              <w:t>$4.7B</w:t>
            </w:r>
          </w:p>
          <w:p w14:paraId="5F163D02" w14:textId="77777777" w:rsidR="00AD1919" w:rsidRDefault="00000000">
            <w:pPr>
              <w:jc w:val="center"/>
            </w:pPr>
            <w:r>
              <w:rPr>
                <w:color w:val="666666"/>
                <w:sz w:val="16"/>
                <w:szCs w:val="16"/>
              </w:rPr>
              <w:t>N. America relocatable revenue, 2024</w:t>
            </w:r>
          </w:p>
        </w:tc>
        <w:tc>
          <w:tcPr>
            <w:tcW w:w="234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732F52C9" w14:textId="77777777" w:rsidR="00AD1919" w:rsidRDefault="00000000">
            <w:pPr>
              <w:spacing w:after="30"/>
              <w:jc w:val="center"/>
            </w:pPr>
            <w:r>
              <w:rPr>
                <w:b/>
                <w:bCs/>
                <w:color w:val="1F3A5F"/>
                <w:sz w:val="30"/>
                <w:szCs w:val="30"/>
              </w:rPr>
              <w:t>~500k</w:t>
            </w:r>
          </w:p>
          <w:p w14:paraId="7987D9C9" w14:textId="77777777" w:rsidR="00AD1919" w:rsidRDefault="00000000">
            <w:pPr>
              <w:jc w:val="center"/>
            </w:pPr>
            <w:r>
              <w:rPr>
                <w:color w:val="666666"/>
                <w:sz w:val="16"/>
                <w:szCs w:val="16"/>
              </w:rPr>
              <w:t>Relocatable fleet units</w:t>
            </w:r>
          </w:p>
        </w:tc>
        <w:tc>
          <w:tcPr>
            <w:tcW w:w="234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6BBADC18" w14:textId="77777777" w:rsidR="00AD1919" w:rsidRDefault="00000000">
            <w:pPr>
              <w:spacing w:after="30"/>
              <w:jc w:val="center"/>
            </w:pPr>
            <w:r>
              <w:rPr>
                <w:b/>
                <w:bCs/>
                <w:color w:val="1F3A5F"/>
                <w:sz w:val="30"/>
                <w:szCs w:val="30"/>
              </w:rPr>
              <w:t>~3%</w:t>
            </w:r>
          </w:p>
          <w:p w14:paraId="7A9A6A18" w14:textId="77777777" w:rsidR="00AD1919" w:rsidRDefault="00000000">
            <w:pPr>
              <w:jc w:val="center"/>
            </w:pPr>
            <w:r>
              <w:rPr>
                <w:color w:val="666666"/>
                <w:sz w:val="16"/>
                <w:szCs w:val="16"/>
              </w:rPr>
              <w:t>Offsite single-family share, 2024</w:t>
            </w:r>
          </w:p>
        </w:tc>
        <w:tc>
          <w:tcPr>
            <w:tcW w:w="234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10E511C8" w14:textId="77777777" w:rsidR="00AD1919" w:rsidRDefault="00000000">
            <w:pPr>
              <w:spacing w:after="30"/>
              <w:jc w:val="center"/>
            </w:pPr>
            <w:r>
              <w:rPr>
                <w:b/>
                <w:bCs/>
                <w:color w:val="1F3A5F"/>
                <w:sz w:val="30"/>
                <w:szCs w:val="30"/>
              </w:rPr>
              <w:t>~105k</w:t>
            </w:r>
          </w:p>
          <w:p w14:paraId="3EE7F142" w14:textId="77777777" w:rsidR="00AD1919" w:rsidRDefault="00000000">
            <w:pPr>
              <w:jc w:val="center"/>
            </w:pPr>
            <w:r>
              <w:rPr>
                <w:color w:val="666666"/>
                <w:sz w:val="16"/>
                <w:szCs w:val="16"/>
              </w:rPr>
              <w:t>Manufactured home shipments, 2025</w:t>
            </w:r>
          </w:p>
        </w:tc>
      </w:tr>
    </w:tbl>
    <w:p w14:paraId="441B535D" w14:textId="77777777" w:rsidR="00AD1919" w:rsidRDefault="00AD1919">
      <w:pPr>
        <w:spacing w:after="120"/>
      </w:pPr>
    </w:p>
    <w:p w14:paraId="6759EA8E" w14:textId="77777777" w:rsidR="00AD1919" w:rsidRDefault="00000000">
      <w:pPr>
        <w:spacing w:after="160" w:line="276" w:lineRule="auto"/>
      </w:pPr>
      <w:r>
        <w:rPr>
          <w:b/>
          <w:bCs/>
          <w:color w:val="1F3A5F"/>
        </w:rPr>
        <w:t xml:space="preserve">Bottom line. </w:t>
      </w:r>
      <w:r>
        <w:t>Modular will not displace conventional construction broadly within five years, but it should keep gaining share in segments where standardization, speed, public funding, and labor scarcity converge. The most durable operators increasingly resemble hybrid manufacturers, developers, logistics operators, and software-enabled construction platforms rather than traditional custom builders. The July 2026 enactment of the 21st Century ROAD to Housing Act — the first federal housing law in a generation with an entire title devoted to manufactured and modular housing — reinforces the policy tailwind (see Section 9).</w:t>
      </w:r>
    </w:p>
    <w:p w14:paraId="7F882645" w14:textId="77777777" w:rsidR="00AD1919" w:rsidRDefault="00000000">
      <w:pPr>
        <w:spacing w:after="180" w:line="268" w:lineRule="auto"/>
      </w:pPr>
      <w:r>
        <w:rPr>
          <w:i/>
          <w:iCs/>
          <w:color w:val="666666"/>
          <w:sz w:val="18"/>
          <w:szCs w:val="18"/>
        </w:rPr>
        <w:t>Primary benchmark: Modular Building Institute (MBI) / FMI Consulting industry analysis. All figures are sourced and listed in Section 15.</w:t>
      </w:r>
    </w:p>
    <w:p w14:paraId="2531195B" w14:textId="77777777" w:rsidR="00AD1919" w:rsidRDefault="00000000">
      <w:r>
        <w:br w:type="page"/>
      </w:r>
    </w:p>
    <w:p w14:paraId="67A68E4D" w14:textId="77777777" w:rsidR="00AD1919" w:rsidRDefault="00000000">
      <w:pPr>
        <w:pStyle w:val="Heading1"/>
      </w:pPr>
      <w:bookmarkStart w:id="2" w:name="_Toc236397788"/>
      <w:r>
        <w:lastRenderedPageBreak/>
        <w:t>2. Industry Definition &amp; Scope</w:t>
      </w:r>
      <w:bookmarkEnd w:id="2"/>
    </w:p>
    <w:p w14:paraId="7BADFC6E" w14:textId="77777777" w:rsidR="00AD1919" w:rsidRDefault="00000000">
      <w:pPr>
        <w:spacing w:after="160" w:line="276" w:lineRule="auto"/>
      </w:pPr>
      <w:r>
        <w:t>This industry comprises buildings, rooms, structural sections, panels, pods, and components that are substantially produced offsite in a factory and then transported and assembled onsite. The defining characteristic is the transfer of construction value from the jobsite to a manufacturing environment, ranging from full volumetric rooms to flat-packed panel kits.</w:t>
      </w:r>
    </w:p>
    <w:p w14:paraId="5CBA0DB5" w14:textId="77777777" w:rsidR="00AD1919" w:rsidRDefault="00000000">
      <w:pPr>
        <w:pStyle w:val="Heading2"/>
      </w:pPr>
      <w:bookmarkStart w:id="3" w:name="_Toc236397789"/>
      <w:r>
        <w:t>2.1 Core Categories</w:t>
      </w:r>
      <w:bookmarkEnd w:id="3"/>
    </w:p>
    <w:p w14:paraId="68ACBB6F" w14:textId="77777777" w:rsidR="00AD1919" w:rsidRDefault="00000000">
      <w:pPr>
        <w:pStyle w:val="ListParagraph"/>
        <w:numPr>
          <w:ilvl w:val="0"/>
          <w:numId w:val="2"/>
        </w:numPr>
        <w:spacing w:after="80" w:line="268" w:lineRule="auto"/>
      </w:pPr>
      <w:r>
        <w:rPr>
          <w:b/>
          <w:bCs/>
        </w:rPr>
        <w:t xml:space="preserve">Permanent modular construction (PMC): </w:t>
      </w:r>
      <w:r>
        <w:t>volumetric three-dimensional modules or panelized systems installed as permanent, code-compliant buildings on a fixed foundation.</w:t>
      </w:r>
    </w:p>
    <w:p w14:paraId="459F73A1" w14:textId="77777777" w:rsidR="00AD1919" w:rsidRDefault="00000000">
      <w:pPr>
        <w:pStyle w:val="ListParagraph"/>
        <w:numPr>
          <w:ilvl w:val="0"/>
          <w:numId w:val="2"/>
        </w:numPr>
        <w:spacing w:after="80" w:line="268" w:lineRule="auto"/>
      </w:pPr>
      <w:r>
        <w:rPr>
          <w:b/>
          <w:bCs/>
        </w:rPr>
        <w:t xml:space="preserve">Relocatable modular buildings: </w:t>
      </w:r>
      <w:r>
        <w:t>reusable structures — classrooms, jobsite offices, swing/temporary space, clinics, and disaster-response units — designed to be moved and redeployed.</w:t>
      </w:r>
    </w:p>
    <w:p w14:paraId="1123CD52" w14:textId="77777777" w:rsidR="00AD1919" w:rsidRDefault="00000000">
      <w:pPr>
        <w:pStyle w:val="ListParagraph"/>
        <w:numPr>
          <w:ilvl w:val="0"/>
          <w:numId w:val="2"/>
        </w:numPr>
        <w:spacing w:after="80" w:line="268" w:lineRule="auto"/>
      </w:pPr>
      <w:r>
        <w:rPr>
          <w:b/>
          <w:bCs/>
        </w:rPr>
        <w:t xml:space="preserve">Panelized / pre-cut systems: </w:t>
      </w:r>
      <w:r>
        <w:t>factory-built walls, floors, roofs, trusses, structural insulated panels (SIPs), and mass-timber assemblies shipped flat and erected onsite.</w:t>
      </w:r>
    </w:p>
    <w:p w14:paraId="2588707F" w14:textId="77777777" w:rsidR="00AD1919" w:rsidRDefault="00000000">
      <w:pPr>
        <w:pStyle w:val="ListParagraph"/>
        <w:numPr>
          <w:ilvl w:val="0"/>
          <w:numId w:val="2"/>
        </w:numPr>
        <w:spacing w:after="80" w:line="268" w:lineRule="auto"/>
      </w:pPr>
      <w:r>
        <w:rPr>
          <w:b/>
          <w:bCs/>
        </w:rPr>
        <w:t xml:space="preserve">Pods &amp; subassemblies: </w:t>
      </w:r>
      <w:r>
        <w:t>prefabricated bathrooms, kitchen/bath modules, MEP racks, and utility walls integrated into otherwise conventional or modular builds.</w:t>
      </w:r>
    </w:p>
    <w:p w14:paraId="7E508A54" w14:textId="77777777" w:rsidR="00AD1919" w:rsidRDefault="00000000">
      <w:pPr>
        <w:pStyle w:val="ListParagraph"/>
        <w:numPr>
          <w:ilvl w:val="0"/>
          <w:numId w:val="2"/>
        </w:numPr>
        <w:spacing w:after="80" w:line="268" w:lineRule="auto"/>
      </w:pPr>
      <w:r>
        <w:rPr>
          <w:b/>
          <w:bCs/>
        </w:rPr>
        <w:t xml:space="preserve">Factory-built (HUD-code) manufactured housing: </w:t>
      </w:r>
      <w:r>
        <w:t>adjacent and distinct — factory-built but regulated under a federal HUD code and typically sold and financed through a different channel (often chattel/personal property).</w:t>
      </w:r>
    </w:p>
    <w:p w14:paraId="72D7C2AE" w14:textId="77777777" w:rsidR="00AD1919" w:rsidRDefault="00000000">
      <w:pPr>
        <w:pStyle w:val="Heading2"/>
      </w:pPr>
      <w:bookmarkStart w:id="4" w:name="_Toc236397790"/>
      <w:r>
        <w:t>2.2 NAICS Coverage &amp; the Measurement Challenge</w:t>
      </w:r>
      <w:bookmarkEnd w:id="4"/>
    </w:p>
    <w:p w14:paraId="5A548B50" w14:textId="77777777" w:rsidR="00AD1919" w:rsidRDefault="00000000">
      <w:pPr>
        <w:spacing w:after="160" w:line="276" w:lineRule="auto"/>
      </w:pPr>
      <w:r>
        <w:t>Unlike a typical single-code industry, modular and prefab activity is split across several NAICS codes spanning both manufacturing and construction. This fragmentation is the central reason “industry size” estimates vary widely between sources, and why the MBI/FMI segment-based estimate is the most useful benchmark for the permanent modular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400"/>
        <w:gridCol w:w="1960"/>
      </w:tblGrid>
      <w:tr w:rsidR="00AD1919" w14:paraId="003BE9DA"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787170DF" w14:textId="77777777" w:rsidR="00AD1919" w:rsidRDefault="00000000">
            <w:pPr>
              <w:spacing w:line="252" w:lineRule="auto"/>
            </w:pPr>
            <w:r>
              <w:rPr>
                <w:b/>
                <w:bCs/>
                <w:color w:val="FFFFFF"/>
                <w:sz w:val="19"/>
                <w:szCs w:val="19"/>
              </w:rPr>
              <w:t>NAICS</w:t>
            </w:r>
          </w:p>
        </w:tc>
        <w:tc>
          <w:tcPr>
            <w:tcW w:w="54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33042209" w14:textId="77777777" w:rsidR="00AD1919" w:rsidRDefault="00000000">
            <w:pPr>
              <w:spacing w:line="252" w:lineRule="auto"/>
            </w:pPr>
            <w:r>
              <w:rPr>
                <w:b/>
                <w:bCs/>
                <w:color w:val="FFFFFF"/>
                <w:sz w:val="19"/>
                <w:szCs w:val="19"/>
              </w:rPr>
              <w:t>Category</w:t>
            </w:r>
          </w:p>
        </w:tc>
        <w:tc>
          <w:tcPr>
            <w:tcW w:w="19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409A7309" w14:textId="77777777" w:rsidR="00AD1919" w:rsidRDefault="00000000">
            <w:pPr>
              <w:spacing w:line="252" w:lineRule="auto"/>
            </w:pPr>
            <w:r>
              <w:rPr>
                <w:b/>
                <w:bCs/>
                <w:color w:val="FFFFFF"/>
                <w:sz w:val="19"/>
                <w:szCs w:val="19"/>
              </w:rPr>
              <w:t>Domain</w:t>
            </w:r>
          </w:p>
        </w:tc>
      </w:tr>
      <w:tr w:rsidR="00AD1919" w14:paraId="483D63B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58711E9" w14:textId="77777777" w:rsidR="00AD1919" w:rsidRDefault="00000000">
            <w:pPr>
              <w:spacing w:line="252" w:lineRule="auto"/>
            </w:pPr>
            <w:r>
              <w:rPr>
                <w:b/>
                <w:bCs/>
                <w:sz w:val="19"/>
                <w:szCs w:val="19"/>
              </w:rPr>
              <w:t>321991</w:t>
            </w:r>
          </w:p>
        </w:tc>
        <w:tc>
          <w:tcPr>
            <w:tcW w:w="5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9C6D695" w14:textId="77777777" w:rsidR="00AD1919" w:rsidRDefault="00000000">
            <w:pPr>
              <w:spacing w:line="252" w:lineRule="auto"/>
            </w:pPr>
            <w:r>
              <w:rPr>
                <w:sz w:val="19"/>
                <w:szCs w:val="19"/>
              </w:rPr>
              <w:t>Manufactured (mobile) homes</w:t>
            </w:r>
          </w:p>
        </w:tc>
        <w:tc>
          <w:tcPr>
            <w:tcW w:w="1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C231083" w14:textId="77777777" w:rsidR="00AD1919" w:rsidRDefault="00000000">
            <w:pPr>
              <w:spacing w:line="252" w:lineRule="auto"/>
            </w:pPr>
            <w:r>
              <w:rPr>
                <w:sz w:val="19"/>
                <w:szCs w:val="19"/>
              </w:rPr>
              <w:t>Manufacturing</w:t>
            </w:r>
          </w:p>
        </w:tc>
      </w:tr>
      <w:tr w:rsidR="00AD1919" w14:paraId="1C0B98E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7626E2BA" w14:textId="77777777" w:rsidR="00AD1919" w:rsidRDefault="00000000">
            <w:pPr>
              <w:spacing w:line="252" w:lineRule="auto"/>
            </w:pPr>
            <w:r>
              <w:rPr>
                <w:b/>
                <w:bCs/>
                <w:sz w:val="19"/>
                <w:szCs w:val="19"/>
              </w:rPr>
              <w:t>321992</w:t>
            </w:r>
          </w:p>
        </w:tc>
        <w:tc>
          <w:tcPr>
            <w:tcW w:w="54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4CD500D1" w14:textId="77777777" w:rsidR="00AD1919" w:rsidRDefault="00000000">
            <w:pPr>
              <w:spacing w:line="252" w:lineRule="auto"/>
            </w:pPr>
            <w:r>
              <w:rPr>
                <w:sz w:val="19"/>
                <w:szCs w:val="19"/>
              </w:rPr>
              <w:t>Prefabricated wood buildings</w:t>
            </w:r>
          </w:p>
        </w:tc>
        <w:tc>
          <w:tcPr>
            <w:tcW w:w="19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28D2686" w14:textId="77777777" w:rsidR="00AD1919" w:rsidRDefault="00000000">
            <w:pPr>
              <w:spacing w:line="252" w:lineRule="auto"/>
            </w:pPr>
            <w:r>
              <w:rPr>
                <w:sz w:val="19"/>
                <w:szCs w:val="19"/>
              </w:rPr>
              <w:t>Manufacturing</w:t>
            </w:r>
          </w:p>
        </w:tc>
      </w:tr>
      <w:tr w:rsidR="00AD1919" w14:paraId="3D731E0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3F6A96C" w14:textId="77777777" w:rsidR="00AD1919" w:rsidRDefault="00000000">
            <w:pPr>
              <w:spacing w:line="252" w:lineRule="auto"/>
            </w:pPr>
            <w:r>
              <w:rPr>
                <w:b/>
                <w:bCs/>
                <w:sz w:val="19"/>
                <w:szCs w:val="19"/>
              </w:rPr>
              <w:t>332311</w:t>
            </w:r>
          </w:p>
        </w:tc>
        <w:tc>
          <w:tcPr>
            <w:tcW w:w="5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8CE483D" w14:textId="77777777" w:rsidR="00AD1919" w:rsidRDefault="00000000">
            <w:pPr>
              <w:spacing w:line="252" w:lineRule="auto"/>
            </w:pPr>
            <w:r>
              <w:rPr>
                <w:sz w:val="19"/>
                <w:szCs w:val="19"/>
              </w:rPr>
              <w:t>Prefabricated metal buildings &amp; components</w:t>
            </w:r>
          </w:p>
        </w:tc>
        <w:tc>
          <w:tcPr>
            <w:tcW w:w="1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CB601E3" w14:textId="77777777" w:rsidR="00AD1919" w:rsidRDefault="00000000">
            <w:pPr>
              <w:spacing w:line="252" w:lineRule="auto"/>
            </w:pPr>
            <w:r>
              <w:rPr>
                <w:sz w:val="19"/>
                <w:szCs w:val="19"/>
              </w:rPr>
              <w:t>Manufacturing</w:t>
            </w:r>
          </w:p>
        </w:tc>
      </w:tr>
      <w:tr w:rsidR="00AD1919" w14:paraId="695B2A2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04530394" w14:textId="77777777" w:rsidR="00AD1919" w:rsidRDefault="00000000">
            <w:pPr>
              <w:spacing w:line="252" w:lineRule="auto"/>
            </w:pPr>
            <w:r>
              <w:rPr>
                <w:b/>
                <w:bCs/>
                <w:sz w:val="19"/>
                <w:szCs w:val="19"/>
              </w:rPr>
              <w:t>236 / 238</w:t>
            </w:r>
          </w:p>
        </w:tc>
        <w:tc>
          <w:tcPr>
            <w:tcW w:w="54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7FBCF7DD" w14:textId="77777777" w:rsidR="00AD1919" w:rsidRDefault="00000000">
            <w:pPr>
              <w:spacing w:line="252" w:lineRule="auto"/>
            </w:pPr>
            <w:r>
              <w:rPr>
                <w:sz w:val="19"/>
                <w:szCs w:val="19"/>
              </w:rPr>
              <w:t>Onsite assembly, set, and trade work</w:t>
            </w:r>
          </w:p>
        </w:tc>
        <w:tc>
          <w:tcPr>
            <w:tcW w:w="19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0F7DD4D8" w14:textId="77777777" w:rsidR="00AD1919" w:rsidRDefault="00000000">
            <w:pPr>
              <w:spacing w:line="252" w:lineRule="auto"/>
            </w:pPr>
            <w:r>
              <w:rPr>
                <w:sz w:val="19"/>
                <w:szCs w:val="19"/>
              </w:rPr>
              <w:t>Construction</w:t>
            </w:r>
          </w:p>
        </w:tc>
      </w:tr>
    </w:tbl>
    <w:p w14:paraId="696DD3AA" w14:textId="77777777" w:rsidR="00AD1919" w:rsidRDefault="00000000">
      <w:pPr>
        <w:spacing w:after="180" w:line="268" w:lineRule="auto"/>
      </w:pPr>
      <w:r>
        <w:rPr>
          <w:i/>
          <w:iCs/>
          <w:color w:val="666666"/>
          <w:sz w:val="18"/>
          <w:szCs w:val="18"/>
        </w:rPr>
        <w:t>Because activity straddles manufacturing and construction codes, no single government series captures the full industry; analysts triangulate MBI/FMI, Census manufactured-housing data, NAHB completions data, and public-company filings.</w:t>
      </w:r>
    </w:p>
    <w:p w14:paraId="355E205D" w14:textId="77777777" w:rsidR="00AD1919" w:rsidRDefault="00000000">
      <w:r>
        <w:br w:type="page"/>
      </w:r>
    </w:p>
    <w:p w14:paraId="770C5012" w14:textId="77777777" w:rsidR="00AD1919" w:rsidRDefault="00000000">
      <w:pPr>
        <w:pStyle w:val="Heading1"/>
      </w:pPr>
      <w:bookmarkStart w:id="5" w:name="_Toc236397791"/>
      <w:r>
        <w:lastRenderedPageBreak/>
        <w:t>3. Market Size &amp; Structure</w:t>
      </w:r>
      <w:bookmarkEnd w:id="5"/>
    </w:p>
    <w:p w14:paraId="2E68BCE6" w14:textId="77777777" w:rsidR="00AD1919" w:rsidRDefault="00000000">
      <w:pPr>
        <w:pStyle w:val="Heading2"/>
      </w:pPr>
      <w:bookmarkStart w:id="6" w:name="_Toc236397792"/>
      <w:r>
        <w:t>3.1 Permanent Modular Construction</w:t>
      </w:r>
      <w:bookmarkEnd w:id="6"/>
    </w:p>
    <w:p w14:paraId="03238EDD" w14:textId="77777777" w:rsidR="00AD1919" w:rsidRDefault="00000000">
      <w:pPr>
        <w:spacing w:after="160" w:line="276" w:lineRule="auto"/>
      </w:pPr>
      <w:r>
        <w:t xml:space="preserve">The best available benchmark is the MBI / FMI estimate that U.S. permanent modular construction reached </w:t>
      </w:r>
      <w:r>
        <w:rPr>
          <w:b/>
          <w:bCs/>
        </w:rPr>
        <w:t>$20.3 billion in 2024</w:t>
      </w:r>
      <w:r>
        <w:t xml:space="preserve">, equal to </w:t>
      </w:r>
      <w:r>
        <w:rPr>
          <w:b/>
          <w:bCs/>
        </w:rPr>
        <w:t>5.1% of construction activity</w:t>
      </w:r>
      <w:r>
        <w:t xml:space="preserve"> across the key segments where modular competes. MBI / FMI forecast growth to </w:t>
      </w:r>
      <w:r>
        <w:rPr>
          <w:b/>
          <w:bCs/>
        </w:rPr>
        <w:t>$25.4 billion by 2029, a 4.5% CAGR</w:t>
      </w:r>
      <w:r>
        <w:t>. Growth is expected to be led by repeatable, schedule-sensitive building types rather than broad displacement of custom construction.</w:t>
      </w:r>
    </w:p>
    <w:p w14:paraId="062C5675" w14:textId="77777777" w:rsidR="00AD1919" w:rsidRDefault="00000000">
      <w:pPr>
        <w:pStyle w:val="Heading2"/>
      </w:pPr>
      <w:bookmarkStart w:id="7" w:name="_Toc236397793"/>
      <w:r>
        <w:t>3.2 Relocatable Modular Buildings</w:t>
      </w:r>
      <w:bookmarkEnd w:id="7"/>
    </w:p>
    <w:p w14:paraId="6DFD7363" w14:textId="77777777" w:rsidR="00AD1919" w:rsidRDefault="00000000">
      <w:pPr>
        <w:spacing w:after="160" w:line="276" w:lineRule="auto"/>
      </w:pPr>
      <w:r>
        <w:t xml:space="preserve">MBI reports North American relocatable buildings revenue of </w:t>
      </w:r>
      <w:r>
        <w:rPr>
          <w:b/>
          <w:bCs/>
        </w:rPr>
        <w:t>$4.7 billion in 2024</w:t>
      </w:r>
      <w:r>
        <w:t xml:space="preserve">, up roughly 7.9% year over year despite a slight dip in utilization — growth driven primarily by rising rental rates. The total fleet is approximately </w:t>
      </w:r>
      <w:r>
        <w:rPr>
          <w:b/>
          <w:bCs/>
        </w:rPr>
        <w:t>500,000 units</w:t>
      </w:r>
      <w:r>
        <w:t xml:space="preserve"> (about 300,000 privately owned/leased and 200,000 public-sector classrooms), representing more than $5 billion in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900"/>
        <w:gridCol w:w="2760"/>
      </w:tblGrid>
      <w:tr w:rsidR="00AD1919" w14:paraId="4EF57F8D" w14:textId="77777777">
        <w:tblPrEx>
          <w:tblCellMar>
            <w:top w:w="0" w:type="dxa"/>
            <w:bottom w:w="0" w:type="dxa"/>
          </w:tblCellMar>
        </w:tblPrEx>
        <w:trPr>
          <w:tblHeader/>
        </w:trPr>
        <w:tc>
          <w:tcPr>
            <w:tcW w:w="37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F40863B" w14:textId="77777777" w:rsidR="00AD1919" w:rsidRDefault="00000000">
            <w:pPr>
              <w:spacing w:line="252" w:lineRule="auto"/>
            </w:pPr>
            <w:r>
              <w:rPr>
                <w:b/>
                <w:bCs/>
                <w:color w:val="FFFFFF"/>
                <w:sz w:val="19"/>
                <w:szCs w:val="19"/>
              </w:rPr>
              <w:t>Relocatable revenue mix (2024)</w:t>
            </w:r>
          </w:p>
        </w:tc>
        <w:tc>
          <w:tcPr>
            <w:tcW w:w="29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596A57EE" w14:textId="77777777" w:rsidR="00AD1919" w:rsidRDefault="00000000">
            <w:pPr>
              <w:spacing w:line="252" w:lineRule="auto"/>
            </w:pPr>
            <w:r>
              <w:rPr>
                <w:b/>
                <w:bCs/>
                <w:color w:val="FFFFFF"/>
                <w:sz w:val="19"/>
                <w:szCs w:val="19"/>
              </w:rPr>
              <w:t>Share</w:t>
            </w:r>
          </w:p>
        </w:tc>
        <w:tc>
          <w:tcPr>
            <w:tcW w:w="27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5FBC1EC6" w14:textId="77777777" w:rsidR="00AD1919" w:rsidRDefault="00000000">
            <w:pPr>
              <w:spacing w:line="252" w:lineRule="auto"/>
            </w:pPr>
            <w:r>
              <w:rPr>
                <w:b/>
                <w:bCs/>
                <w:color w:val="FFFFFF"/>
                <w:sz w:val="19"/>
                <w:szCs w:val="19"/>
              </w:rPr>
              <w:t>Character</w:t>
            </w:r>
          </w:p>
        </w:tc>
      </w:tr>
      <w:tr w:rsidR="00AD1919" w14:paraId="7E0BA6F1"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B2B1419" w14:textId="77777777" w:rsidR="00AD1919" w:rsidRDefault="00000000">
            <w:pPr>
              <w:spacing w:line="252" w:lineRule="auto"/>
            </w:pPr>
            <w:r>
              <w:rPr>
                <w:b/>
                <w:bCs/>
                <w:sz w:val="19"/>
                <w:szCs w:val="19"/>
              </w:rPr>
              <w:t>Rentals (units + value-added products)</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EAECEAE" w14:textId="77777777" w:rsidR="00AD1919" w:rsidRDefault="00000000">
            <w:pPr>
              <w:spacing w:line="252" w:lineRule="auto"/>
            </w:pPr>
            <w:r>
              <w:rPr>
                <w:sz w:val="19"/>
                <w:szCs w:val="19"/>
              </w:rPr>
              <w:t>40%</w:t>
            </w:r>
          </w:p>
        </w:tc>
        <w:tc>
          <w:tcPr>
            <w:tcW w:w="2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3BF3FB" w14:textId="77777777" w:rsidR="00AD1919" w:rsidRDefault="00000000">
            <w:pPr>
              <w:spacing w:line="252" w:lineRule="auto"/>
            </w:pPr>
            <w:r>
              <w:rPr>
                <w:sz w:val="19"/>
                <w:szCs w:val="19"/>
              </w:rPr>
              <w:t>Recurring, rate-driven</w:t>
            </w:r>
          </w:p>
        </w:tc>
      </w:tr>
      <w:tr w:rsidR="00AD1919" w14:paraId="782891B9"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01065B0" w14:textId="77777777" w:rsidR="00AD1919" w:rsidRDefault="00000000">
            <w:pPr>
              <w:spacing w:line="252" w:lineRule="auto"/>
            </w:pPr>
            <w:r>
              <w:rPr>
                <w:b/>
                <w:bCs/>
                <w:sz w:val="19"/>
                <w:szCs w:val="19"/>
              </w:rPr>
              <w:t>New unit sales</w:t>
            </w:r>
          </w:p>
        </w:tc>
        <w:tc>
          <w:tcPr>
            <w:tcW w:w="29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3019C769" w14:textId="77777777" w:rsidR="00AD1919" w:rsidRDefault="00000000">
            <w:pPr>
              <w:spacing w:line="252" w:lineRule="auto"/>
            </w:pPr>
            <w:r>
              <w:rPr>
                <w:sz w:val="19"/>
                <w:szCs w:val="19"/>
              </w:rPr>
              <w:t>27%</w:t>
            </w:r>
          </w:p>
        </w:tc>
        <w:tc>
          <w:tcPr>
            <w:tcW w:w="27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803E301" w14:textId="77777777" w:rsidR="00AD1919" w:rsidRDefault="00000000">
            <w:pPr>
              <w:spacing w:line="252" w:lineRule="auto"/>
            </w:pPr>
            <w:r>
              <w:rPr>
                <w:sz w:val="19"/>
                <w:szCs w:val="19"/>
              </w:rPr>
              <w:t>Cyclical</w:t>
            </w:r>
          </w:p>
        </w:tc>
      </w:tr>
      <w:tr w:rsidR="00AD1919" w14:paraId="0C3D5CEE"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76B69C8" w14:textId="77777777" w:rsidR="00AD1919" w:rsidRDefault="00000000">
            <w:pPr>
              <w:spacing w:line="252" w:lineRule="auto"/>
            </w:pPr>
            <w:r>
              <w:rPr>
                <w:b/>
                <w:bCs/>
                <w:sz w:val="19"/>
                <w:szCs w:val="19"/>
              </w:rPr>
              <w:t>Services (delivery, install, etc.)</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EC5F5FE" w14:textId="77777777" w:rsidR="00AD1919" w:rsidRDefault="00000000">
            <w:pPr>
              <w:spacing w:line="252" w:lineRule="auto"/>
            </w:pPr>
            <w:r>
              <w:rPr>
                <w:sz w:val="19"/>
                <w:szCs w:val="19"/>
              </w:rPr>
              <w:t>23%</w:t>
            </w:r>
          </w:p>
        </w:tc>
        <w:tc>
          <w:tcPr>
            <w:tcW w:w="2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B7B1766" w14:textId="77777777" w:rsidR="00AD1919" w:rsidRDefault="00000000">
            <w:pPr>
              <w:spacing w:line="252" w:lineRule="auto"/>
            </w:pPr>
            <w:r>
              <w:rPr>
                <w:sz w:val="19"/>
                <w:szCs w:val="19"/>
              </w:rPr>
              <w:t>Attached to fleet</w:t>
            </w:r>
          </w:p>
        </w:tc>
      </w:tr>
      <w:tr w:rsidR="00AD1919" w14:paraId="1EDD0F4D"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922C4C5" w14:textId="77777777" w:rsidR="00AD1919" w:rsidRDefault="00000000">
            <w:pPr>
              <w:spacing w:line="252" w:lineRule="auto"/>
            </w:pPr>
            <w:r>
              <w:rPr>
                <w:b/>
                <w:bCs/>
                <w:sz w:val="19"/>
                <w:szCs w:val="19"/>
              </w:rPr>
              <w:t>Used unit sales</w:t>
            </w:r>
          </w:p>
        </w:tc>
        <w:tc>
          <w:tcPr>
            <w:tcW w:w="29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35E376C9" w14:textId="77777777" w:rsidR="00AD1919" w:rsidRDefault="00000000">
            <w:pPr>
              <w:spacing w:line="252" w:lineRule="auto"/>
            </w:pPr>
            <w:r>
              <w:rPr>
                <w:sz w:val="19"/>
                <w:szCs w:val="19"/>
              </w:rPr>
              <w:t>10%</w:t>
            </w:r>
          </w:p>
        </w:tc>
        <w:tc>
          <w:tcPr>
            <w:tcW w:w="27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7250BFDA" w14:textId="77777777" w:rsidR="00AD1919" w:rsidRDefault="00000000">
            <w:pPr>
              <w:spacing w:line="252" w:lineRule="auto"/>
            </w:pPr>
            <w:r>
              <w:rPr>
                <w:sz w:val="19"/>
                <w:szCs w:val="19"/>
              </w:rPr>
              <w:t>Fleet rotation</w:t>
            </w:r>
          </w:p>
        </w:tc>
      </w:tr>
    </w:tbl>
    <w:p w14:paraId="21A0AF40" w14:textId="77777777" w:rsidR="00AD1919" w:rsidRDefault="00000000">
      <w:pPr>
        <w:spacing w:after="180" w:line="268" w:lineRule="auto"/>
      </w:pPr>
      <w:r>
        <w:rPr>
          <w:i/>
          <w:iCs/>
          <w:color w:val="666666"/>
          <w:sz w:val="18"/>
          <w:szCs w:val="18"/>
        </w:rPr>
        <w:t>Source: MBI / FMI 2025 Relocatable Buildings Report.</w:t>
      </w:r>
    </w:p>
    <w:p w14:paraId="2C6FFF85" w14:textId="77777777" w:rsidR="00AD1919" w:rsidRDefault="00000000">
      <w:pPr>
        <w:pStyle w:val="Heading2"/>
      </w:pPr>
      <w:bookmarkStart w:id="8" w:name="_Toc236397794"/>
      <w:r>
        <w:t>3.3 Residential Offsite Adoption Remains Low</w:t>
      </w:r>
      <w:bookmarkEnd w:id="8"/>
    </w:p>
    <w:p w14:paraId="5FAA5FEA" w14:textId="77777777" w:rsidR="00AD1919" w:rsidRDefault="00000000">
      <w:pPr>
        <w:spacing w:after="160" w:line="276" w:lineRule="auto"/>
      </w:pPr>
      <w:r>
        <w:t xml:space="preserve">Residential adoption is surprisingly modest. NAHB’s Census-based analysis found that </w:t>
      </w:r>
      <w:r>
        <w:rPr>
          <w:b/>
          <w:bCs/>
        </w:rPr>
        <w:t>28,000 single-family homes</w:t>
      </w:r>
      <w:r>
        <w:t xml:space="preserve"> were completed using modular (13,000) or panelized/pre-cut (15,000) methods out of </w:t>
      </w:r>
      <w:r>
        <w:rPr>
          <w:b/>
          <w:bCs/>
        </w:rPr>
        <w:t>1.019 million</w:t>
      </w:r>
      <w:r>
        <w:t xml:space="preserve"> total single-family completions in 2024 — roughly </w:t>
      </w:r>
      <w:r>
        <w:rPr>
          <w:b/>
          <w:bCs/>
        </w:rPr>
        <w:t>3% share</w:t>
      </w:r>
      <w:r>
        <w:t>. Multifamily offsite share was also about 3% in 2024, down sharply from 7% in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900"/>
        <w:gridCol w:w="2160"/>
      </w:tblGrid>
      <w:tr w:rsidR="00AD1919" w14:paraId="26175512" w14:textId="77777777">
        <w:tblPrEx>
          <w:tblCellMar>
            <w:top w:w="0" w:type="dxa"/>
            <w:bottom w:w="0" w:type="dxa"/>
          </w:tblCellMar>
        </w:tblPrEx>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62E829B" w14:textId="77777777" w:rsidR="00AD1919" w:rsidRDefault="00000000">
            <w:pPr>
              <w:spacing w:line="252" w:lineRule="auto"/>
            </w:pPr>
            <w:r>
              <w:rPr>
                <w:b/>
                <w:bCs/>
                <w:color w:val="FFFFFF"/>
                <w:sz w:val="19"/>
                <w:szCs w:val="19"/>
              </w:rPr>
              <w:t>Offsite residential share</w:t>
            </w:r>
          </w:p>
        </w:tc>
        <w:tc>
          <w:tcPr>
            <w:tcW w:w="19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61552BAE" w14:textId="77777777" w:rsidR="00AD1919" w:rsidRDefault="00000000">
            <w:pPr>
              <w:spacing w:line="252" w:lineRule="auto"/>
            </w:pPr>
            <w:r>
              <w:rPr>
                <w:b/>
                <w:bCs/>
                <w:color w:val="FFFFFF"/>
                <w:sz w:val="19"/>
                <w:szCs w:val="19"/>
              </w:rPr>
              <w:t>2023</w:t>
            </w:r>
          </w:p>
        </w:tc>
        <w:tc>
          <w:tcPr>
            <w:tcW w:w="19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1B7994F8" w14:textId="77777777" w:rsidR="00AD1919" w:rsidRDefault="00000000">
            <w:pPr>
              <w:spacing w:line="252" w:lineRule="auto"/>
            </w:pPr>
            <w:r>
              <w:rPr>
                <w:b/>
                <w:bCs/>
                <w:color w:val="FFFFFF"/>
                <w:sz w:val="19"/>
                <w:szCs w:val="19"/>
              </w:rPr>
              <w:t>2024</w:t>
            </w:r>
          </w:p>
        </w:tc>
        <w:tc>
          <w:tcPr>
            <w:tcW w:w="21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254B102" w14:textId="77777777" w:rsidR="00AD1919" w:rsidRDefault="00000000">
            <w:pPr>
              <w:spacing w:line="252" w:lineRule="auto"/>
            </w:pPr>
            <w:r>
              <w:rPr>
                <w:b/>
                <w:bCs/>
                <w:color w:val="FFFFFF"/>
                <w:sz w:val="19"/>
                <w:szCs w:val="19"/>
              </w:rPr>
              <w:t>Trend</w:t>
            </w:r>
          </w:p>
        </w:tc>
      </w:tr>
      <w:tr w:rsidR="00AD1919" w14:paraId="1CEA0F5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82767FB" w14:textId="77777777" w:rsidR="00AD1919" w:rsidRDefault="00000000">
            <w:pPr>
              <w:spacing w:line="252" w:lineRule="auto"/>
            </w:pPr>
            <w:r>
              <w:rPr>
                <w:b/>
                <w:bCs/>
                <w:sz w:val="19"/>
                <w:szCs w:val="19"/>
              </w:rPr>
              <w:t>Single-family (modular + panelized)</w:t>
            </w:r>
          </w:p>
        </w:tc>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ACCFD39" w14:textId="77777777" w:rsidR="00AD1919" w:rsidRDefault="00000000">
            <w:pPr>
              <w:spacing w:line="252" w:lineRule="auto"/>
            </w:pPr>
            <w:r>
              <w:rPr>
                <w:sz w:val="19"/>
                <w:szCs w:val="19"/>
              </w:rPr>
              <w:t>~3%</w:t>
            </w:r>
          </w:p>
        </w:tc>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51B42E8" w14:textId="77777777" w:rsidR="00AD1919" w:rsidRDefault="00000000">
            <w:pPr>
              <w:spacing w:line="252" w:lineRule="auto"/>
            </w:pPr>
            <w:r>
              <w:rPr>
                <w:sz w:val="19"/>
                <w:szCs w:val="19"/>
              </w:rPr>
              <w:t>~3%</w:t>
            </w:r>
          </w:p>
        </w:tc>
        <w:tc>
          <w:tcPr>
            <w:tcW w:w="2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1E297E5" w14:textId="77777777" w:rsidR="00AD1919" w:rsidRDefault="00000000">
            <w:pPr>
              <w:spacing w:line="252" w:lineRule="auto"/>
            </w:pPr>
            <w:r>
              <w:rPr>
                <w:sz w:val="19"/>
                <w:szCs w:val="19"/>
              </w:rPr>
              <w:t>Flat / low</w:t>
            </w:r>
          </w:p>
        </w:tc>
      </w:tr>
      <w:tr w:rsidR="00AD1919" w14:paraId="380AAA2E"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5A5AA29E" w14:textId="77777777" w:rsidR="00AD1919" w:rsidRDefault="00000000">
            <w:pPr>
              <w:spacing w:line="252" w:lineRule="auto"/>
            </w:pPr>
            <w:r>
              <w:rPr>
                <w:b/>
                <w:bCs/>
                <w:sz w:val="19"/>
                <w:szCs w:val="19"/>
              </w:rPr>
              <w:t>Multifamily (offsite)</w:t>
            </w:r>
          </w:p>
        </w:tc>
        <w:tc>
          <w:tcPr>
            <w:tcW w:w="19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21D5B77" w14:textId="77777777" w:rsidR="00AD1919" w:rsidRDefault="00000000">
            <w:pPr>
              <w:spacing w:line="252" w:lineRule="auto"/>
            </w:pPr>
            <w:r>
              <w:rPr>
                <w:sz w:val="19"/>
                <w:szCs w:val="19"/>
              </w:rPr>
              <w:t>7%</w:t>
            </w:r>
          </w:p>
        </w:tc>
        <w:tc>
          <w:tcPr>
            <w:tcW w:w="19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B4ADCCB" w14:textId="77777777" w:rsidR="00AD1919" w:rsidRDefault="00000000">
            <w:pPr>
              <w:spacing w:line="252" w:lineRule="auto"/>
            </w:pPr>
            <w:r>
              <w:rPr>
                <w:sz w:val="19"/>
                <w:szCs w:val="19"/>
              </w:rPr>
              <w:t>~3%</w:t>
            </w:r>
          </w:p>
        </w:tc>
        <w:tc>
          <w:tcPr>
            <w:tcW w:w="21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2051530" w14:textId="77777777" w:rsidR="00AD1919" w:rsidRDefault="00000000">
            <w:pPr>
              <w:spacing w:line="252" w:lineRule="auto"/>
            </w:pPr>
            <w:r>
              <w:rPr>
                <w:sz w:val="19"/>
                <w:szCs w:val="19"/>
              </w:rPr>
              <w:t>Declined</w:t>
            </w:r>
          </w:p>
        </w:tc>
      </w:tr>
      <w:tr w:rsidR="00AD1919" w14:paraId="49D4455B"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C2F7517" w14:textId="77777777" w:rsidR="00AD1919" w:rsidRDefault="00000000">
            <w:pPr>
              <w:spacing w:line="252" w:lineRule="auto"/>
            </w:pPr>
            <w:r>
              <w:rPr>
                <w:b/>
                <w:bCs/>
                <w:sz w:val="19"/>
                <w:szCs w:val="19"/>
              </w:rPr>
              <w:t>Highest regional share (Midwest)</w:t>
            </w:r>
          </w:p>
        </w:tc>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ABA6AF" w14:textId="77777777" w:rsidR="00AD1919" w:rsidRDefault="00000000">
            <w:pPr>
              <w:spacing w:line="252" w:lineRule="auto"/>
            </w:pPr>
            <w:r>
              <w:rPr>
                <w:sz w:val="19"/>
                <w:szCs w:val="19"/>
              </w:rPr>
              <w:t>—</w:t>
            </w:r>
          </w:p>
        </w:tc>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B264B4F" w14:textId="77777777" w:rsidR="00AD1919" w:rsidRDefault="00000000">
            <w:pPr>
              <w:spacing w:line="252" w:lineRule="auto"/>
            </w:pPr>
            <w:r>
              <w:rPr>
                <w:sz w:val="19"/>
                <w:szCs w:val="19"/>
              </w:rPr>
              <w:t>~7%</w:t>
            </w:r>
          </w:p>
        </w:tc>
        <w:tc>
          <w:tcPr>
            <w:tcW w:w="2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723F755" w14:textId="77777777" w:rsidR="00AD1919" w:rsidRDefault="00000000">
            <w:pPr>
              <w:spacing w:line="252" w:lineRule="auto"/>
            </w:pPr>
            <w:r>
              <w:rPr>
                <w:sz w:val="19"/>
                <w:szCs w:val="19"/>
              </w:rPr>
              <w:t>NE/MW concentrated</w:t>
            </w:r>
          </w:p>
        </w:tc>
      </w:tr>
    </w:tbl>
    <w:p w14:paraId="6F7586DA" w14:textId="77777777" w:rsidR="00AD1919" w:rsidRDefault="00000000">
      <w:pPr>
        <w:spacing w:after="180" w:line="268" w:lineRule="auto"/>
      </w:pPr>
      <w:r>
        <w:rPr>
          <w:i/>
          <w:iCs/>
          <w:color w:val="666666"/>
          <w:sz w:val="18"/>
          <w:szCs w:val="18"/>
        </w:rPr>
        <w:t>Source: NAHB / Eye on Housing, 2024 offsite construction market-share analysis. The South built the most offsite single-family homes by volume (~13,000).</w:t>
      </w:r>
    </w:p>
    <w:p w14:paraId="0AC34E63" w14:textId="77777777" w:rsidR="00AD1919" w:rsidRDefault="00000000">
      <w:pPr>
        <w:pStyle w:val="Heading2"/>
      </w:pPr>
      <w:bookmarkStart w:id="9" w:name="_Toc236397795"/>
      <w:r>
        <w:t>3.4 Manufactured Housing: The Larger Adjacent Market</w:t>
      </w:r>
      <w:bookmarkEnd w:id="9"/>
    </w:p>
    <w:p w14:paraId="01A2E2BE" w14:textId="77777777" w:rsidR="00AD1919" w:rsidRDefault="00000000">
      <w:pPr>
        <w:spacing w:after="160" w:line="276" w:lineRule="auto"/>
      </w:pPr>
      <w:r>
        <w:t xml:space="preserve">HUD-code manufactured housing is the larger factory-built adjacency. Industry (MHI-referenced) shipment data show roughly </w:t>
      </w:r>
      <w:r>
        <w:rPr>
          <w:b/>
          <w:bCs/>
        </w:rPr>
        <w:t>105,000 units in 2025</w:t>
      </w:r>
      <w:r>
        <w:t>, up from about 103,000 (calendar 2024 per Census) and a soft 2023 — but all still well below the long-term historical average above 200,000 units. The segment is highly sensitive to interest rates and chattel-financing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700"/>
        <w:gridCol w:w="1700"/>
        <w:gridCol w:w="2860"/>
      </w:tblGrid>
      <w:tr w:rsidR="00AD1919" w14:paraId="66B295C5" w14:textId="77777777">
        <w:tblPrEx>
          <w:tblCellMar>
            <w:top w:w="0" w:type="dxa"/>
            <w:bottom w:w="0" w:type="dxa"/>
          </w:tblCellMar>
        </w:tblPrEx>
        <w:trPr>
          <w:tblHeader/>
        </w:trPr>
        <w:tc>
          <w:tcPr>
            <w:tcW w:w="31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60E13E08" w14:textId="77777777" w:rsidR="00AD1919" w:rsidRDefault="00000000">
            <w:pPr>
              <w:spacing w:line="252" w:lineRule="auto"/>
            </w:pPr>
            <w:r>
              <w:rPr>
                <w:b/>
                <w:bCs/>
                <w:color w:val="FFFFFF"/>
                <w:sz w:val="19"/>
                <w:szCs w:val="19"/>
              </w:rPr>
              <w:t>Manufactured home shipments</w:t>
            </w:r>
          </w:p>
        </w:tc>
        <w:tc>
          <w:tcPr>
            <w:tcW w:w="17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3C159CCA" w14:textId="77777777" w:rsidR="00AD1919" w:rsidRDefault="00000000">
            <w:pPr>
              <w:spacing w:line="252" w:lineRule="auto"/>
            </w:pPr>
            <w:r>
              <w:rPr>
                <w:b/>
                <w:bCs/>
                <w:color w:val="FFFFFF"/>
                <w:sz w:val="19"/>
                <w:szCs w:val="19"/>
              </w:rPr>
              <w:t>Units</w:t>
            </w:r>
          </w:p>
        </w:tc>
        <w:tc>
          <w:tcPr>
            <w:tcW w:w="17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42CB532" w14:textId="77777777" w:rsidR="00AD1919" w:rsidRDefault="00000000">
            <w:pPr>
              <w:spacing w:line="252" w:lineRule="auto"/>
            </w:pPr>
            <w:r>
              <w:rPr>
                <w:b/>
                <w:bCs/>
                <w:color w:val="FFFFFF"/>
                <w:sz w:val="19"/>
                <w:szCs w:val="19"/>
              </w:rPr>
              <w:t>Basis</w:t>
            </w:r>
          </w:p>
        </w:tc>
        <w:tc>
          <w:tcPr>
            <w:tcW w:w="28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62300166" w14:textId="77777777" w:rsidR="00AD1919" w:rsidRDefault="00000000">
            <w:pPr>
              <w:spacing w:line="252" w:lineRule="auto"/>
            </w:pPr>
            <w:r>
              <w:rPr>
                <w:b/>
                <w:bCs/>
                <w:color w:val="FFFFFF"/>
                <w:sz w:val="19"/>
                <w:szCs w:val="19"/>
              </w:rPr>
              <w:t>Context</w:t>
            </w:r>
          </w:p>
        </w:tc>
      </w:tr>
      <w:tr w:rsidR="00AD1919" w14:paraId="1C1C2274" w14:textId="77777777">
        <w:tblPrEx>
          <w:tblCellMar>
            <w:top w:w="0" w:type="dxa"/>
            <w:bottom w:w="0" w:type="dxa"/>
          </w:tblCellMar>
        </w:tblPrEx>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C28A019" w14:textId="77777777" w:rsidR="00AD1919" w:rsidRDefault="00000000">
            <w:pPr>
              <w:spacing w:line="252" w:lineRule="auto"/>
            </w:pPr>
            <w:r>
              <w:rPr>
                <w:b/>
                <w:bCs/>
                <w:sz w:val="19"/>
                <w:szCs w:val="19"/>
              </w:rPr>
              <w:t>2023</w:t>
            </w:r>
          </w:p>
        </w:tc>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D92D0BF" w14:textId="77777777" w:rsidR="00AD1919" w:rsidRDefault="00000000">
            <w:pPr>
              <w:spacing w:line="252" w:lineRule="auto"/>
            </w:pPr>
            <w:r>
              <w:rPr>
                <w:sz w:val="19"/>
                <w:szCs w:val="19"/>
              </w:rPr>
              <w:t>~104,000</w:t>
            </w:r>
          </w:p>
        </w:tc>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45F1E5B" w14:textId="77777777" w:rsidR="00AD1919" w:rsidRDefault="00000000">
            <w:pPr>
              <w:spacing w:line="252" w:lineRule="auto"/>
            </w:pPr>
            <w:r>
              <w:rPr>
                <w:sz w:val="19"/>
                <w:szCs w:val="19"/>
              </w:rPr>
              <w:t>Industry FY ref.</w:t>
            </w:r>
          </w:p>
        </w:tc>
        <w:tc>
          <w:tcPr>
            <w:tcW w:w="28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01C6359" w14:textId="77777777" w:rsidR="00AD1919" w:rsidRDefault="00000000">
            <w:pPr>
              <w:spacing w:line="252" w:lineRule="auto"/>
            </w:pPr>
            <w:r>
              <w:rPr>
                <w:sz w:val="19"/>
                <w:szCs w:val="19"/>
              </w:rPr>
              <w:t>Rate-driven downturn</w:t>
            </w:r>
          </w:p>
        </w:tc>
      </w:tr>
      <w:tr w:rsidR="00AD1919" w14:paraId="677AE590" w14:textId="77777777">
        <w:tblPrEx>
          <w:tblCellMar>
            <w:top w:w="0" w:type="dxa"/>
            <w:bottom w:w="0" w:type="dxa"/>
          </w:tblCellMar>
        </w:tblPrEx>
        <w:tc>
          <w:tcPr>
            <w:tcW w:w="31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7E627CCD" w14:textId="77777777" w:rsidR="00AD1919" w:rsidRDefault="00000000">
            <w:pPr>
              <w:spacing w:line="252" w:lineRule="auto"/>
            </w:pPr>
            <w:r>
              <w:rPr>
                <w:b/>
                <w:bCs/>
                <w:sz w:val="19"/>
                <w:szCs w:val="19"/>
              </w:rPr>
              <w:lastRenderedPageBreak/>
              <w:t>2024</w:t>
            </w:r>
          </w:p>
        </w:tc>
        <w:tc>
          <w:tcPr>
            <w:tcW w:w="17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35ABB50" w14:textId="77777777" w:rsidR="00AD1919" w:rsidRDefault="00000000">
            <w:pPr>
              <w:spacing w:line="252" w:lineRule="auto"/>
            </w:pPr>
            <w:r>
              <w:rPr>
                <w:sz w:val="19"/>
                <w:szCs w:val="19"/>
              </w:rPr>
              <w:t>~103,300</w:t>
            </w:r>
          </w:p>
        </w:tc>
        <w:tc>
          <w:tcPr>
            <w:tcW w:w="17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AD0A2D5" w14:textId="77777777" w:rsidR="00AD1919" w:rsidRDefault="00000000">
            <w:pPr>
              <w:spacing w:line="252" w:lineRule="auto"/>
            </w:pPr>
            <w:r>
              <w:rPr>
                <w:sz w:val="19"/>
                <w:szCs w:val="19"/>
              </w:rPr>
              <w:t>Census calendar</w:t>
            </w:r>
          </w:p>
        </w:tc>
        <w:tc>
          <w:tcPr>
            <w:tcW w:w="28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103BD1D" w14:textId="77777777" w:rsidR="00AD1919" w:rsidRDefault="00000000">
            <w:pPr>
              <w:spacing w:line="252" w:lineRule="auto"/>
            </w:pPr>
            <w:r>
              <w:rPr>
                <w:sz w:val="19"/>
                <w:szCs w:val="19"/>
              </w:rPr>
              <w:t>Stabilizing</w:t>
            </w:r>
          </w:p>
        </w:tc>
      </w:tr>
      <w:tr w:rsidR="00AD1919" w14:paraId="431061EB" w14:textId="77777777">
        <w:tblPrEx>
          <w:tblCellMar>
            <w:top w:w="0" w:type="dxa"/>
            <w:bottom w:w="0" w:type="dxa"/>
          </w:tblCellMar>
        </w:tblPrEx>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0C5B1F5" w14:textId="77777777" w:rsidR="00AD1919" w:rsidRDefault="00000000">
            <w:pPr>
              <w:spacing w:line="252" w:lineRule="auto"/>
            </w:pPr>
            <w:r>
              <w:rPr>
                <w:b/>
                <w:bCs/>
                <w:sz w:val="19"/>
                <w:szCs w:val="19"/>
              </w:rPr>
              <w:t>2025</w:t>
            </w:r>
          </w:p>
        </w:tc>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B48EC60" w14:textId="77777777" w:rsidR="00AD1919" w:rsidRDefault="00000000">
            <w:pPr>
              <w:spacing w:line="252" w:lineRule="auto"/>
            </w:pPr>
            <w:r>
              <w:rPr>
                <w:sz w:val="19"/>
                <w:szCs w:val="19"/>
              </w:rPr>
              <w:t>~105,000</w:t>
            </w:r>
          </w:p>
        </w:tc>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7A12020" w14:textId="77777777" w:rsidR="00AD1919" w:rsidRDefault="00000000">
            <w:pPr>
              <w:spacing w:line="252" w:lineRule="auto"/>
            </w:pPr>
            <w:r>
              <w:rPr>
                <w:sz w:val="19"/>
                <w:szCs w:val="19"/>
              </w:rPr>
              <w:t>Industry FY ref.</w:t>
            </w:r>
          </w:p>
        </w:tc>
        <w:tc>
          <w:tcPr>
            <w:tcW w:w="28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B5A5234" w14:textId="77777777" w:rsidR="00AD1919" w:rsidRDefault="00000000">
            <w:pPr>
              <w:spacing w:line="252" w:lineRule="auto"/>
            </w:pPr>
            <w:r>
              <w:rPr>
                <w:sz w:val="19"/>
                <w:szCs w:val="19"/>
              </w:rPr>
              <w:t>Modest recovery</w:t>
            </w:r>
          </w:p>
        </w:tc>
      </w:tr>
      <w:tr w:rsidR="00AD1919" w14:paraId="66AF1B1F" w14:textId="77777777">
        <w:tblPrEx>
          <w:tblCellMar>
            <w:top w:w="0" w:type="dxa"/>
            <w:bottom w:w="0" w:type="dxa"/>
          </w:tblCellMar>
        </w:tblPrEx>
        <w:tc>
          <w:tcPr>
            <w:tcW w:w="31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68943B8" w14:textId="77777777" w:rsidR="00AD1919" w:rsidRDefault="00000000">
            <w:pPr>
              <w:spacing w:line="252" w:lineRule="auto"/>
            </w:pPr>
            <w:r>
              <w:rPr>
                <w:b/>
                <w:bCs/>
                <w:sz w:val="19"/>
                <w:szCs w:val="19"/>
              </w:rPr>
              <w:t>Long-run average</w:t>
            </w:r>
          </w:p>
        </w:tc>
        <w:tc>
          <w:tcPr>
            <w:tcW w:w="17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3AF7D165" w14:textId="77777777" w:rsidR="00AD1919" w:rsidRDefault="00000000">
            <w:pPr>
              <w:spacing w:line="252" w:lineRule="auto"/>
            </w:pPr>
            <w:r>
              <w:rPr>
                <w:sz w:val="19"/>
                <w:szCs w:val="19"/>
              </w:rPr>
              <w:t>&gt;200,000</w:t>
            </w:r>
          </w:p>
        </w:tc>
        <w:tc>
          <w:tcPr>
            <w:tcW w:w="17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5028EA94" w14:textId="77777777" w:rsidR="00AD1919" w:rsidRDefault="00000000">
            <w:pPr>
              <w:spacing w:line="252" w:lineRule="auto"/>
            </w:pPr>
            <w:r>
              <w:rPr>
                <w:sz w:val="19"/>
                <w:szCs w:val="19"/>
              </w:rPr>
              <w:t>Historical</w:t>
            </w:r>
          </w:p>
        </w:tc>
        <w:tc>
          <w:tcPr>
            <w:tcW w:w="28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4CBC1644" w14:textId="77777777" w:rsidR="00AD1919" w:rsidRDefault="00000000">
            <w:pPr>
              <w:spacing w:line="252" w:lineRule="auto"/>
            </w:pPr>
            <w:r>
              <w:rPr>
                <w:sz w:val="19"/>
                <w:szCs w:val="19"/>
              </w:rPr>
              <w:t>Pre-2008 norms</w:t>
            </w:r>
          </w:p>
        </w:tc>
      </w:tr>
    </w:tbl>
    <w:p w14:paraId="66B06E18" w14:textId="77777777" w:rsidR="00AD1919" w:rsidRDefault="00000000">
      <w:pPr>
        <w:spacing w:after="180" w:line="268" w:lineRule="auto"/>
      </w:pPr>
      <w:r>
        <w:rPr>
          <w:i/>
          <w:iCs/>
          <w:color w:val="666666"/>
          <w:sz w:val="18"/>
          <w:szCs w:val="18"/>
        </w:rPr>
        <w:t>Sources: U.S. Census Manufactured Housing Survey; MHI-referenced industry shipment data. Fiscal-year and calendar-year series differ slightly; figures are rounded and directional.</w:t>
      </w:r>
    </w:p>
    <w:p w14:paraId="197C75E6" w14:textId="77777777" w:rsidR="00AD1919" w:rsidRDefault="00000000">
      <w:r>
        <w:br w:type="page"/>
      </w:r>
    </w:p>
    <w:p w14:paraId="56C3B09A" w14:textId="77777777" w:rsidR="00AD1919" w:rsidRDefault="00000000">
      <w:pPr>
        <w:pStyle w:val="Heading1"/>
      </w:pPr>
      <w:bookmarkStart w:id="10" w:name="_Toc236397796"/>
      <w:r>
        <w:lastRenderedPageBreak/>
        <w:t>4. Major Markets &amp; End-Use Segments</w:t>
      </w:r>
      <w:bookmarkEnd w:id="10"/>
    </w:p>
    <w:p w14:paraId="2C5AD8B1" w14:textId="77777777" w:rsidR="00AD1919" w:rsidRDefault="00000000">
      <w:pPr>
        <w:spacing w:after="160" w:line="276" w:lineRule="auto"/>
      </w:pPr>
      <w:r>
        <w:t>Demand is concentrated where building types are repeatable, where speed converts directly into revenue or cost savings, and where public or institutional funding underwrites delivery. The following segments represent the industry’s strongest current and emerging demand.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00"/>
        <w:gridCol w:w="2660"/>
      </w:tblGrid>
      <w:tr w:rsidR="00AD1919" w14:paraId="18A609B5"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3437C27D" w14:textId="77777777" w:rsidR="00AD1919" w:rsidRDefault="00000000">
            <w:pPr>
              <w:spacing w:line="252" w:lineRule="auto"/>
            </w:pPr>
            <w:r>
              <w:rPr>
                <w:b/>
                <w:bCs/>
                <w:color w:val="FFFFFF"/>
                <w:sz w:val="19"/>
                <w:szCs w:val="19"/>
              </w:rPr>
              <w:t>Segment</w:t>
            </w:r>
          </w:p>
        </w:tc>
        <w:tc>
          <w:tcPr>
            <w:tcW w:w="41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5A2CF420" w14:textId="77777777" w:rsidR="00AD1919" w:rsidRDefault="00000000">
            <w:pPr>
              <w:spacing w:line="252" w:lineRule="auto"/>
            </w:pPr>
            <w:r>
              <w:rPr>
                <w:b/>
                <w:bCs/>
                <w:color w:val="FFFFFF"/>
                <w:sz w:val="19"/>
                <w:szCs w:val="19"/>
              </w:rPr>
              <w:t>Why modular fits</w:t>
            </w:r>
          </w:p>
        </w:tc>
        <w:tc>
          <w:tcPr>
            <w:tcW w:w="26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099E4ABE" w14:textId="77777777" w:rsidR="00AD1919" w:rsidRDefault="00000000">
            <w:pPr>
              <w:spacing w:line="252" w:lineRule="auto"/>
            </w:pPr>
            <w:r>
              <w:rPr>
                <w:b/>
                <w:bCs/>
                <w:color w:val="FFFFFF"/>
                <w:sz w:val="19"/>
                <w:szCs w:val="19"/>
              </w:rPr>
              <w:t>Demand outlook</w:t>
            </w:r>
          </w:p>
        </w:tc>
      </w:tr>
      <w:tr w:rsidR="00AD1919" w14:paraId="7785CD9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4CF1E73" w14:textId="77777777" w:rsidR="00AD1919" w:rsidRDefault="00000000">
            <w:pPr>
              <w:spacing w:line="252" w:lineRule="auto"/>
            </w:pPr>
            <w:r>
              <w:rPr>
                <w:b/>
                <w:bCs/>
                <w:sz w:val="19"/>
                <w:szCs w:val="19"/>
              </w:rPr>
              <w:t>Multifamily housing</w:t>
            </w:r>
          </w:p>
        </w:tc>
        <w:tc>
          <w:tcPr>
            <w:tcW w:w="4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8CFF660" w14:textId="77777777" w:rsidR="00AD1919" w:rsidRDefault="00000000">
            <w:pPr>
              <w:spacing w:line="252" w:lineRule="auto"/>
            </w:pPr>
            <w:r>
              <w:rPr>
                <w:sz w:val="19"/>
                <w:szCs w:val="19"/>
              </w:rPr>
              <w:t>Repeating unit layouts; speed cuts carrying cost</w:t>
            </w:r>
          </w:p>
        </w:tc>
        <w:tc>
          <w:tcPr>
            <w:tcW w:w="2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D2B7720" w14:textId="77777777" w:rsidR="00AD1919" w:rsidRDefault="00000000">
            <w:pPr>
              <w:spacing w:line="252" w:lineRule="auto"/>
            </w:pPr>
            <w:r>
              <w:rPr>
                <w:sz w:val="19"/>
                <w:szCs w:val="19"/>
              </w:rPr>
              <w:t>Strong / core</w:t>
            </w:r>
          </w:p>
        </w:tc>
      </w:tr>
      <w:tr w:rsidR="00AD1919" w14:paraId="5A8943A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32CA77E" w14:textId="77777777" w:rsidR="00AD1919" w:rsidRDefault="00000000">
            <w:pPr>
              <w:spacing w:line="252" w:lineRule="auto"/>
            </w:pPr>
            <w:r>
              <w:rPr>
                <w:b/>
                <w:bCs/>
                <w:sz w:val="19"/>
                <w:szCs w:val="19"/>
              </w:rPr>
              <w:t>Affordable &amp; supportive housing</w:t>
            </w:r>
          </w:p>
        </w:tc>
        <w:tc>
          <w:tcPr>
            <w:tcW w:w="41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43226903" w14:textId="77777777" w:rsidR="00AD1919" w:rsidRDefault="00000000">
            <w:pPr>
              <w:spacing w:line="252" w:lineRule="auto"/>
            </w:pPr>
            <w:r>
              <w:rPr>
                <w:sz w:val="19"/>
                <w:szCs w:val="19"/>
              </w:rPr>
              <w:t>Public funding, cost certainty, speed mandates</w:t>
            </w:r>
          </w:p>
        </w:tc>
        <w:tc>
          <w:tcPr>
            <w:tcW w:w="26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A236292" w14:textId="77777777" w:rsidR="00AD1919" w:rsidRDefault="00000000">
            <w:pPr>
              <w:spacing w:line="252" w:lineRule="auto"/>
            </w:pPr>
            <w:r>
              <w:rPr>
                <w:sz w:val="19"/>
                <w:szCs w:val="19"/>
              </w:rPr>
              <w:t>Strong / policy-driven</w:t>
            </w:r>
          </w:p>
        </w:tc>
      </w:tr>
      <w:tr w:rsidR="00AD1919" w14:paraId="7BB7A2A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EF4EB27" w14:textId="77777777" w:rsidR="00AD1919" w:rsidRDefault="00000000">
            <w:pPr>
              <w:spacing w:line="252" w:lineRule="auto"/>
            </w:pPr>
            <w:r>
              <w:rPr>
                <w:b/>
                <w:bCs/>
                <w:sz w:val="19"/>
                <w:szCs w:val="19"/>
              </w:rPr>
              <w:t>Education</w:t>
            </w:r>
          </w:p>
        </w:tc>
        <w:tc>
          <w:tcPr>
            <w:tcW w:w="4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4EE2BAE" w14:textId="77777777" w:rsidR="00AD1919" w:rsidRDefault="00000000">
            <w:pPr>
              <w:spacing w:line="252" w:lineRule="auto"/>
            </w:pPr>
            <w:r>
              <w:rPr>
                <w:sz w:val="19"/>
                <w:szCs w:val="19"/>
              </w:rPr>
              <w:t>Standard classrooms; summer install windows</w:t>
            </w:r>
          </w:p>
        </w:tc>
        <w:tc>
          <w:tcPr>
            <w:tcW w:w="2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00E9D5B" w14:textId="77777777" w:rsidR="00AD1919" w:rsidRDefault="00000000">
            <w:pPr>
              <w:spacing w:line="252" w:lineRule="auto"/>
            </w:pPr>
            <w:r>
              <w:rPr>
                <w:sz w:val="19"/>
                <w:szCs w:val="19"/>
              </w:rPr>
              <w:t>Strong (relocatable + PMC)</w:t>
            </w:r>
          </w:p>
        </w:tc>
      </w:tr>
      <w:tr w:rsidR="00AD1919" w14:paraId="1A9DF14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4EE868A4" w14:textId="77777777" w:rsidR="00AD1919" w:rsidRDefault="00000000">
            <w:pPr>
              <w:spacing w:line="252" w:lineRule="auto"/>
            </w:pPr>
            <w:r>
              <w:rPr>
                <w:b/>
                <w:bCs/>
                <w:sz w:val="19"/>
                <w:szCs w:val="19"/>
              </w:rPr>
              <w:t>Workforce &amp; temporary housing</w:t>
            </w:r>
          </w:p>
        </w:tc>
        <w:tc>
          <w:tcPr>
            <w:tcW w:w="41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4503326C" w14:textId="77777777" w:rsidR="00AD1919" w:rsidRDefault="00000000">
            <w:pPr>
              <w:spacing w:line="252" w:lineRule="auto"/>
            </w:pPr>
            <w:r>
              <w:rPr>
                <w:sz w:val="19"/>
                <w:szCs w:val="19"/>
              </w:rPr>
              <w:t>Remote sites, rapid deployment, reuse</w:t>
            </w:r>
          </w:p>
        </w:tc>
        <w:tc>
          <w:tcPr>
            <w:tcW w:w="26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6B220B8" w14:textId="77777777" w:rsidR="00AD1919" w:rsidRDefault="00000000">
            <w:pPr>
              <w:spacing w:line="252" w:lineRule="auto"/>
            </w:pPr>
            <w:r>
              <w:rPr>
                <w:sz w:val="19"/>
                <w:szCs w:val="19"/>
              </w:rPr>
              <w:t>Steady</w:t>
            </w:r>
          </w:p>
        </w:tc>
      </w:tr>
      <w:tr w:rsidR="00AD1919" w14:paraId="4DE3298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83D5695" w14:textId="77777777" w:rsidR="00AD1919" w:rsidRDefault="00000000">
            <w:pPr>
              <w:spacing w:line="252" w:lineRule="auto"/>
            </w:pPr>
            <w:r>
              <w:rPr>
                <w:b/>
                <w:bCs/>
                <w:sz w:val="19"/>
                <w:szCs w:val="19"/>
              </w:rPr>
              <w:t>Healthcare</w:t>
            </w:r>
          </w:p>
        </w:tc>
        <w:tc>
          <w:tcPr>
            <w:tcW w:w="4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42F514C" w14:textId="77777777" w:rsidR="00AD1919" w:rsidRDefault="00000000">
            <w:pPr>
              <w:spacing w:line="252" w:lineRule="auto"/>
            </w:pPr>
            <w:r>
              <w:rPr>
                <w:sz w:val="19"/>
                <w:szCs w:val="19"/>
              </w:rPr>
              <w:t>Repeatable rooms, pods, swing space, clean builds</w:t>
            </w:r>
          </w:p>
        </w:tc>
        <w:tc>
          <w:tcPr>
            <w:tcW w:w="2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4E88CE" w14:textId="77777777" w:rsidR="00AD1919" w:rsidRDefault="00000000">
            <w:pPr>
              <w:spacing w:line="252" w:lineRule="auto"/>
            </w:pPr>
            <w:r>
              <w:rPr>
                <w:sz w:val="19"/>
                <w:szCs w:val="19"/>
              </w:rPr>
              <w:t>Growing</w:t>
            </w:r>
          </w:p>
        </w:tc>
      </w:tr>
      <w:tr w:rsidR="00AD1919" w14:paraId="4B2ADC7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EBC8F43" w14:textId="77777777" w:rsidR="00AD1919" w:rsidRDefault="00000000">
            <w:pPr>
              <w:spacing w:line="252" w:lineRule="auto"/>
            </w:pPr>
            <w:r>
              <w:rPr>
                <w:b/>
                <w:bCs/>
                <w:sz w:val="19"/>
                <w:szCs w:val="19"/>
              </w:rPr>
              <w:t>Hospitality / lodging</w:t>
            </w:r>
          </w:p>
        </w:tc>
        <w:tc>
          <w:tcPr>
            <w:tcW w:w="41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42D0BCCE" w14:textId="77777777" w:rsidR="00AD1919" w:rsidRDefault="00000000">
            <w:pPr>
              <w:spacing w:line="252" w:lineRule="auto"/>
            </w:pPr>
            <w:r>
              <w:rPr>
                <w:sz w:val="19"/>
                <w:szCs w:val="19"/>
              </w:rPr>
              <w:t>Identical rooms; faster time-to-open</w:t>
            </w:r>
          </w:p>
        </w:tc>
        <w:tc>
          <w:tcPr>
            <w:tcW w:w="26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5CE7FEE7" w14:textId="77777777" w:rsidR="00AD1919" w:rsidRDefault="00000000">
            <w:pPr>
              <w:spacing w:line="252" w:lineRule="auto"/>
            </w:pPr>
            <w:r>
              <w:rPr>
                <w:sz w:val="19"/>
                <w:szCs w:val="19"/>
              </w:rPr>
              <w:t>Growing</w:t>
            </w:r>
          </w:p>
        </w:tc>
      </w:tr>
      <w:tr w:rsidR="00AD1919" w14:paraId="176B355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591820" w14:textId="77777777" w:rsidR="00AD1919" w:rsidRDefault="00000000">
            <w:pPr>
              <w:spacing w:line="252" w:lineRule="auto"/>
            </w:pPr>
            <w:r>
              <w:rPr>
                <w:b/>
                <w:bCs/>
                <w:sz w:val="19"/>
                <w:szCs w:val="19"/>
              </w:rPr>
              <w:t>Data centers &amp; office support</w:t>
            </w:r>
          </w:p>
        </w:tc>
        <w:tc>
          <w:tcPr>
            <w:tcW w:w="4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2FF5B5D" w14:textId="77777777" w:rsidR="00AD1919" w:rsidRDefault="00000000">
            <w:pPr>
              <w:spacing w:line="252" w:lineRule="auto"/>
            </w:pPr>
            <w:r>
              <w:rPr>
                <w:sz w:val="19"/>
                <w:szCs w:val="19"/>
              </w:rPr>
              <w:t>Speed, prefab MEP, ancillary space</w:t>
            </w:r>
          </w:p>
        </w:tc>
        <w:tc>
          <w:tcPr>
            <w:tcW w:w="2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960F385" w14:textId="77777777" w:rsidR="00AD1919" w:rsidRDefault="00000000">
            <w:pPr>
              <w:spacing w:line="252" w:lineRule="auto"/>
            </w:pPr>
            <w:r>
              <w:rPr>
                <w:sz w:val="19"/>
                <w:szCs w:val="19"/>
              </w:rPr>
              <w:t>Emerging / fast</w:t>
            </w:r>
          </w:p>
        </w:tc>
      </w:tr>
      <w:tr w:rsidR="00AD1919" w14:paraId="428E24B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06EB4153" w14:textId="77777777" w:rsidR="00AD1919" w:rsidRDefault="00000000">
            <w:pPr>
              <w:spacing w:line="252" w:lineRule="auto"/>
            </w:pPr>
            <w:r>
              <w:rPr>
                <w:b/>
                <w:bCs/>
                <w:sz w:val="19"/>
                <w:szCs w:val="19"/>
              </w:rPr>
              <w:t>Disaster &amp; rapid response</w:t>
            </w:r>
          </w:p>
        </w:tc>
        <w:tc>
          <w:tcPr>
            <w:tcW w:w="41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0A35CF64" w14:textId="77777777" w:rsidR="00AD1919" w:rsidRDefault="00000000">
            <w:pPr>
              <w:spacing w:line="252" w:lineRule="auto"/>
            </w:pPr>
            <w:r>
              <w:rPr>
                <w:sz w:val="19"/>
                <w:szCs w:val="19"/>
              </w:rPr>
              <w:t>Immediate deployable capacity</w:t>
            </w:r>
          </w:p>
        </w:tc>
        <w:tc>
          <w:tcPr>
            <w:tcW w:w="26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4D61F8AF" w14:textId="77777777" w:rsidR="00AD1919" w:rsidRDefault="00000000">
            <w:pPr>
              <w:spacing w:line="252" w:lineRule="auto"/>
            </w:pPr>
            <w:r>
              <w:rPr>
                <w:sz w:val="19"/>
                <w:szCs w:val="19"/>
              </w:rPr>
              <w:t>Episodic</w:t>
            </w:r>
          </w:p>
        </w:tc>
      </w:tr>
    </w:tbl>
    <w:p w14:paraId="62247EB0" w14:textId="77777777" w:rsidR="00AD1919" w:rsidRDefault="00000000">
      <w:pPr>
        <w:spacing w:after="180" w:line="268" w:lineRule="auto"/>
      </w:pPr>
      <w:r>
        <w:rPr>
          <w:i/>
          <w:iCs/>
          <w:color w:val="666666"/>
          <w:sz w:val="18"/>
          <w:szCs w:val="18"/>
        </w:rPr>
        <w:t>Speed, repeatability, public funding, labor scarcity, and high carrying costs are the strongest predictors of where modular wins share.</w:t>
      </w:r>
    </w:p>
    <w:p w14:paraId="2D1D14D5" w14:textId="77777777" w:rsidR="00AD1919" w:rsidRDefault="00000000">
      <w:r>
        <w:br w:type="page"/>
      </w:r>
    </w:p>
    <w:p w14:paraId="4FB502A0" w14:textId="77777777" w:rsidR="00AD1919" w:rsidRDefault="00000000">
      <w:pPr>
        <w:pStyle w:val="Heading1"/>
      </w:pPr>
      <w:bookmarkStart w:id="11" w:name="_Toc236397797"/>
      <w:r>
        <w:lastRenderedPageBreak/>
        <w:t>5. Competitive Landscape &amp; Major Players</w:t>
      </w:r>
      <w:bookmarkEnd w:id="11"/>
    </w:p>
    <w:p w14:paraId="6E328665" w14:textId="77777777" w:rsidR="00AD1919" w:rsidRDefault="00000000">
      <w:pPr>
        <w:spacing w:after="160" w:line="276" w:lineRule="auto"/>
      </w:pPr>
      <w:r>
        <w:t>The industry is fragmented and bifurcated. On one side sit large, integrated factory-built housing manufacturers; on the other, dominant commercial modular space and relocatable-building lessors. A long tail of volumetric modular specialists serves multifamily, affordable, and institutional projects.</w:t>
      </w:r>
    </w:p>
    <w:p w14:paraId="235ABB77" w14:textId="77777777" w:rsidR="00AD1919" w:rsidRDefault="00000000">
      <w:pPr>
        <w:pStyle w:val="Heading2"/>
      </w:pPr>
      <w:bookmarkStart w:id="12" w:name="_Toc236397798"/>
      <w:r>
        <w:t>5.1 Factory-Built Housing (Manufactured &amp; Modular Homes)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60"/>
      </w:tblGrid>
      <w:tr w:rsidR="00AD1919" w14:paraId="2A40B154"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6AD697EC" w14:textId="77777777" w:rsidR="00AD1919" w:rsidRDefault="00000000">
            <w:pPr>
              <w:spacing w:line="252" w:lineRule="auto"/>
            </w:pPr>
            <w:r>
              <w:rPr>
                <w:b/>
                <w:bCs/>
                <w:color w:val="FFFFFF"/>
                <w:sz w:val="19"/>
                <w:szCs w:val="19"/>
              </w:rPr>
              <w:t>Company</w:t>
            </w:r>
          </w:p>
        </w:tc>
        <w:tc>
          <w:tcPr>
            <w:tcW w:w="26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458F34D1" w14:textId="77777777" w:rsidR="00AD1919" w:rsidRDefault="00000000">
            <w:pPr>
              <w:spacing w:line="252" w:lineRule="auto"/>
            </w:pPr>
            <w:r>
              <w:rPr>
                <w:b/>
                <w:bCs/>
                <w:color w:val="FFFFFF"/>
                <w:sz w:val="19"/>
                <w:szCs w:val="19"/>
              </w:rPr>
              <w:t>Latest scale</w:t>
            </w:r>
          </w:p>
        </w:tc>
        <w:tc>
          <w:tcPr>
            <w:tcW w:w="44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1EA07F9" w14:textId="77777777" w:rsidR="00AD1919" w:rsidRDefault="00000000">
            <w:pPr>
              <w:spacing w:line="252" w:lineRule="auto"/>
            </w:pPr>
            <w:r>
              <w:rPr>
                <w:b/>
                <w:bCs/>
                <w:color w:val="FFFFFF"/>
                <w:sz w:val="19"/>
                <w:szCs w:val="19"/>
              </w:rPr>
              <w:t>Notes</w:t>
            </w:r>
          </w:p>
        </w:tc>
      </w:tr>
      <w:tr w:rsidR="00AD1919" w14:paraId="384D4F30"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EDF9D24" w14:textId="77777777" w:rsidR="00AD1919" w:rsidRDefault="00000000">
            <w:pPr>
              <w:spacing w:line="252" w:lineRule="auto"/>
            </w:pPr>
            <w:r>
              <w:rPr>
                <w:b/>
                <w:bCs/>
                <w:sz w:val="19"/>
                <w:szCs w:val="19"/>
              </w:rPr>
              <w:t>Clayton Homes (Berkshire Hathaway)</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39C1557" w14:textId="77777777" w:rsidR="00AD1919" w:rsidRDefault="00000000">
            <w:pPr>
              <w:spacing w:line="252" w:lineRule="auto"/>
            </w:pPr>
            <w:r>
              <w:rPr>
                <w:sz w:val="19"/>
                <w:szCs w:val="19"/>
              </w:rPr>
              <w:t>~59,000 homes built, 2025</w:t>
            </w:r>
          </w:p>
        </w:tc>
        <w:tc>
          <w:tcPr>
            <w:tcW w:w="4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5EB8B57" w14:textId="77777777" w:rsidR="00AD1919" w:rsidRDefault="00000000">
            <w:pPr>
              <w:spacing w:line="252" w:lineRule="auto"/>
            </w:pPr>
            <w:r>
              <w:rPr>
                <w:sz w:val="19"/>
                <w:szCs w:val="19"/>
              </w:rPr>
              <w:t>Largest integrated player; site-built, manufactured, CrossMod, modular &amp; tiny homes with captive financing</w:t>
            </w:r>
          </w:p>
        </w:tc>
      </w:tr>
      <w:tr w:rsidR="00AD1919" w14:paraId="49E555F0"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08E3C254" w14:textId="77777777" w:rsidR="00AD1919" w:rsidRDefault="00000000">
            <w:pPr>
              <w:spacing w:line="252" w:lineRule="auto"/>
            </w:pPr>
            <w:r>
              <w:rPr>
                <w:b/>
                <w:bCs/>
                <w:sz w:val="19"/>
                <w:szCs w:val="19"/>
              </w:rPr>
              <w:t>Champion Homes (NYSE: SKY)</w:t>
            </w:r>
          </w:p>
        </w:tc>
        <w:tc>
          <w:tcPr>
            <w:tcW w:w="26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4A2B47C" w14:textId="77777777" w:rsidR="00AD1919" w:rsidRDefault="00000000">
            <w:pPr>
              <w:spacing w:line="252" w:lineRule="auto"/>
            </w:pPr>
            <w:r>
              <w:rPr>
                <w:sz w:val="19"/>
                <w:szCs w:val="19"/>
              </w:rPr>
              <w:t>~$2.7B net sales, FY2026</w:t>
            </w:r>
          </w:p>
        </w:tc>
        <w:tc>
          <w:tcPr>
            <w:tcW w:w="44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0F2B3B8" w14:textId="77777777" w:rsidR="00AD1919" w:rsidRDefault="00000000">
            <w:pPr>
              <w:spacing w:line="252" w:lineRule="auto"/>
            </w:pPr>
            <w:r>
              <w:rPr>
                <w:sz w:val="19"/>
                <w:szCs w:val="19"/>
              </w:rPr>
              <w:t>46 plants; ~22.5% U.S. HUD-code wholesale share; cites #1 U.S. modular builder by units (CY2025)</w:t>
            </w:r>
          </w:p>
        </w:tc>
      </w:tr>
      <w:tr w:rsidR="00AD1919" w14:paraId="34252C27"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E1EA596" w14:textId="77777777" w:rsidR="00AD1919" w:rsidRDefault="00000000">
            <w:pPr>
              <w:spacing w:line="252" w:lineRule="auto"/>
            </w:pPr>
            <w:r>
              <w:rPr>
                <w:b/>
                <w:bCs/>
                <w:sz w:val="19"/>
                <w:szCs w:val="19"/>
              </w:rPr>
              <w:t>Cavco Industries (NASDAQ: CVCO)</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8C35DAE" w14:textId="77777777" w:rsidR="00AD1919" w:rsidRDefault="00000000">
            <w:pPr>
              <w:spacing w:line="252" w:lineRule="auto"/>
            </w:pPr>
            <w:r>
              <w:rPr>
                <w:sz w:val="19"/>
                <w:szCs w:val="19"/>
              </w:rPr>
              <w:t>19,753 homes sold, FY2025</w:t>
            </w:r>
          </w:p>
        </w:tc>
        <w:tc>
          <w:tcPr>
            <w:tcW w:w="4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9EDD584" w14:textId="77777777" w:rsidR="00AD1919" w:rsidRDefault="00000000">
            <w:pPr>
              <w:spacing w:line="252" w:lineRule="auto"/>
            </w:pPr>
            <w:r>
              <w:rPr>
                <w:sz w:val="19"/>
                <w:szCs w:val="19"/>
              </w:rPr>
              <w:t>31 production lines; ~80 company retail stores; ~75% capacity utilization</w:t>
            </w:r>
          </w:p>
        </w:tc>
      </w:tr>
    </w:tbl>
    <w:p w14:paraId="111BB01C" w14:textId="77777777" w:rsidR="00AD1919" w:rsidRDefault="00000000">
      <w:pPr>
        <w:spacing w:after="180" w:line="268" w:lineRule="auto"/>
      </w:pPr>
      <w:r>
        <w:rPr>
          <w:i/>
          <w:iCs/>
          <w:color w:val="666666"/>
          <w:sz w:val="18"/>
          <w:szCs w:val="18"/>
        </w:rPr>
        <w:t>Sources: Berkshire Hathaway 2025 Annual Report; Champion Homes FY2026 Form 10-K; Cavco FY2025 Form 10-K / annual report.</w:t>
      </w:r>
    </w:p>
    <w:p w14:paraId="6E3FD0C6" w14:textId="77777777" w:rsidR="00AD1919" w:rsidRDefault="00000000">
      <w:pPr>
        <w:pStyle w:val="Heading2"/>
      </w:pPr>
      <w:bookmarkStart w:id="13" w:name="_Toc236397799"/>
      <w:r>
        <w:t>5.2 Commercial Modular &amp; Relocatable Buildings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60"/>
      </w:tblGrid>
      <w:tr w:rsidR="00AD1919" w14:paraId="28974021"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1393B63" w14:textId="77777777" w:rsidR="00AD1919" w:rsidRDefault="00000000">
            <w:pPr>
              <w:spacing w:line="252" w:lineRule="auto"/>
            </w:pPr>
            <w:r>
              <w:rPr>
                <w:b/>
                <w:bCs/>
                <w:color w:val="FFFFFF"/>
                <w:sz w:val="19"/>
                <w:szCs w:val="19"/>
              </w:rPr>
              <w:t>Company</w:t>
            </w:r>
          </w:p>
        </w:tc>
        <w:tc>
          <w:tcPr>
            <w:tcW w:w="26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BA7F765" w14:textId="77777777" w:rsidR="00AD1919" w:rsidRDefault="00000000">
            <w:pPr>
              <w:spacing w:line="252" w:lineRule="auto"/>
            </w:pPr>
            <w:r>
              <w:rPr>
                <w:b/>
                <w:bCs/>
                <w:color w:val="FFFFFF"/>
                <w:sz w:val="19"/>
                <w:szCs w:val="19"/>
              </w:rPr>
              <w:t>Latest scale</w:t>
            </w:r>
          </w:p>
        </w:tc>
        <w:tc>
          <w:tcPr>
            <w:tcW w:w="44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65CA9A88" w14:textId="77777777" w:rsidR="00AD1919" w:rsidRDefault="00000000">
            <w:pPr>
              <w:spacing w:line="252" w:lineRule="auto"/>
            </w:pPr>
            <w:r>
              <w:rPr>
                <w:b/>
                <w:bCs/>
                <w:color w:val="FFFFFF"/>
                <w:sz w:val="19"/>
                <w:szCs w:val="19"/>
              </w:rPr>
              <w:t>Notes</w:t>
            </w:r>
          </w:p>
        </w:tc>
      </w:tr>
      <w:tr w:rsidR="00AD1919" w14:paraId="4CA8991E"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D83FAF8" w14:textId="77777777" w:rsidR="00AD1919" w:rsidRDefault="00000000">
            <w:pPr>
              <w:spacing w:line="252" w:lineRule="auto"/>
            </w:pPr>
            <w:r>
              <w:rPr>
                <w:b/>
                <w:bCs/>
                <w:sz w:val="19"/>
                <w:szCs w:val="19"/>
              </w:rPr>
              <w:t>WillScot (NASDAQ: WSC)</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B3FD2C9" w14:textId="77777777" w:rsidR="00AD1919" w:rsidRDefault="00000000">
            <w:pPr>
              <w:spacing w:line="252" w:lineRule="auto"/>
            </w:pPr>
            <w:r>
              <w:rPr>
                <w:sz w:val="19"/>
                <w:szCs w:val="19"/>
              </w:rPr>
              <w:t>$2.28B revenue; $971M adj. EBITDA, FY2025</w:t>
            </w:r>
          </w:p>
        </w:tc>
        <w:tc>
          <w:tcPr>
            <w:tcW w:w="4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A8648EE" w14:textId="77777777" w:rsidR="00AD1919" w:rsidRDefault="00000000">
            <w:pPr>
              <w:spacing w:line="252" w:lineRule="auto"/>
            </w:pPr>
            <w:r>
              <w:rPr>
                <w:sz w:val="19"/>
                <w:szCs w:val="19"/>
              </w:rPr>
              <w:t>Dominant modular space + portable storage lessor; ~42.6% adj. EBITDA margin; modular leasing ~$1.0B</w:t>
            </w:r>
          </w:p>
        </w:tc>
      </w:tr>
      <w:tr w:rsidR="00AD1919" w14:paraId="5AA775F8"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7B06F8C0" w14:textId="77777777" w:rsidR="00AD1919" w:rsidRDefault="00000000">
            <w:pPr>
              <w:spacing w:line="252" w:lineRule="auto"/>
            </w:pPr>
            <w:r>
              <w:rPr>
                <w:b/>
                <w:bCs/>
                <w:sz w:val="19"/>
                <w:szCs w:val="19"/>
              </w:rPr>
              <w:t>McGrath RentCorp / Mobile Modular</w:t>
            </w:r>
          </w:p>
        </w:tc>
        <w:tc>
          <w:tcPr>
            <w:tcW w:w="26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5581CA52" w14:textId="77777777" w:rsidR="00AD1919" w:rsidRDefault="00000000">
            <w:pPr>
              <w:spacing w:line="252" w:lineRule="auto"/>
            </w:pPr>
            <w:r>
              <w:rPr>
                <w:sz w:val="19"/>
                <w:szCs w:val="19"/>
              </w:rPr>
              <w:t>~$645M Mobile Modular revenue, FY2025</w:t>
            </w:r>
          </w:p>
        </w:tc>
        <w:tc>
          <w:tcPr>
            <w:tcW w:w="44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F3B8D45" w14:textId="77777777" w:rsidR="00AD1919" w:rsidRDefault="00000000">
            <w:pPr>
              <w:spacing w:line="252" w:lineRule="auto"/>
            </w:pPr>
            <w:r>
              <w:rPr>
                <w:sz w:val="19"/>
                <w:szCs w:val="19"/>
              </w:rPr>
              <w:t>~73% average fleet utilization; rate-led growth; education-heavy mix</w:t>
            </w:r>
          </w:p>
        </w:tc>
      </w:tr>
    </w:tbl>
    <w:p w14:paraId="65658621" w14:textId="77777777" w:rsidR="00AD1919" w:rsidRDefault="00000000">
      <w:pPr>
        <w:spacing w:after="180" w:line="268" w:lineRule="auto"/>
      </w:pPr>
      <w:r>
        <w:rPr>
          <w:i/>
          <w:iCs/>
          <w:color w:val="666666"/>
          <w:sz w:val="18"/>
          <w:szCs w:val="18"/>
        </w:rPr>
        <w:t>Sources: WillScot Q4/FY2025 results; McGrath RentCorp FY2025 Form 10-K and quarterly releases.</w:t>
      </w:r>
    </w:p>
    <w:p w14:paraId="02D7946E" w14:textId="77777777" w:rsidR="00AD1919" w:rsidRDefault="00000000">
      <w:pPr>
        <w:pStyle w:val="Heading2"/>
      </w:pPr>
      <w:bookmarkStart w:id="14" w:name="_Toc236397800"/>
      <w:r>
        <w:t>5.3 Notable Volumetric &amp; Specialty Modular Firms</w:t>
      </w:r>
      <w:bookmarkEnd w:id="14"/>
    </w:p>
    <w:p w14:paraId="2365FDC7" w14:textId="77777777" w:rsidR="00AD1919" w:rsidRDefault="00000000">
      <w:pPr>
        <w:spacing w:after="160" w:line="276" w:lineRule="auto"/>
      </w:pPr>
      <w:r>
        <w:t>Beyond the public leaders, a competitive field of volumetric and specialty manufacturers serves multifamily, affordable, hospitality, and institutional projects. Capacity in this segment has been volatile — several high-profile factories have scaled, paused, or restructured as project pipelines fluctuated, underscoring the utilization challenge in Section 10.</w:t>
      </w:r>
    </w:p>
    <w:p w14:paraId="1AC58F84" w14:textId="77777777" w:rsidR="00AD1919" w:rsidRDefault="00000000">
      <w:pPr>
        <w:pStyle w:val="ListParagraph"/>
        <w:numPr>
          <w:ilvl w:val="0"/>
          <w:numId w:val="2"/>
        </w:numPr>
        <w:spacing w:after="80" w:line="268" w:lineRule="auto"/>
      </w:pPr>
      <w:r>
        <w:t>Guerdon Modular Buildings; Factory_OS; Volumetric Building Companies (VBC); Autovol; RISE Modular; Volumod; FullStack Modular.</w:t>
      </w:r>
    </w:p>
    <w:p w14:paraId="281F8BBA" w14:textId="77777777" w:rsidR="00AD1919" w:rsidRDefault="00000000">
      <w:pPr>
        <w:pStyle w:val="ListParagraph"/>
        <w:numPr>
          <w:ilvl w:val="0"/>
          <w:numId w:val="2"/>
        </w:numPr>
        <w:spacing w:after="80" w:line="268" w:lineRule="auto"/>
      </w:pPr>
      <w:r>
        <w:t>Ramtech; Whitley Manufacturing; Satellite Shelters; BOXX Modular; ATCO; plus a broad base of regional panelized, truss, and pod fabricators.</w:t>
      </w:r>
    </w:p>
    <w:p w14:paraId="5D403111" w14:textId="77777777" w:rsidR="00AD1919" w:rsidRDefault="00000000">
      <w:r>
        <w:br w:type="page"/>
      </w:r>
    </w:p>
    <w:p w14:paraId="02A7327F" w14:textId="77777777" w:rsidR="00AD1919" w:rsidRDefault="00000000">
      <w:pPr>
        <w:pStyle w:val="Heading1"/>
      </w:pPr>
      <w:bookmarkStart w:id="15" w:name="_Toc236397801"/>
      <w:r>
        <w:lastRenderedPageBreak/>
        <w:t>6. Supply Chain &amp; Adjacent Industries</w:t>
      </w:r>
      <w:bookmarkEnd w:id="15"/>
    </w:p>
    <w:p w14:paraId="6348D307" w14:textId="77777777" w:rsidR="00AD1919" w:rsidRDefault="00000000">
      <w:pPr>
        <w:spacing w:after="160" w:line="276" w:lineRule="auto"/>
      </w:pPr>
      <w:r>
        <w:t>Modular sits at the intersection of manufacturing, construction, real-estate development, and logistics. Its economics are unusually exposed to the upstream materials supply chain and to the downstream craning, transport, and onsite assembly trades.</w:t>
      </w:r>
    </w:p>
    <w:p w14:paraId="7BD4A9C7" w14:textId="77777777" w:rsidR="00AD1919" w:rsidRDefault="00000000">
      <w:pPr>
        <w:pStyle w:val="Heading2"/>
      </w:pPr>
      <w:bookmarkStart w:id="16" w:name="_Toc236397802"/>
      <w:r>
        <w:t>6.1 Upstream Inputs</w:t>
      </w:r>
      <w:bookmarkEnd w:id="16"/>
    </w:p>
    <w:p w14:paraId="28824043" w14:textId="77777777" w:rsidR="00AD1919" w:rsidRDefault="00000000">
      <w:pPr>
        <w:pStyle w:val="ListParagraph"/>
        <w:numPr>
          <w:ilvl w:val="0"/>
          <w:numId w:val="2"/>
        </w:numPr>
        <w:spacing w:after="80" w:line="268" w:lineRule="auto"/>
      </w:pPr>
      <w:r>
        <w:t>Structural steel, dimensional lumber and engineered wood, mass timber, precast concrete, aluminum, and gypsum.</w:t>
      </w:r>
    </w:p>
    <w:p w14:paraId="27E825AE" w14:textId="77777777" w:rsidR="00AD1919" w:rsidRDefault="00000000">
      <w:pPr>
        <w:pStyle w:val="ListParagraph"/>
        <w:numPr>
          <w:ilvl w:val="0"/>
          <w:numId w:val="2"/>
        </w:numPr>
        <w:spacing w:after="80" w:line="268" w:lineRule="auto"/>
      </w:pPr>
      <w:r>
        <w:t>Trusses and structural components; SIPs; windows, doors and cladding; MEP equipment and prefabricated MEP racks; bathroom and kitchen pods.</w:t>
      </w:r>
    </w:p>
    <w:p w14:paraId="0FFA47CD" w14:textId="77777777" w:rsidR="00AD1919" w:rsidRDefault="00000000">
      <w:pPr>
        <w:pStyle w:val="Heading2"/>
      </w:pPr>
      <w:bookmarkStart w:id="17" w:name="_Toc236397803"/>
      <w:r>
        <w:t>6.2 Downstream &amp; Enabling</w:t>
      </w:r>
      <w:bookmarkEnd w:id="17"/>
    </w:p>
    <w:p w14:paraId="0FA130CF" w14:textId="77777777" w:rsidR="00AD1919" w:rsidRDefault="00000000">
      <w:pPr>
        <w:pStyle w:val="ListParagraph"/>
        <w:numPr>
          <w:ilvl w:val="0"/>
          <w:numId w:val="2"/>
        </w:numPr>
        <w:spacing w:after="80" w:line="268" w:lineRule="auto"/>
      </w:pPr>
      <w:r>
        <w:t>Logistics and craning (transport limits often govern module size and freight cost), onsite general contractors, and set crews.</w:t>
      </w:r>
    </w:p>
    <w:p w14:paraId="35DA248E" w14:textId="77777777" w:rsidR="00AD1919" w:rsidRDefault="00000000">
      <w:pPr>
        <w:pStyle w:val="ListParagraph"/>
        <w:numPr>
          <w:ilvl w:val="0"/>
          <w:numId w:val="2"/>
        </w:numPr>
        <w:spacing w:after="80" w:line="268" w:lineRule="auto"/>
      </w:pPr>
      <w:r>
        <w:t>Construction software/BIM, DfMA design services, and factory production-tracking systems.</w:t>
      </w:r>
    </w:p>
    <w:p w14:paraId="0CB92DA3" w14:textId="77777777" w:rsidR="00AD1919" w:rsidRDefault="00000000">
      <w:pPr>
        <w:pStyle w:val="Heading2"/>
      </w:pPr>
      <w:bookmarkStart w:id="18" w:name="_Toc236397804"/>
      <w:r>
        <w:t>6.3 Adjacent Industries</w:t>
      </w:r>
      <w:bookmarkEnd w:id="18"/>
    </w:p>
    <w:p w14:paraId="371875B8" w14:textId="77777777" w:rsidR="00AD1919" w:rsidRDefault="00000000">
      <w:pPr>
        <w:spacing w:after="160" w:line="276" w:lineRule="auto"/>
      </w:pPr>
      <w:r>
        <w:t>Key adjacencies include site-built residential construction, multifamily development, affordable-housing finance, manufactured-housing communities, construction equipment rental, structural steel, wood products, truss/component manufacturing, mass timber, precast concrete, bathroom pods, MEP prefabrication, construction software/BIM, logistics/craning, and construction lending.</w:t>
      </w:r>
    </w:p>
    <w:p w14:paraId="4068F3D4" w14:textId="77777777" w:rsidR="00AD1919" w:rsidRDefault="00000000">
      <w:r>
        <w:br w:type="page"/>
      </w:r>
    </w:p>
    <w:p w14:paraId="155ED9A5" w14:textId="77777777" w:rsidR="00AD1919" w:rsidRDefault="00000000">
      <w:pPr>
        <w:pStyle w:val="Heading1"/>
      </w:pPr>
      <w:bookmarkStart w:id="19" w:name="_Toc236397805"/>
      <w:r>
        <w:lastRenderedPageBreak/>
        <w:t>7. Technology &amp; Operating Trends</w:t>
      </w:r>
      <w:bookmarkEnd w:id="19"/>
    </w:p>
    <w:p w14:paraId="72D0494F" w14:textId="77777777" w:rsidR="00AD1919" w:rsidRDefault="00000000">
      <w:pPr>
        <w:spacing w:after="160" w:line="276" w:lineRule="auto"/>
      </w:pPr>
      <w:r>
        <w:t>The industry is shifting from “project-by-project prefab” toward industrialized construction: standardized product platforms and repeatable designs replacing one-off engineering on every job. The enabling stack includes:</w:t>
      </w:r>
    </w:p>
    <w:p w14:paraId="3B9948A5" w14:textId="77777777" w:rsidR="00AD1919" w:rsidRDefault="00000000">
      <w:pPr>
        <w:pStyle w:val="ListParagraph"/>
        <w:numPr>
          <w:ilvl w:val="0"/>
          <w:numId w:val="2"/>
        </w:numPr>
        <w:spacing w:after="80" w:line="268" w:lineRule="auto"/>
      </w:pPr>
      <w:r>
        <w:t>BIM-to-factory workflows and Design for Manufacturing and Assembly (DfMA).</w:t>
      </w:r>
    </w:p>
    <w:p w14:paraId="0284BFFB" w14:textId="77777777" w:rsidR="00AD1919" w:rsidRDefault="00000000">
      <w:pPr>
        <w:pStyle w:val="ListParagraph"/>
        <w:numPr>
          <w:ilvl w:val="0"/>
          <w:numId w:val="2"/>
        </w:numPr>
        <w:spacing w:after="80" w:line="268" w:lineRule="auto"/>
      </w:pPr>
      <w:r>
        <w:t>Robotics, automated cutting and framing, and digital quality control on the line.</w:t>
      </w:r>
    </w:p>
    <w:p w14:paraId="39C5B216" w14:textId="77777777" w:rsidR="00AD1919" w:rsidRDefault="00000000">
      <w:pPr>
        <w:pStyle w:val="ListParagraph"/>
        <w:numPr>
          <w:ilvl w:val="0"/>
          <w:numId w:val="2"/>
        </w:numPr>
        <w:spacing w:after="80" w:line="268" w:lineRule="auto"/>
      </w:pPr>
      <w:r>
        <w:t>Reality capture, factory production tracking, and standardized product catalogs.</w:t>
      </w:r>
    </w:p>
    <w:p w14:paraId="704DCEC8" w14:textId="77777777" w:rsidR="00AD1919" w:rsidRDefault="00000000">
      <w:pPr>
        <w:spacing w:after="160" w:line="276" w:lineRule="auto"/>
      </w:pPr>
      <w:r>
        <w:t xml:space="preserve">McKinsey argues that, when design, supply chain, and repeatability are aligned, modular can </w:t>
      </w:r>
      <w:r>
        <w:rPr>
          <w:b/>
          <w:bCs/>
        </w:rPr>
        <w:t>reduce manpower needs by up to 40% and accelerate timelines by up to 50%</w:t>
      </w:r>
      <w:r>
        <w:t>. The strategic implication: the winners are platform operators who amortize engineering across many repeated units, not custom builders who re-engineer each project.</w:t>
      </w:r>
    </w:p>
    <w:p w14:paraId="7402C8DD" w14:textId="77777777" w:rsidR="00AD1919" w:rsidRDefault="00000000">
      <w:pPr>
        <w:spacing w:after="180" w:line="268" w:lineRule="auto"/>
      </w:pPr>
      <w:r>
        <w:rPr>
          <w:i/>
          <w:iCs/>
          <w:color w:val="666666"/>
          <w:sz w:val="18"/>
          <w:szCs w:val="18"/>
        </w:rPr>
        <w:t>Source: McKinsey, “Putting the pieces together: unlocking success in modular construction” (2025).</w:t>
      </w:r>
    </w:p>
    <w:p w14:paraId="29E0AA04" w14:textId="77777777" w:rsidR="00AD1919" w:rsidRDefault="00000000">
      <w:r>
        <w:br w:type="page"/>
      </w:r>
    </w:p>
    <w:p w14:paraId="2AE72C4D" w14:textId="77777777" w:rsidR="00AD1919" w:rsidRDefault="00000000">
      <w:pPr>
        <w:pStyle w:val="Heading1"/>
      </w:pPr>
      <w:bookmarkStart w:id="20" w:name="_Toc236397806"/>
      <w:r>
        <w:lastRenderedPageBreak/>
        <w:t>8. Demand Drivers &amp; External Factors</w:t>
      </w:r>
      <w:bookmarkEnd w:id="20"/>
    </w:p>
    <w:p w14:paraId="019B5F71" w14:textId="77777777" w:rsidR="00AD1919" w:rsidRDefault="00000000">
      <w:pPr>
        <w:spacing w:after="160" w:line="276" w:lineRule="auto"/>
      </w:pPr>
      <w:r>
        <w:t>Adoption is driven by a clear and consistent set of motivations reported by modular adopters, reinforced by acute structural labor shortages in conventional construction.</w:t>
      </w:r>
    </w:p>
    <w:p w14:paraId="40A920E2" w14:textId="77777777" w:rsidR="00AD1919" w:rsidRDefault="00000000">
      <w:pPr>
        <w:pStyle w:val="Heading2"/>
      </w:pPr>
      <w:bookmarkStart w:id="21" w:name="_Toc236397807"/>
      <w:r>
        <w:t>8.1 Adoption Drivers (per MBI)</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D1919" w14:paraId="543705E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335F45BC" w14:textId="77777777" w:rsidR="00AD1919" w:rsidRDefault="00000000">
            <w:pPr>
              <w:spacing w:after="30"/>
              <w:jc w:val="center"/>
            </w:pPr>
            <w:r>
              <w:rPr>
                <w:b/>
                <w:bCs/>
                <w:color w:val="1F3A5F"/>
                <w:sz w:val="30"/>
                <w:szCs w:val="30"/>
              </w:rPr>
              <w:t>81%</w:t>
            </w:r>
          </w:p>
          <w:p w14:paraId="6903151C" w14:textId="77777777" w:rsidR="00AD1919" w:rsidRDefault="00000000">
            <w:pPr>
              <w:jc w:val="center"/>
            </w:pPr>
            <w:r>
              <w:rPr>
                <w:color w:val="666666"/>
                <w:sz w:val="16"/>
                <w:szCs w:val="16"/>
              </w:rPr>
              <w:t>Cite speed to market</w:t>
            </w:r>
          </w:p>
        </w:tc>
        <w:tc>
          <w:tcPr>
            <w:tcW w:w="312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364DCEE1" w14:textId="77777777" w:rsidR="00AD1919" w:rsidRDefault="00000000">
            <w:pPr>
              <w:spacing w:after="30"/>
              <w:jc w:val="center"/>
            </w:pPr>
            <w:r>
              <w:rPr>
                <w:b/>
                <w:bCs/>
                <w:color w:val="1F3A5F"/>
                <w:sz w:val="30"/>
                <w:szCs w:val="30"/>
              </w:rPr>
              <w:t>68%</w:t>
            </w:r>
          </w:p>
          <w:p w14:paraId="6206634E" w14:textId="77777777" w:rsidR="00AD1919" w:rsidRDefault="00000000">
            <w:pPr>
              <w:jc w:val="center"/>
            </w:pPr>
            <w:r>
              <w:rPr>
                <w:color w:val="666666"/>
                <w:sz w:val="16"/>
                <w:szCs w:val="16"/>
              </w:rPr>
              <w:t>Cite cost efficiency</w:t>
            </w:r>
          </w:p>
        </w:tc>
        <w:tc>
          <w:tcPr>
            <w:tcW w:w="3120" w:type="dxa"/>
            <w:tcBorders>
              <w:top w:val="single" w:sz="1" w:space="0" w:color="BBBBBB"/>
              <w:left w:val="single" w:sz="1" w:space="0" w:color="BBBBBB"/>
              <w:bottom w:val="single" w:sz="1" w:space="0" w:color="BBBBBB"/>
              <w:right w:val="single" w:sz="1" w:space="0" w:color="BBBBBB"/>
            </w:tcBorders>
            <w:shd w:val="clear" w:color="auto" w:fill="D9E5F1"/>
            <w:tcMar>
              <w:top w:w="120" w:type="dxa"/>
              <w:left w:w="100" w:type="dxa"/>
              <w:bottom w:w="120" w:type="dxa"/>
              <w:right w:w="100" w:type="dxa"/>
            </w:tcMar>
            <w:vAlign w:val="center"/>
          </w:tcPr>
          <w:p w14:paraId="2A1C91D0" w14:textId="77777777" w:rsidR="00AD1919" w:rsidRDefault="00000000">
            <w:pPr>
              <w:spacing w:after="30"/>
              <w:jc w:val="center"/>
            </w:pPr>
            <w:r>
              <w:rPr>
                <w:b/>
                <w:bCs/>
                <w:color w:val="1F3A5F"/>
                <w:sz w:val="30"/>
                <w:szCs w:val="30"/>
              </w:rPr>
              <w:t>52%</w:t>
            </w:r>
          </w:p>
          <w:p w14:paraId="25129050" w14:textId="77777777" w:rsidR="00AD1919" w:rsidRDefault="00000000">
            <w:pPr>
              <w:jc w:val="center"/>
            </w:pPr>
            <w:r>
              <w:rPr>
                <w:color w:val="666666"/>
                <w:sz w:val="16"/>
                <w:szCs w:val="16"/>
              </w:rPr>
              <w:t>Cite labor availability</w:t>
            </w:r>
          </w:p>
        </w:tc>
      </w:tr>
    </w:tbl>
    <w:p w14:paraId="5DEB767E" w14:textId="77777777" w:rsidR="00AD1919" w:rsidRDefault="00AD1919">
      <w:pPr>
        <w:spacing w:after="120"/>
      </w:pPr>
    </w:p>
    <w:p w14:paraId="2D2DA35B" w14:textId="77777777" w:rsidR="00AD1919" w:rsidRDefault="00000000">
      <w:pPr>
        <w:pStyle w:val="Heading2"/>
      </w:pPr>
      <w:bookmarkStart w:id="22" w:name="_Toc236397808"/>
      <w:r>
        <w:t>8.2 The Labor-Shortage Tailwind</w:t>
      </w:r>
      <w:bookmarkEnd w:id="22"/>
    </w:p>
    <w:p w14:paraId="4AE09CE5" w14:textId="77777777" w:rsidR="00AD1919" w:rsidRDefault="00000000">
      <w:pPr>
        <w:spacing w:after="160" w:line="276" w:lineRule="auto"/>
      </w:pPr>
      <w:r>
        <w:t xml:space="preserve">Construction’s labor gap is the industry’s most durable tailwind. ABC estimated the sector needed roughly </w:t>
      </w:r>
      <w:r>
        <w:rPr>
          <w:b/>
          <w:bCs/>
        </w:rPr>
        <w:t>439,000 net new workers in 2025</w:t>
      </w:r>
      <w:r>
        <w:t xml:space="preserve"> to meet demand, while industry workforce surveys consistently report that the overwhelming majority of contractors struggle to hire skilled craft labor. By shifting work into factories with more stable, trainable, less weather-dependent labor, modular directly addresses this constraint.</w:t>
      </w:r>
    </w:p>
    <w:p w14:paraId="25EFD7EE" w14:textId="77777777" w:rsidR="00AD1919" w:rsidRDefault="00000000">
      <w:pPr>
        <w:spacing w:after="180" w:line="268" w:lineRule="auto"/>
      </w:pPr>
      <w:r>
        <w:rPr>
          <w:i/>
          <w:iCs/>
          <w:color w:val="666666"/>
          <w:sz w:val="18"/>
          <w:szCs w:val="18"/>
        </w:rPr>
        <w:t>Sources: ABC 2025 workforce-shortage estimate; AGC/NCCER workforce surveys. ABC’s 2026 estimate moderated to roughly 350,000, but the structural shortage persists.</w:t>
      </w:r>
    </w:p>
    <w:p w14:paraId="7D3B9E06" w14:textId="77777777" w:rsidR="00AD1919" w:rsidRDefault="00000000">
      <w:pPr>
        <w:pStyle w:val="Heading2"/>
      </w:pPr>
      <w:bookmarkStart w:id="23" w:name="_Toc236397809"/>
      <w:r>
        <w:t>8.3 Other External Drivers</w:t>
      </w:r>
      <w:bookmarkEnd w:id="23"/>
    </w:p>
    <w:p w14:paraId="732A40D7" w14:textId="77777777" w:rsidR="00AD1919" w:rsidRDefault="00000000">
      <w:pPr>
        <w:pStyle w:val="ListParagraph"/>
        <w:numPr>
          <w:ilvl w:val="0"/>
          <w:numId w:val="2"/>
        </w:numPr>
        <w:spacing w:after="80" w:line="268" w:lineRule="auto"/>
      </w:pPr>
      <w:r>
        <w:rPr>
          <w:b/>
          <w:bCs/>
        </w:rPr>
        <w:t xml:space="preserve">Housing affordability &amp; supply policy: </w:t>
      </w:r>
      <w:r>
        <w:t>public funding and state/local initiatives increasingly favor faster, lower-cost delivery.</w:t>
      </w:r>
    </w:p>
    <w:p w14:paraId="37067144" w14:textId="77777777" w:rsidR="00AD1919" w:rsidRDefault="00000000">
      <w:pPr>
        <w:pStyle w:val="ListParagraph"/>
        <w:numPr>
          <w:ilvl w:val="0"/>
          <w:numId w:val="2"/>
        </w:numPr>
        <w:spacing w:after="80" w:line="268" w:lineRule="auto"/>
      </w:pPr>
      <w:r>
        <w:rPr>
          <w:b/>
          <w:bCs/>
        </w:rPr>
        <w:t xml:space="preserve">Interest rates &amp; financing: </w:t>
      </w:r>
      <w:r>
        <w:t>rate levels heavily influence both manufactured-housing demand and developer appetite for modular multifamily.</w:t>
      </w:r>
    </w:p>
    <w:p w14:paraId="0D340C9B" w14:textId="77777777" w:rsidR="00AD1919" w:rsidRDefault="00000000">
      <w:pPr>
        <w:pStyle w:val="ListParagraph"/>
        <w:numPr>
          <w:ilvl w:val="0"/>
          <w:numId w:val="2"/>
        </w:numPr>
        <w:spacing w:after="80" w:line="268" w:lineRule="auto"/>
      </w:pPr>
      <w:r>
        <w:rPr>
          <w:b/>
          <w:bCs/>
        </w:rPr>
        <w:t xml:space="preserve">Sustainability &amp; waste reduction: </w:t>
      </w:r>
      <w:r>
        <w:t>factory production reduces material waste and supports embodied-carbon goals, especially with mass timber.</w:t>
      </w:r>
    </w:p>
    <w:p w14:paraId="20D4540D" w14:textId="77777777" w:rsidR="00AD1919" w:rsidRDefault="00000000">
      <w:r>
        <w:br w:type="page"/>
      </w:r>
    </w:p>
    <w:p w14:paraId="0CA943FA" w14:textId="77777777" w:rsidR="00AD1919" w:rsidRDefault="00000000">
      <w:pPr>
        <w:pStyle w:val="Heading1"/>
      </w:pPr>
      <w:bookmarkStart w:id="24" w:name="_Toc236397810"/>
      <w:r>
        <w:lastRenderedPageBreak/>
        <w:t>9. Policy Spotlight: The 21st Century ROAD to Housing Act (2026)</w:t>
      </w:r>
      <w:bookmarkEnd w:id="24"/>
    </w:p>
    <w:p w14:paraId="54A18BB6" w14:textId="77777777" w:rsidR="00AD1919" w:rsidRDefault="00000000">
      <w:pPr>
        <w:spacing w:after="160" w:line="276" w:lineRule="auto"/>
      </w:pPr>
      <w:r>
        <w:t xml:space="preserve">On July 11, 2026, the </w:t>
      </w:r>
      <w:r>
        <w:rPr>
          <w:b/>
          <w:bCs/>
        </w:rPr>
        <w:t>21st Century ROAD to Housing Act</w:t>
      </w:r>
      <w:r>
        <w:t xml:space="preserve"> became law — the most significant federal housing-supply legislation in decades and the first in a generation to devote an entire title to factory-built housing. The bill passed with overwhelming bipartisan majorities in late June 2026 (Senate 85–5; House 358–32) and became law without the President’s signature after the constitutional ten-day window lapsed. For this industry, the essential character of the law is regulatory modernization rather than spending: it adds no significant net new appropriations, instead reallocating existing funds, reauthorizing programs, and directing HUD rulemakings and studies that target several of the structural constraints identified in Section 11.</w:t>
      </w:r>
    </w:p>
    <w:p w14:paraId="5479A04E" w14:textId="77777777" w:rsidR="00AD1919" w:rsidRDefault="00000000">
      <w:pPr>
        <w:pStyle w:val="Heading2"/>
      </w:pPr>
      <w:bookmarkStart w:id="25" w:name="_Toc236397811"/>
      <w:r>
        <w:t>9.1 Provisions That Directly Target Factory-Built Housing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60"/>
        <w:gridCol w:w="2200"/>
      </w:tblGrid>
      <w:tr w:rsidR="00AD1919" w14:paraId="4F02CC5C"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5907AC59" w14:textId="77777777" w:rsidR="00AD1919" w:rsidRDefault="00000000">
            <w:pPr>
              <w:spacing w:line="252" w:lineRule="auto"/>
            </w:pPr>
            <w:r>
              <w:rPr>
                <w:b/>
                <w:bCs/>
                <w:color w:val="FFFFFF"/>
                <w:sz w:val="19"/>
                <w:szCs w:val="19"/>
              </w:rPr>
              <w:t>Provision</w:t>
            </w:r>
          </w:p>
        </w:tc>
        <w:tc>
          <w:tcPr>
            <w:tcW w:w="49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166BAE46" w14:textId="77777777" w:rsidR="00AD1919" w:rsidRDefault="00000000">
            <w:pPr>
              <w:spacing w:line="252" w:lineRule="auto"/>
            </w:pPr>
            <w:r>
              <w:rPr>
                <w:b/>
                <w:bCs/>
                <w:color w:val="FFFFFF"/>
                <w:sz w:val="19"/>
                <w:szCs w:val="19"/>
              </w:rPr>
              <w:t>What it does</w:t>
            </w:r>
          </w:p>
        </w:tc>
        <w:tc>
          <w:tcPr>
            <w:tcW w:w="22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3C096209" w14:textId="77777777" w:rsidR="00AD1919" w:rsidRDefault="00000000">
            <w:pPr>
              <w:spacing w:line="252" w:lineRule="auto"/>
            </w:pPr>
            <w:r>
              <w:rPr>
                <w:b/>
                <w:bCs/>
                <w:color w:val="FFFFFF"/>
                <w:sz w:val="19"/>
                <w:szCs w:val="19"/>
              </w:rPr>
              <w:t>Segment affected</w:t>
            </w:r>
          </w:p>
        </w:tc>
      </w:tr>
      <w:tr w:rsidR="00AD1919" w14:paraId="515B9CD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966BE23" w14:textId="77777777" w:rsidR="00AD1919" w:rsidRDefault="00000000">
            <w:pPr>
              <w:spacing w:line="252" w:lineRule="auto"/>
            </w:pPr>
            <w:r>
              <w:rPr>
                <w:b/>
                <w:bCs/>
                <w:sz w:val="18"/>
                <w:szCs w:val="18"/>
              </w:rPr>
              <w:t>Sec. 301 — Housing Supply Expansion</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59920F4" w14:textId="77777777" w:rsidR="00AD1919" w:rsidRDefault="00000000">
            <w:pPr>
              <w:spacing w:line="252" w:lineRule="auto"/>
            </w:pPr>
            <w:r>
              <w:rPr>
                <w:sz w:val="18"/>
                <w:szCs w:val="18"/>
              </w:rPr>
              <w:t>Eliminates the permanent-chassis requirement for HUD-code homes through a state-level opt-in process; consolidates energy-efficiency standard-setting under HUD.</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E91FB1E" w14:textId="77777777" w:rsidR="00AD1919" w:rsidRDefault="00000000">
            <w:pPr>
              <w:spacing w:line="252" w:lineRule="auto"/>
            </w:pPr>
            <w:r>
              <w:rPr>
                <w:sz w:val="18"/>
                <w:szCs w:val="18"/>
              </w:rPr>
              <w:t>Manufactured (HUD-code)</w:t>
            </w:r>
          </w:p>
        </w:tc>
      </w:tr>
      <w:tr w:rsidR="00AD1919" w14:paraId="3AF8690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29DCADD" w14:textId="77777777" w:rsidR="00AD1919" w:rsidRDefault="00000000">
            <w:pPr>
              <w:spacing w:line="252" w:lineRule="auto"/>
            </w:pPr>
            <w:r>
              <w:rPr>
                <w:b/>
                <w:bCs/>
                <w:sz w:val="18"/>
                <w:szCs w:val="18"/>
              </w:rPr>
              <w:t>Sec. 302 — Modular Housing Production</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A7C4E70" w14:textId="77777777" w:rsidR="00AD1919" w:rsidRDefault="00000000">
            <w:pPr>
              <w:spacing w:line="252" w:lineRule="auto"/>
            </w:pPr>
            <w:r>
              <w:rPr>
                <w:sz w:val="18"/>
                <w:szCs w:val="18"/>
              </w:rPr>
              <w:t>Directs HUD to review FHA construction-financing barriers facing modular developers — explicitly including construction draw schedules — and conduct a rulemaking to address them; funds a study of standardized modular building codes.</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DD9E379" w14:textId="77777777" w:rsidR="00AD1919" w:rsidRDefault="00000000">
            <w:pPr>
              <w:spacing w:line="252" w:lineRule="auto"/>
            </w:pPr>
            <w:r>
              <w:rPr>
                <w:sz w:val="18"/>
                <w:szCs w:val="18"/>
              </w:rPr>
              <w:t>Permanent modular</w:t>
            </w:r>
          </w:p>
        </w:tc>
      </w:tr>
      <w:tr w:rsidR="00AD1919" w14:paraId="3D2CBD4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E31E97" w14:textId="77777777" w:rsidR="00AD1919" w:rsidRDefault="00000000">
            <w:pPr>
              <w:spacing w:line="252" w:lineRule="auto"/>
            </w:pPr>
            <w:r>
              <w:rPr>
                <w:b/>
                <w:bCs/>
                <w:sz w:val="18"/>
                <w:szCs w:val="18"/>
              </w:rPr>
              <w:t>Sec. 303 — Loan Modernization</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2198543" w14:textId="77777777" w:rsidR="00AD1919" w:rsidRDefault="00000000">
            <w:pPr>
              <w:spacing w:line="252" w:lineRule="auto"/>
            </w:pPr>
            <w:r>
              <w:rPr>
                <w:sz w:val="18"/>
                <w:szCs w:val="18"/>
              </w:rPr>
              <w:t>Raises FHA-insured manufactured-housing loan limits; makes accessory dwelling units eligible for FHA property-improvement loans; directs HUD to study the cost-effectiveness of offsite construction techniques.</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81A1F3A" w14:textId="77777777" w:rsidR="00AD1919" w:rsidRDefault="00000000">
            <w:pPr>
              <w:spacing w:line="252" w:lineRule="auto"/>
            </w:pPr>
            <w:r>
              <w:rPr>
                <w:sz w:val="18"/>
                <w:szCs w:val="18"/>
              </w:rPr>
              <w:t>Both</w:t>
            </w:r>
          </w:p>
        </w:tc>
      </w:tr>
      <w:tr w:rsidR="00AD1919" w14:paraId="62E944F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8661206" w14:textId="77777777" w:rsidR="00AD1919" w:rsidRDefault="00000000">
            <w:pPr>
              <w:spacing w:line="252" w:lineRule="auto"/>
            </w:pPr>
            <w:r>
              <w:rPr>
                <w:b/>
                <w:bCs/>
                <w:sz w:val="18"/>
                <w:szCs w:val="18"/>
              </w:rPr>
              <w:t>Sec. 304 — PRICE Act</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ECE6A16" w14:textId="77777777" w:rsidR="00AD1919" w:rsidRDefault="00000000">
            <w:pPr>
              <w:spacing w:line="252" w:lineRule="auto"/>
            </w:pPr>
            <w:r>
              <w:rPr>
                <w:sz w:val="18"/>
                <w:szCs w:val="18"/>
              </w:rPr>
              <w:t>Seven-year reauthorization of grants to repair and improve existing manufactured homes and communities.</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FC8BC36" w14:textId="77777777" w:rsidR="00AD1919" w:rsidRDefault="00000000">
            <w:pPr>
              <w:spacing w:line="252" w:lineRule="auto"/>
            </w:pPr>
            <w:r>
              <w:rPr>
                <w:sz w:val="18"/>
                <w:szCs w:val="18"/>
              </w:rPr>
              <w:t>Manufactured (HUD-code)</w:t>
            </w:r>
          </w:p>
        </w:tc>
      </w:tr>
    </w:tbl>
    <w:p w14:paraId="2A06F63F" w14:textId="77777777" w:rsidR="00AD1919" w:rsidRDefault="00AD1919">
      <w:pPr>
        <w:spacing w:after="160"/>
      </w:pPr>
    </w:p>
    <w:p w14:paraId="68218BCD" w14:textId="77777777" w:rsidR="00AD1919" w:rsidRDefault="00000000">
      <w:pPr>
        <w:spacing w:after="160" w:line="276" w:lineRule="auto"/>
      </w:pPr>
      <w:r>
        <w:rPr>
          <w:b/>
          <w:bCs/>
        </w:rPr>
        <w:t xml:space="preserve">The chassis provision is the headline. </w:t>
      </w:r>
      <w:r>
        <w:t xml:space="preserve">The permanent steel chassis is a 1970s transportation-safety artifact that has constrained manufactured-home design for five decades. Removing it is expected to cut roughly </w:t>
      </w:r>
      <w:r>
        <w:rPr>
          <w:b/>
          <w:bCs/>
        </w:rPr>
        <w:t>$5,000–$10,000 of cost per home</w:t>
      </w:r>
      <w:r>
        <w:t>, permit two-story and site-built-style designs, and — most strategically — erode the design and perception boundary between HUD-code product and modular product. Analysts see it pointing toward a more unified, scalable factory-built housing ecosystem, directly relevant to the zoning-stigma constraint in Section 11 in which modular is penalized by conflation with manufactured housing.</w:t>
      </w:r>
    </w:p>
    <w:p w14:paraId="69FD2B29" w14:textId="77777777" w:rsidR="00AD1919" w:rsidRDefault="00000000">
      <w:pPr>
        <w:pStyle w:val="Heading2"/>
      </w:pPr>
      <w:bookmarkStart w:id="26" w:name="_Toc236397812"/>
      <w:r>
        <w:t>9.2 Demand-Side and Zoning Provisions That Favor Offsite Delivery</w:t>
      </w:r>
      <w:bookmarkEnd w:id="26"/>
    </w:p>
    <w:p w14:paraId="306DAF1E" w14:textId="77777777" w:rsidR="00AD1919" w:rsidRDefault="00000000">
      <w:pPr>
        <w:spacing w:after="160" w:line="276" w:lineRule="auto"/>
      </w:pPr>
      <w:r>
        <w:t>Beyond the factory-built title, the Act’s supply-side machinery consistently rewards the repeatable, pre-approved, schedule-compressed delivery model in which offsite construction specializes:</w:t>
      </w:r>
    </w:p>
    <w:p w14:paraId="7AE3E8F6" w14:textId="77777777" w:rsidR="00AD1919" w:rsidRDefault="00000000">
      <w:pPr>
        <w:pStyle w:val="ListParagraph"/>
        <w:numPr>
          <w:ilvl w:val="0"/>
          <w:numId w:val="2"/>
        </w:numPr>
        <w:spacing w:after="80" w:line="268" w:lineRule="auto"/>
      </w:pPr>
      <w:r>
        <w:rPr>
          <w:b/>
          <w:bCs/>
        </w:rPr>
        <w:t xml:space="preserve">Innovation Fund (Sec. 208): </w:t>
      </w:r>
      <w:r>
        <w:t>$200 million per year in competitive grants to jurisdictions that demonstrate measurable supply increases through streamlined permitting, density bonuses, and zoning reform (seven-year sunset).</w:t>
      </w:r>
    </w:p>
    <w:p w14:paraId="146D281F" w14:textId="77777777" w:rsidR="00AD1919" w:rsidRDefault="00000000">
      <w:pPr>
        <w:pStyle w:val="ListParagraph"/>
        <w:numPr>
          <w:ilvl w:val="0"/>
          <w:numId w:val="2"/>
        </w:numPr>
        <w:spacing w:after="80" w:line="268" w:lineRule="auto"/>
      </w:pPr>
      <w:r>
        <w:rPr>
          <w:b/>
          <w:bCs/>
        </w:rPr>
        <w:t xml:space="preserve">Pre-approved “pattern book” designs (Sec. 209): </w:t>
      </w:r>
      <w:r>
        <w:t>grants for local adoption of pre-reviewed housing designs — ADUs, duplexes, townhouses — with a 10% rural set-aside. Pre-approved, repeatable designs are precisely the conditions under which factory production is most economic.</w:t>
      </w:r>
    </w:p>
    <w:p w14:paraId="3AA8DF64" w14:textId="77777777" w:rsidR="00AD1919" w:rsidRDefault="00000000">
      <w:pPr>
        <w:pStyle w:val="ListParagraph"/>
        <w:numPr>
          <w:ilvl w:val="0"/>
          <w:numId w:val="2"/>
        </w:numPr>
        <w:spacing w:after="80" w:line="268" w:lineRule="auto"/>
      </w:pPr>
      <w:r>
        <w:rPr>
          <w:b/>
          <w:bCs/>
        </w:rPr>
        <w:lastRenderedPageBreak/>
        <w:t xml:space="preserve">Single-stair multifamily guidance (Sec. 102): </w:t>
      </w:r>
      <w:r>
        <w:t>federal guidelines and pilot grants for point-access-block buildings up to six stories — an efficient small-footprint infill format well suited to volumetric modules.</w:t>
      </w:r>
    </w:p>
    <w:p w14:paraId="7B8EC6A8" w14:textId="77777777" w:rsidR="00AD1919" w:rsidRDefault="00000000">
      <w:pPr>
        <w:pStyle w:val="ListParagraph"/>
        <w:numPr>
          <w:ilvl w:val="0"/>
          <w:numId w:val="2"/>
        </w:numPr>
        <w:spacing w:after="80" w:line="268" w:lineRule="auto"/>
      </w:pPr>
      <w:r>
        <w:rPr>
          <w:b/>
          <w:bCs/>
        </w:rPr>
        <w:t xml:space="preserve">Environmental-review streamlining (Secs. 205–206) and CDBG reform (Secs. 204, 213): </w:t>
      </w:r>
      <w:r>
        <w:t>expanded NEPA categorical exclusions, delegation of reviews, CDBG eligibility for new affordable construction, and production-linked CDBG bonuses — all of which compress entitlement timelines and strengthen the value of modular’s schedule advantage.</w:t>
      </w:r>
    </w:p>
    <w:p w14:paraId="2F68183D" w14:textId="77777777" w:rsidR="00AD1919" w:rsidRDefault="00000000">
      <w:pPr>
        <w:pStyle w:val="ListParagraph"/>
        <w:numPr>
          <w:ilvl w:val="0"/>
          <w:numId w:val="2"/>
        </w:numPr>
        <w:spacing w:after="80" w:line="268" w:lineRule="auto"/>
      </w:pPr>
      <w:r>
        <w:rPr>
          <w:b/>
          <w:bCs/>
        </w:rPr>
        <w:t xml:space="preserve">FHA small-dollar mortgage pilot (Sec. 105): </w:t>
      </w:r>
      <w:r>
        <w:t>expands FHA-backed mortgages under $100,000, a financing channel relevant to entry-level manufactured and modular product.</w:t>
      </w:r>
    </w:p>
    <w:p w14:paraId="4776A3B7" w14:textId="77777777" w:rsidR="00AD1919" w:rsidRDefault="00000000">
      <w:pPr>
        <w:pStyle w:val="Heading2"/>
      </w:pPr>
      <w:bookmarkStart w:id="27" w:name="_Toc236397813"/>
      <w:r>
        <w:t>9.3 Impact Assessment: Mapping the Act to This Report’s Constraints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60"/>
        <w:gridCol w:w="3000"/>
      </w:tblGrid>
      <w:tr w:rsidR="00AD1919" w14:paraId="2A2B9EAA"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D738F3B" w14:textId="77777777" w:rsidR="00AD1919" w:rsidRDefault="00000000">
            <w:pPr>
              <w:spacing w:line="252" w:lineRule="auto"/>
            </w:pPr>
            <w:r>
              <w:rPr>
                <w:b/>
                <w:bCs/>
                <w:color w:val="FFFFFF"/>
                <w:sz w:val="19"/>
                <w:szCs w:val="19"/>
              </w:rPr>
              <w:t>Industry constraint (Sec. 11)</w:t>
            </w:r>
          </w:p>
        </w:tc>
        <w:tc>
          <w:tcPr>
            <w:tcW w:w="35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454A858D" w14:textId="77777777" w:rsidR="00AD1919" w:rsidRDefault="00000000">
            <w:pPr>
              <w:spacing w:line="252" w:lineRule="auto"/>
            </w:pPr>
            <w:r>
              <w:rPr>
                <w:b/>
                <w:bCs/>
                <w:color w:val="FFFFFF"/>
                <w:sz w:val="19"/>
                <w:szCs w:val="19"/>
              </w:rPr>
              <w:t>ROAD Act response</w:t>
            </w:r>
          </w:p>
        </w:tc>
        <w:tc>
          <w:tcPr>
            <w:tcW w:w="30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56F25820" w14:textId="77777777" w:rsidR="00AD1919" w:rsidRDefault="00000000">
            <w:pPr>
              <w:spacing w:line="252" w:lineRule="auto"/>
            </w:pPr>
            <w:r>
              <w:rPr>
                <w:b/>
                <w:bCs/>
                <w:color w:val="FFFFFF"/>
                <w:sz w:val="19"/>
                <w:szCs w:val="19"/>
              </w:rPr>
              <w:t>Likely effect</w:t>
            </w:r>
          </w:p>
        </w:tc>
      </w:tr>
      <w:tr w:rsidR="00AD1919" w14:paraId="16B833C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72ADD5" w14:textId="77777777" w:rsidR="00AD1919" w:rsidRDefault="00000000">
            <w:pPr>
              <w:spacing w:line="252" w:lineRule="auto"/>
            </w:pPr>
            <w:r>
              <w:rPr>
                <w:b/>
                <w:bCs/>
                <w:sz w:val="18"/>
                <w:szCs w:val="18"/>
              </w:rPr>
              <w:t>Financing friction</w:t>
            </w:r>
            <w:r>
              <w:rPr>
                <w:sz w:val="18"/>
                <w:szCs w:val="18"/>
              </w:rPr>
              <w:t xml:space="preserve"> (draw schedules, factory deposits)</w:t>
            </w:r>
          </w:p>
        </w:tc>
        <w:tc>
          <w:tcPr>
            <w:tcW w:w="3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883A88F" w14:textId="77777777" w:rsidR="00AD1919" w:rsidRDefault="00000000">
            <w:pPr>
              <w:spacing w:line="252" w:lineRule="auto"/>
            </w:pPr>
            <w:r>
              <w:rPr>
                <w:sz w:val="18"/>
                <w:szCs w:val="18"/>
              </w:rPr>
              <w:t>Sec. 302 HUD review and rulemaking on FHA construction-financing barriers</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DE64A2B" w14:textId="77777777" w:rsidR="00AD1919" w:rsidRDefault="00000000">
            <w:pPr>
              <w:spacing w:line="252" w:lineRule="auto"/>
            </w:pPr>
            <w:r>
              <w:rPr>
                <w:sz w:val="18"/>
                <w:szCs w:val="18"/>
              </w:rPr>
              <w:t>Most direct win for permanent modular; effect depends on rulemaking outcome (2027+)</w:t>
            </w:r>
          </w:p>
        </w:tc>
      </w:tr>
      <w:tr w:rsidR="00AD1919" w14:paraId="6D82910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3A64EAD" w14:textId="77777777" w:rsidR="00AD1919" w:rsidRDefault="00000000">
            <w:pPr>
              <w:spacing w:line="252" w:lineRule="auto"/>
            </w:pPr>
            <w:r>
              <w:rPr>
                <w:b/>
                <w:bCs/>
                <w:sz w:val="18"/>
                <w:szCs w:val="18"/>
              </w:rPr>
              <w:t>Permitting &amp; inspection complexity</w:t>
            </w:r>
          </w:p>
        </w:tc>
        <w:tc>
          <w:tcPr>
            <w:tcW w:w="3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E251B57" w14:textId="77777777" w:rsidR="00AD1919" w:rsidRDefault="00000000">
            <w:pPr>
              <w:spacing w:line="252" w:lineRule="auto"/>
            </w:pPr>
            <w:r>
              <w:rPr>
                <w:sz w:val="18"/>
                <w:szCs w:val="18"/>
              </w:rPr>
              <w:t>Innovation Fund, pattern-book grants, NEPA streamlining</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0969FF0" w14:textId="77777777" w:rsidR="00AD1919" w:rsidRDefault="00000000">
            <w:pPr>
              <w:spacing w:line="252" w:lineRule="auto"/>
            </w:pPr>
            <w:r>
              <w:rPr>
                <w:sz w:val="18"/>
                <w:szCs w:val="18"/>
              </w:rPr>
              <w:t>Incentive-based, not preemptive — gradual, jurisdiction-by-jurisdiction</w:t>
            </w:r>
          </w:p>
        </w:tc>
      </w:tr>
      <w:tr w:rsidR="00AD1919" w14:paraId="1149267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502A763" w14:textId="77777777" w:rsidR="00AD1919" w:rsidRDefault="00000000">
            <w:pPr>
              <w:spacing w:line="252" w:lineRule="auto"/>
            </w:pPr>
            <w:r>
              <w:rPr>
                <w:b/>
                <w:bCs/>
                <w:sz w:val="18"/>
                <w:szCs w:val="18"/>
              </w:rPr>
              <w:t>Zoning stigma</w:t>
            </w:r>
          </w:p>
        </w:tc>
        <w:tc>
          <w:tcPr>
            <w:tcW w:w="3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1DC65E5" w14:textId="77777777" w:rsidR="00AD1919" w:rsidRDefault="00000000">
            <w:pPr>
              <w:spacing w:line="252" w:lineRule="auto"/>
            </w:pPr>
            <w:r>
              <w:rPr>
                <w:sz w:val="18"/>
                <w:szCs w:val="18"/>
              </w:rPr>
              <w:t>Chassis elimination narrows the HUD-code vs. modular design gap; supply frameworks (Sec. 107)</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F3DCF5E" w14:textId="77777777" w:rsidR="00AD1919" w:rsidRDefault="00000000">
            <w:pPr>
              <w:spacing w:line="252" w:lineRule="auto"/>
            </w:pPr>
            <w:r>
              <w:rPr>
                <w:sz w:val="18"/>
                <w:szCs w:val="18"/>
              </w:rPr>
              <w:t>Slow perception change, but structural convergence begins</w:t>
            </w:r>
          </w:p>
        </w:tc>
      </w:tr>
      <w:tr w:rsidR="00AD1919" w14:paraId="71245D3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E544FA2" w14:textId="77777777" w:rsidR="00AD1919" w:rsidRDefault="00000000">
            <w:pPr>
              <w:spacing w:line="252" w:lineRule="auto"/>
            </w:pPr>
            <w:r>
              <w:rPr>
                <w:b/>
                <w:bCs/>
                <w:sz w:val="18"/>
                <w:szCs w:val="18"/>
              </w:rPr>
              <w:t>Fragmented building codes</w:t>
            </w:r>
          </w:p>
        </w:tc>
        <w:tc>
          <w:tcPr>
            <w:tcW w:w="3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37FD57D" w14:textId="77777777" w:rsidR="00AD1919" w:rsidRDefault="00000000">
            <w:pPr>
              <w:spacing w:line="252" w:lineRule="auto"/>
            </w:pPr>
            <w:r>
              <w:rPr>
                <w:sz w:val="18"/>
                <w:szCs w:val="18"/>
              </w:rPr>
              <w:t>Funded study of standardized modular building codes</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A2DFBDF" w14:textId="77777777" w:rsidR="00AD1919" w:rsidRDefault="00000000">
            <w:pPr>
              <w:spacing w:line="252" w:lineRule="auto"/>
            </w:pPr>
            <w:r>
              <w:rPr>
                <w:sz w:val="18"/>
                <w:szCs w:val="18"/>
              </w:rPr>
              <w:t>Study-stage only; MBI seeking a role in any uniform commercial code</w:t>
            </w:r>
          </w:p>
        </w:tc>
      </w:tr>
      <w:tr w:rsidR="00AD1919" w14:paraId="3035883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B192AED" w14:textId="77777777" w:rsidR="00AD1919" w:rsidRDefault="00000000">
            <w:pPr>
              <w:spacing w:line="252" w:lineRule="auto"/>
            </w:pPr>
            <w:r>
              <w:rPr>
                <w:b/>
                <w:bCs/>
                <w:sz w:val="18"/>
                <w:szCs w:val="18"/>
              </w:rPr>
              <w:t>Factory underutilization</w:t>
            </w:r>
          </w:p>
        </w:tc>
        <w:tc>
          <w:tcPr>
            <w:tcW w:w="3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F908A0F" w14:textId="77777777" w:rsidR="00AD1919" w:rsidRDefault="00000000">
            <w:pPr>
              <w:spacing w:line="252" w:lineRule="auto"/>
            </w:pPr>
            <w:r>
              <w:rPr>
                <w:sz w:val="18"/>
                <w:szCs w:val="18"/>
              </w:rPr>
              <w:t>Demand-side grants (CDBG, Innovation Fund, RESIDE conversions) favor repeatable pipelines</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70D319F" w14:textId="77777777" w:rsidR="00AD1919" w:rsidRDefault="00000000">
            <w:pPr>
              <w:spacing w:line="252" w:lineRule="auto"/>
            </w:pPr>
            <w:r>
              <w:rPr>
                <w:sz w:val="18"/>
                <w:szCs w:val="18"/>
              </w:rPr>
              <w:t>Indirect; helps pipeline visibility in grant-winning jurisdictions</w:t>
            </w:r>
          </w:p>
        </w:tc>
      </w:tr>
    </w:tbl>
    <w:p w14:paraId="10B86015" w14:textId="77777777" w:rsidR="00AD1919" w:rsidRDefault="00AD1919">
      <w:pPr>
        <w:spacing w:after="160"/>
      </w:pPr>
    </w:p>
    <w:p w14:paraId="0C4AC9E4" w14:textId="77777777" w:rsidR="00AD1919" w:rsidRDefault="00000000">
      <w:pPr>
        <w:spacing w:after="160" w:line="276" w:lineRule="auto"/>
      </w:pPr>
      <w:r>
        <w:rPr>
          <w:b/>
          <w:bCs/>
        </w:rPr>
        <w:t xml:space="preserve">Industry reception has been positive but watchful. </w:t>
      </w:r>
      <w:r>
        <w:t>The Modular Building Institute publicly welcomed the Act — particularly Sec. 302’s recognition of construction draw schedules as a financing barrier and the law’s clear distinction between code-built modular homes and HUD-code manufactured housing — while cautioning against subjecting modular homes to federal NSPIRE inspection standards on top of existing state and local codes, and requesting a seat in any uniform modular code development.</w:t>
      </w:r>
    </w:p>
    <w:p w14:paraId="2C2FF583" w14:textId="77777777" w:rsidR="00AD1919" w:rsidRDefault="00000000">
      <w:pPr>
        <w:pStyle w:val="Heading2"/>
      </w:pPr>
      <w:bookmarkStart w:id="28" w:name="_Toc236397814"/>
      <w:r>
        <w:t>9.4 Caveats and Timing</w:t>
      </w:r>
      <w:bookmarkEnd w:id="28"/>
    </w:p>
    <w:p w14:paraId="46EA7995" w14:textId="77777777" w:rsidR="00AD1919" w:rsidRDefault="00000000">
      <w:pPr>
        <w:pStyle w:val="ListParagraph"/>
        <w:numPr>
          <w:ilvl w:val="0"/>
          <w:numId w:val="2"/>
        </w:numPr>
        <w:spacing w:after="80" w:line="268" w:lineRule="auto"/>
      </w:pPr>
      <w:r>
        <w:rPr>
          <w:b/>
          <w:bCs/>
        </w:rPr>
        <w:t xml:space="preserve">No new money. </w:t>
      </w:r>
      <w:r>
        <w:t>The law reallocates and reauthorizes; it appropriates no significant net new housing funding. Its leverage is regulatory and incentive-based.</w:t>
      </w:r>
    </w:p>
    <w:p w14:paraId="2C471E8C" w14:textId="77777777" w:rsidR="00AD1919" w:rsidRDefault="00000000">
      <w:pPr>
        <w:pStyle w:val="ListParagraph"/>
        <w:numPr>
          <w:ilvl w:val="0"/>
          <w:numId w:val="2"/>
        </w:numPr>
        <w:spacing w:after="80" w:line="268" w:lineRule="auto"/>
      </w:pPr>
      <w:r>
        <w:rPr>
          <w:b/>
          <w:bCs/>
        </w:rPr>
        <w:t xml:space="preserve">Implementation lag. </w:t>
      </w:r>
      <w:r>
        <w:t>The operative mechanisms are HUD rulemakings, studies, and competitive grant cycles. Housing economists cautioned at enactment that measurable affordability effects are years away; realistic industry impact accrues over 2027–2030 — i.e., the back half of this report’s forecast window.</w:t>
      </w:r>
    </w:p>
    <w:p w14:paraId="3F6BBD65" w14:textId="77777777" w:rsidR="00AD1919" w:rsidRDefault="00000000">
      <w:pPr>
        <w:pStyle w:val="ListParagraph"/>
        <w:numPr>
          <w:ilvl w:val="0"/>
          <w:numId w:val="2"/>
        </w:numPr>
        <w:spacing w:after="80" w:line="268" w:lineRule="auto"/>
      </w:pPr>
      <w:r>
        <w:rPr>
          <w:b/>
          <w:bCs/>
        </w:rPr>
        <w:t xml:space="preserve">Chassis relief is conditional. </w:t>
      </w:r>
      <w:r>
        <w:t>Off-chassis HUD-code homes require HUD implementation and state-by-state opt-in; mandatory HUD energy standards under the same title could claw back part of the cost savings.</w:t>
      </w:r>
    </w:p>
    <w:p w14:paraId="234DB20C" w14:textId="77777777" w:rsidR="00AD1919" w:rsidRDefault="00000000">
      <w:pPr>
        <w:pStyle w:val="ListParagraph"/>
        <w:numPr>
          <w:ilvl w:val="0"/>
          <w:numId w:val="2"/>
        </w:numPr>
        <w:spacing w:after="80" w:line="268" w:lineRule="auto"/>
      </w:pPr>
      <w:r>
        <w:rPr>
          <w:b/>
          <w:bCs/>
        </w:rPr>
        <w:t xml:space="preserve">Local control endures. </w:t>
      </w:r>
      <w:r>
        <w:t>The Act incentivizes but does not preempt local zoning; adoption of pattern books and single-stair formats will be uneven.</w:t>
      </w:r>
    </w:p>
    <w:p w14:paraId="76B42E7A" w14:textId="77777777" w:rsidR="00AD1919" w:rsidRDefault="00000000">
      <w:pPr>
        <w:pStyle w:val="ListParagraph"/>
        <w:numPr>
          <w:ilvl w:val="0"/>
          <w:numId w:val="2"/>
        </w:numPr>
        <w:spacing w:after="80" w:line="268" w:lineRule="auto"/>
      </w:pPr>
      <w:r>
        <w:rPr>
          <w:b/>
          <w:bCs/>
        </w:rPr>
        <w:lastRenderedPageBreak/>
        <w:t xml:space="preserve">Macro still dominates. </w:t>
      </w:r>
      <w:r>
        <w:t>Interest rates and tariff policy (Sec. 11.1) remain the larger near-term swing factors for both manufactured-housing shipments and modular pipelines.</w:t>
      </w:r>
    </w:p>
    <w:p w14:paraId="79680065" w14:textId="77777777" w:rsidR="00AD1919" w:rsidRDefault="00000000">
      <w:pPr>
        <w:spacing w:after="160" w:line="276" w:lineRule="auto"/>
      </w:pPr>
      <w:r>
        <w:rPr>
          <w:b/>
          <w:bCs/>
        </w:rPr>
        <w:t xml:space="preserve">Net assessment. </w:t>
      </w:r>
      <w:r>
        <w:t>The ROAD to Housing Act is the most favorable federal policy development for factory-built construction in decades, but it strengthens the upside scenario in Section 13.2 rather than changing the base case. The clearest direct beneficiaries, in order: HUD-code manufacturers (Clayton, Champion, Cavco), which gain design freedom and financing headroom; modular multifamily and affordable-housing producers, which gain a credible path to easier FHA construction financing and grant-favored demand; and developers built around repeatable, pre-approved designs. Commercial relocatable fleet operators are largely unaffected.</w:t>
      </w:r>
    </w:p>
    <w:p w14:paraId="25E4091F" w14:textId="77777777" w:rsidR="00AD1919" w:rsidRDefault="00000000">
      <w:pPr>
        <w:spacing w:after="180" w:line="268" w:lineRule="auto"/>
      </w:pPr>
      <w:r>
        <w:rPr>
          <w:i/>
          <w:iCs/>
          <w:color w:val="666666"/>
          <w:sz w:val="18"/>
          <w:szCs w:val="18"/>
        </w:rPr>
        <w:t>Sources: Bipartisan Policy Center final-bill analysis (2026); NPR enactment coverage (July 2026); MBI statement on the ROAD to Housing Act; Ivory Innovations analysis of factory-built provisions. See Section 15, refs 13–16.</w:t>
      </w:r>
    </w:p>
    <w:p w14:paraId="383EA96D" w14:textId="77777777" w:rsidR="00AD1919" w:rsidRDefault="00000000">
      <w:r>
        <w:br w:type="page"/>
      </w:r>
    </w:p>
    <w:p w14:paraId="56F69928" w14:textId="77777777" w:rsidR="00AD1919" w:rsidRDefault="00000000">
      <w:pPr>
        <w:pStyle w:val="Heading1"/>
      </w:pPr>
      <w:bookmarkStart w:id="29" w:name="_Toc236397815"/>
      <w:r>
        <w:lastRenderedPageBreak/>
        <w:t>10. Industry Economics &amp; Cost Structure</w:t>
      </w:r>
      <w:bookmarkEnd w:id="29"/>
    </w:p>
    <w:p w14:paraId="4D5E7636" w14:textId="77777777" w:rsidR="00AD1919" w:rsidRDefault="00000000">
      <w:pPr>
        <w:spacing w:after="160" w:line="276" w:lineRule="auto"/>
      </w:pPr>
      <w:r>
        <w:t>The economic promise of modular is schedule compression, lower waste, fewer weather delays, improved and more consistent quality, and reduced onsite labor. The economic problem is utilization.</w:t>
      </w:r>
    </w:p>
    <w:p w14:paraId="3BE9D7EC" w14:textId="77777777" w:rsidR="00AD1919" w:rsidRDefault="00000000">
      <w:pPr>
        <w:spacing w:after="160" w:line="276" w:lineRule="auto"/>
      </w:pPr>
      <w:r>
        <w:t xml:space="preserve">Factories carry high fixed costs and require stable, repeatable pipelines to stay efficient. </w:t>
      </w:r>
      <w:r>
        <w:rPr>
          <w:b/>
          <w:bCs/>
        </w:rPr>
        <w:t>When demand softens, fixed overhead erodes margins quickly</w:t>
      </w:r>
      <w:r>
        <w:t xml:space="preserve"> — the dynamic behind several well-publicized factory pauses and restructurings. The leasing-based commercial segment is more resilient because revenue is recurring and rate-driven, which is why WillScot and McGrath sustain high EBITDA margins even when utilization dips.</w:t>
      </w:r>
    </w:p>
    <w:p w14:paraId="150D5E91" w14:textId="77777777" w:rsidR="00AD1919" w:rsidRDefault="00000000">
      <w:pPr>
        <w:pStyle w:val="Heading2"/>
      </w:pPr>
      <w:bookmarkStart w:id="30" w:name="_Toc236397816"/>
      <w:r>
        <w:t>10.1 Characteristics of Successful Operators</w:t>
      </w:r>
      <w:bookmarkEnd w:id="30"/>
    </w:p>
    <w:p w14:paraId="3CF18E62" w14:textId="77777777" w:rsidR="00AD1919" w:rsidRDefault="00000000">
      <w:pPr>
        <w:pStyle w:val="ListParagraph"/>
        <w:numPr>
          <w:ilvl w:val="0"/>
          <w:numId w:val="2"/>
        </w:numPr>
        <w:spacing w:after="80" w:line="268" w:lineRule="auto"/>
      </w:pPr>
      <w:r>
        <w:t>Repeatable, standardized designs that amortize engineering across many units.</w:t>
      </w:r>
    </w:p>
    <w:p w14:paraId="19F017CD" w14:textId="77777777" w:rsidR="00AD1919" w:rsidRDefault="00000000">
      <w:pPr>
        <w:pStyle w:val="ListParagraph"/>
        <w:numPr>
          <w:ilvl w:val="0"/>
          <w:numId w:val="2"/>
        </w:numPr>
        <w:spacing w:after="80" w:line="268" w:lineRule="auto"/>
      </w:pPr>
      <w:r>
        <w:t>Integrated manufacturing and installation (controlling the “last-mile” set).</w:t>
      </w:r>
    </w:p>
    <w:p w14:paraId="2ACDD0EA" w14:textId="77777777" w:rsidR="00AD1919" w:rsidRDefault="00000000">
      <w:pPr>
        <w:pStyle w:val="ListParagraph"/>
        <w:numPr>
          <w:ilvl w:val="0"/>
          <w:numId w:val="2"/>
        </w:numPr>
        <w:spacing w:after="80" w:line="268" w:lineRule="auto"/>
      </w:pPr>
      <w:r>
        <w:t>Strong, recurring developer/owner relationships and pipeline visibility.</w:t>
      </w:r>
    </w:p>
    <w:p w14:paraId="34D478C0" w14:textId="77777777" w:rsidR="00AD1919" w:rsidRDefault="00000000">
      <w:pPr>
        <w:pStyle w:val="ListParagraph"/>
        <w:numPr>
          <w:ilvl w:val="0"/>
          <w:numId w:val="2"/>
        </w:numPr>
        <w:spacing w:after="80" w:line="268" w:lineRule="auto"/>
      </w:pPr>
      <w:r>
        <w:t>Access to financing and balance-sheet strength to survive demand troughs.</w:t>
      </w:r>
    </w:p>
    <w:p w14:paraId="56292C20" w14:textId="77777777" w:rsidR="00AD1919" w:rsidRDefault="00000000">
      <w:pPr>
        <w:pStyle w:val="ListParagraph"/>
        <w:numPr>
          <w:ilvl w:val="0"/>
          <w:numId w:val="2"/>
        </w:numPr>
        <w:spacing w:after="80" w:line="268" w:lineRule="auto"/>
      </w:pPr>
      <w:r>
        <w:t>Geographic density to control freight and craning costs.</w:t>
      </w:r>
    </w:p>
    <w:p w14:paraId="048EA151" w14:textId="77777777" w:rsidR="00AD1919" w:rsidRDefault="00000000">
      <w:pPr>
        <w:pStyle w:val="Heading2"/>
      </w:pPr>
      <w:bookmarkStart w:id="31" w:name="_Toc236397817"/>
      <w:r>
        <w:t>10.2 Modular vs. Conventional — Trade-offs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D1919" w14:paraId="40DE32FC"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6ECF6429" w14:textId="77777777" w:rsidR="00AD1919" w:rsidRDefault="00000000">
            <w:pPr>
              <w:spacing w:line="252" w:lineRule="auto"/>
            </w:pPr>
            <w:r>
              <w:rPr>
                <w:b/>
                <w:bCs/>
                <w:color w:val="FFFFFF"/>
                <w:sz w:val="19"/>
                <w:szCs w:val="19"/>
              </w:rPr>
              <w:t>Dimension</w:t>
            </w:r>
          </w:p>
        </w:tc>
        <w:tc>
          <w:tcPr>
            <w:tcW w:w="312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5425A87" w14:textId="77777777" w:rsidR="00AD1919" w:rsidRDefault="00000000">
            <w:pPr>
              <w:spacing w:line="252" w:lineRule="auto"/>
            </w:pPr>
            <w:r>
              <w:rPr>
                <w:b/>
                <w:bCs/>
                <w:color w:val="FFFFFF"/>
                <w:sz w:val="19"/>
                <w:szCs w:val="19"/>
              </w:rPr>
              <w:t>Modular advantage</w:t>
            </w:r>
          </w:p>
        </w:tc>
        <w:tc>
          <w:tcPr>
            <w:tcW w:w="312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7D97BA97" w14:textId="77777777" w:rsidR="00AD1919" w:rsidRDefault="00000000">
            <w:pPr>
              <w:spacing w:line="252" w:lineRule="auto"/>
            </w:pPr>
            <w:r>
              <w:rPr>
                <w:b/>
                <w:bCs/>
                <w:color w:val="FFFFFF"/>
                <w:sz w:val="19"/>
                <w:szCs w:val="19"/>
              </w:rPr>
              <w:t>Modular constraint</w:t>
            </w:r>
          </w:p>
        </w:tc>
      </w:tr>
      <w:tr w:rsidR="00AD1919" w14:paraId="4D9ECFF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756B867" w14:textId="77777777" w:rsidR="00AD1919" w:rsidRDefault="00000000">
            <w:pPr>
              <w:spacing w:line="252" w:lineRule="auto"/>
            </w:pPr>
            <w:r>
              <w:rPr>
                <w:b/>
                <w:bCs/>
                <w:sz w:val="19"/>
                <w:szCs w:val="19"/>
              </w:rPr>
              <w:t>Schedule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4ED0C80" w14:textId="77777777" w:rsidR="00AD1919" w:rsidRDefault="00000000">
            <w:pPr>
              <w:spacing w:line="252" w:lineRule="auto"/>
            </w:pPr>
            <w:r>
              <w:rPr>
                <w:sz w:val="19"/>
                <w:szCs w:val="19"/>
              </w:rPr>
              <w:t>Parallel site + factory work; up to ~50% faster</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5057679" w14:textId="77777777" w:rsidR="00AD1919" w:rsidRDefault="00000000">
            <w:pPr>
              <w:spacing w:line="252" w:lineRule="auto"/>
            </w:pPr>
            <w:r>
              <w:rPr>
                <w:sz w:val="19"/>
                <w:szCs w:val="19"/>
              </w:rPr>
              <w:t>Front-loaded design freeze required</w:t>
            </w:r>
          </w:p>
        </w:tc>
      </w:tr>
      <w:tr w:rsidR="00AD1919" w14:paraId="43D6FCE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09DA9B9" w14:textId="77777777" w:rsidR="00AD1919" w:rsidRDefault="00000000">
            <w:pPr>
              <w:spacing w:line="252" w:lineRule="auto"/>
            </w:pPr>
            <w:r>
              <w:rPr>
                <w:b/>
                <w:bCs/>
                <w:sz w:val="19"/>
                <w:szCs w:val="19"/>
              </w:rPr>
              <w:t>Labor</w:t>
            </w:r>
          </w:p>
        </w:tc>
        <w:tc>
          <w:tcPr>
            <w:tcW w:w="312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B84FA5F" w14:textId="77777777" w:rsidR="00AD1919" w:rsidRDefault="00000000">
            <w:pPr>
              <w:spacing w:line="252" w:lineRule="auto"/>
            </w:pPr>
            <w:r>
              <w:rPr>
                <w:sz w:val="19"/>
                <w:szCs w:val="19"/>
              </w:rPr>
              <w:t>Less onsite labor; up to ~40% less manpower</w:t>
            </w:r>
          </w:p>
        </w:tc>
        <w:tc>
          <w:tcPr>
            <w:tcW w:w="312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5785D205" w14:textId="77777777" w:rsidR="00AD1919" w:rsidRDefault="00000000">
            <w:pPr>
              <w:spacing w:line="252" w:lineRule="auto"/>
            </w:pPr>
            <w:r>
              <w:rPr>
                <w:sz w:val="19"/>
                <w:szCs w:val="19"/>
              </w:rPr>
              <w:t>Skilled factory workforce needed</w:t>
            </w:r>
          </w:p>
        </w:tc>
      </w:tr>
      <w:tr w:rsidR="00AD1919" w14:paraId="3B18463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9B12A1F" w14:textId="77777777" w:rsidR="00AD1919" w:rsidRDefault="00000000">
            <w:pPr>
              <w:spacing w:line="252" w:lineRule="auto"/>
            </w:pPr>
            <w:r>
              <w:rPr>
                <w:b/>
                <w:bCs/>
                <w:sz w:val="19"/>
                <w:szCs w:val="19"/>
              </w:rPr>
              <w:t>Quality / waste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CA9B8F0" w14:textId="77777777" w:rsidR="00AD1919" w:rsidRDefault="00000000">
            <w:pPr>
              <w:spacing w:line="252" w:lineRule="auto"/>
            </w:pPr>
            <w:r>
              <w:rPr>
                <w:sz w:val="19"/>
                <w:szCs w:val="19"/>
              </w:rPr>
              <w:t>Controlled environment; less rework &amp; waste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288236" w14:textId="77777777" w:rsidR="00AD1919" w:rsidRDefault="00000000">
            <w:pPr>
              <w:spacing w:line="252" w:lineRule="auto"/>
            </w:pPr>
            <w:r>
              <w:rPr>
                <w:sz w:val="19"/>
                <w:szCs w:val="19"/>
              </w:rPr>
              <w:t>Defects replicate at scale if uncaught</w:t>
            </w:r>
          </w:p>
        </w:tc>
      </w:tr>
      <w:tr w:rsidR="00AD1919" w14:paraId="77F832F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D4A2B02" w14:textId="77777777" w:rsidR="00AD1919" w:rsidRDefault="00000000">
            <w:pPr>
              <w:spacing w:line="252" w:lineRule="auto"/>
            </w:pPr>
            <w:r>
              <w:rPr>
                <w:b/>
                <w:bCs/>
                <w:sz w:val="19"/>
                <w:szCs w:val="19"/>
              </w:rPr>
              <w:t>Cost</w:t>
            </w:r>
          </w:p>
        </w:tc>
        <w:tc>
          <w:tcPr>
            <w:tcW w:w="312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160B7B5" w14:textId="77777777" w:rsidR="00AD1919" w:rsidRDefault="00000000">
            <w:pPr>
              <w:spacing w:line="252" w:lineRule="auto"/>
            </w:pPr>
            <w:r>
              <w:rPr>
                <w:sz w:val="19"/>
                <w:szCs w:val="19"/>
              </w:rPr>
              <w:t>Lower carrying cost; predictability</w:t>
            </w:r>
          </w:p>
        </w:tc>
        <w:tc>
          <w:tcPr>
            <w:tcW w:w="312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46745546" w14:textId="77777777" w:rsidR="00AD1919" w:rsidRDefault="00000000">
            <w:pPr>
              <w:spacing w:line="252" w:lineRule="auto"/>
            </w:pPr>
            <w:r>
              <w:rPr>
                <w:sz w:val="19"/>
                <w:szCs w:val="19"/>
              </w:rPr>
              <w:t>Freight, craning, low-utilization risk</w:t>
            </w:r>
          </w:p>
        </w:tc>
      </w:tr>
      <w:tr w:rsidR="00AD1919" w14:paraId="2B68B0B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7C769ED" w14:textId="77777777" w:rsidR="00AD1919" w:rsidRDefault="00000000">
            <w:pPr>
              <w:spacing w:line="252" w:lineRule="auto"/>
            </w:pPr>
            <w:r>
              <w:rPr>
                <w:b/>
                <w:bCs/>
                <w:sz w:val="19"/>
                <w:szCs w:val="19"/>
              </w:rPr>
              <w:t>Customization</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8374DE4" w14:textId="77777777" w:rsidR="00AD1919" w:rsidRDefault="00000000">
            <w:pPr>
              <w:spacing w:line="252" w:lineRule="auto"/>
            </w:pPr>
            <w:r>
              <w:rPr>
                <w:sz w:val="19"/>
                <w:szCs w:val="19"/>
              </w:rPr>
              <w:t>Strong for repeatable layouts</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CB3DE6C" w14:textId="77777777" w:rsidR="00AD1919" w:rsidRDefault="00000000">
            <w:pPr>
              <w:spacing w:line="252" w:lineRule="auto"/>
            </w:pPr>
            <w:r>
              <w:rPr>
                <w:sz w:val="19"/>
                <w:szCs w:val="19"/>
              </w:rPr>
              <w:t>Weak for highly bespoke designs</w:t>
            </w:r>
          </w:p>
        </w:tc>
      </w:tr>
    </w:tbl>
    <w:p w14:paraId="6A507ABA" w14:textId="77777777" w:rsidR="00AD1919" w:rsidRDefault="00000000">
      <w:r>
        <w:br w:type="page"/>
      </w:r>
    </w:p>
    <w:p w14:paraId="2C812363" w14:textId="77777777" w:rsidR="00AD1919" w:rsidRDefault="00000000">
      <w:pPr>
        <w:pStyle w:val="Heading1"/>
      </w:pPr>
      <w:bookmarkStart w:id="32" w:name="_Toc236397818"/>
      <w:r>
        <w:lastRenderedPageBreak/>
        <w:t>11. Key Risks &amp; Constraints</w:t>
      </w:r>
      <w:bookmarkEnd w:id="32"/>
    </w:p>
    <w:p w14:paraId="7137636E" w14:textId="77777777" w:rsidR="00AD1919" w:rsidRDefault="00000000">
      <w:pPr>
        <w:spacing w:after="160" w:line="276" w:lineRule="auto"/>
      </w:pPr>
      <w:r>
        <w:t>The industry’s constraints are as structural as its tailwinds. Most are addressable but slow to change, which is why adoption has plateaued in residential even as commercial modular grows.</w:t>
      </w:r>
    </w:p>
    <w:p w14:paraId="74EE6453" w14:textId="77777777" w:rsidR="00AD1919" w:rsidRDefault="00000000">
      <w:pPr>
        <w:pStyle w:val="ListParagraph"/>
        <w:numPr>
          <w:ilvl w:val="0"/>
          <w:numId w:val="3"/>
        </w:numPr>
        <w:spacing w:after="80" w:line="268" w:lineRule="auto"/>
      </w:pPr>
      <w:r>
        <w:rPr>
          <w:b/>
          <w:bCs/>
        </w:rPr>
        <w:t xml:space="preserve">Permitting &amp; inspection complexity: </w:t>
      </w:r>
      <w:r>
        <w:t>local code interpretation and inspection of factory-built assemblies remain inconsistent across jurisdictions.</w:t>
      </w:r>
    </w:p>
    <w:p w14:paraId="788BBD9C" w14:textId="77777777" w:rsidR="00AD1919" w:rsidRDefault="00000000">
      <w:pPr>
        <w:pStyle w:val="ListParagraph"/>
        <w:numPr>
          <w:ilvl w:val="0"/>
          <w:numId w:val="3"/>
        </w:numPr>
        <w:spacing w:after="80" w:line="268" w:lineRule="auto"/>
      </w:pPr>
      <w:r>
        <w:rPr>
          <w:b/>
          <w:bCs/>
        </w:rPr>
        <w:t xml:space="preserve">Zoning stigma: </w:t>
      </w:r>
      <w:r>
        <w:t>perception issues, particularly where modular is conflated with manufactured housing.</w:t>
      </w:r>
    </w:p>
    <w:p w14:paraId="23F5F472" w14:textId="77777777" w:rsidR="00AD1919" w:rsidRDefault="00000000">
      <w:pPr>
        <w:pStyle w:val="ListParagraph"/>
        <w:numPr>
          <w:ilvl w:val="0"/>
          <w:numId w:val="3"/>
        </w:numPr>
        <w:spacing w:after="80" w:line="268" w:lineRule="auto"/>
      </w:pPr>
      <w:r>
        <w:rPr>
          <w:b/>
          <w:bCs/>
        </w:rPr>
        <w:t xml:space="preserve">Financing friction: </w:t>
      </w:r>
      <w:r>
        <w:t>lenders are often uncomfortable with large upfront factory deposits and milestone structures that differ from site-built draws.</w:t>
      </w:r>
    </w:p>
    <w:p w14:paraId="2DAF8D1C" w14:textId="77777777" w:rsidR="00AD1919" w:rsidRDefault="00000000">
      <w:pPr>
        <w:pStyle w:val="ListParagraph"/>
        <w:numPr>
          <w:ilvl w:val="0"/>
          <w:numId w:val="3"/>
        </w:numPr>
        <w:spacing w:after="80" w:line="268" w:lineRule="auto"/>
      </w:pPr>
      <w:r>
        <w:rPr>
          <w:b/>
          <w:bCs/>
        </w:rPr>
        <w:t xml:space="preserve">Transport limits: </w:t>
      </w:r>
      <w:r>
        <w:t>module dimensions and freight distance cap design and raise cost beyond a certain radius.</w:t>
      </w:r>
    </w:p>
    <w:p w14:paraId="42C540E4" w14:textId="77777777" w:rsidR="00AD1919" w:rsidRDefault="00000000">
      <w:pPr>
        <w:pStyle w:val="ListParagraph"/>
        <w:numPr>
          <w:ilvl w:val="0"/>
          <w:numId w:val="3"/>
        </w:numPr>
        <w:spacing w:after="80" w:line="268" w:lineRule="auto"/>
      </w:pPr>
      <w:r>
        <w:rPr>
          <w:b/>
          <w:bCs/>
        </w:rPr>
        <w:t xml:space="preserve">Factory underutilization: </w:t>
      </w:r>
      <w:r>
        <w:t>the central margin risk; fixed costs punish pipeline gaps.</w:t>
      </w:r>
    </w:p>
    <w:p w14:paraId="24573CE0" w14:textId="77777777" w:rsidR="00AD1919" w:rsidRDefault="00000000">
      <w:pPr>
        <w:pStyle w:val="ListParagraph"/>
        <w:numPr>
          <w:ilvl w:val="0"/>
          <w:numId w:val="3"/>
        </w:numPr>
        <w:spacing w:after="80" w:line="268" w:lineRule="auto"/>
      </w:pPr>
      <w:r>
        <w:rPr>
          <w:b/>
          <w:bCs/>
        </w:rPr>
        <w:t xml:space="preserve">Material volatility &amp; tariffs: </w:t>
      </w:r>
      <w:r>
        <w:t>concentrated procurement amplifies input-cost shocks (see below).</w:t>
      </w:r>
    </w:p>
    <w:p w14:paraId="41C7333E" w14:textId="77777777" w:rsidR="00AD1919" w:rsidRDefault="00000000">
      <w:pPr>
        <w:pStyle w:val="ListParagraph"/>
        <w:numPr>
          <w:ilvl w:val="0"/>
          <w:numId w:val="3"/>
        </w:numPr>
        <w:spacing w:after="80" w:line="268" w:lineRule="auto"/>
      </w:pPr>
      <w:r>
        <w:rPr>
          <w:b/>
          <w:bCs/>
        </w:rPr>
        <w:t xml:space="preserve">Project customization: </w:t>
      </w:r>
      <w:r>
        <w:t>bespoke requirements erode the repeatability that makes modular economic.</w:t>
      </w:r>
    </w:p>
    <w:p w14:paraId="1205B182" w14:textId="77777777" w:rsidR="00AD1919" w:rsidRDefault="00000000">
      <w:pPr>
        <w:pStyle w:val="ListParagraph"/>
        <w:numPr>
          <w:ilvl w:val="0"/>
          <w:numId w:val="3"/>
        </w:numPr>
        <w:spacing w:after="80" w:line="268" w:lineRule="auto"/>
      </w:pPr>
      <w:r>
        <w:rPr>
          <w:b/>
          <w:bCs/>
        </w:rPr>
        <w:t xml:space="preserve">Coordination failures: </w:t>
      </w:r>
      <w:r>
        <w:t>misalignment between designers, factories, GCs, and owners can negate schedule gains.</w:t>
      </w:r>
    </w:p>
    <w:p w14:paraId="7F7795D9" w14:textId="77777777" w:rsidR="00AD1919" w:rsidRDefault="00000000">
      <w:pPr>
        <w:pStyle w:val="Heading2"/>
      </w:pPr>
      <w:bookmarkStart w:id="33" w:name="_Toc236397819"/>
      <w:r>
        <w:t>11.1 Tariff &amp; Materials Exposure</w:t>
      </w:r>
      <w:bookmarkEnd w:id="33"/>
    </w:p>
    <w:p w14:paraId="29BCACEE" w14:textId="77777777" w:rsidR="00AD1919" w:rsidRDefault="00000000">
      <w:pPr>
        <w:spacing w:after="160" w:line="276" w:lineRule="auto"/>
      </w:pPr>
      <w:r>
        <w:t xml:space="preserve">MBI has specifically warned that tariffs on </w:t>
      </w:r>
      <w:r>
        <w:rPr>
          <w:b/>
          <w:bCs/>
        </w:rPr>
        <w:t>steel, lumber, aluminum, mechanical systems, and prefabricated components</w:t>
      </w:r>
      <w:r>
        <w:t xml:space="preserve"> raise input costs and weaken modular’s affordability advantage — the very value proposition that drives adoption. Because modular concentrates material purchasing, input-cost shocks hit the model faster than they hit dispersed site-built procurement.</w:t>
      </w:r>
    </w:p>
    <w:p w14:paraId="4642ED1E" w14:textId="77777777" w:rsidR="00AD1919" w:rsidRDefault="00000000">
      <w:pPr>
        <w:spacing w:after="180" w:line="268" w:lineRule="auto"/>
      </w:pPr>
      <w:r>
        <w:rPr>
          <w:i/>
          <w:iCs/>
          <w:color w:val="666666"/>
          <w:sz w:val="18"/>
          <w:szCs w:val="18"/>
        </w:rPr>
        <w:t>Source: MBI policy position on tariffs and their impact on modular construction (2025).</w:t>
      </w:r>
    </w:p>
    <w:p w14:paraId="108F7CC1" w14:textId="77777777" w:rsidR="00AD1919" w:rsidRDefault="00000000">
      <w:r>
        <w:br w:type="page"/>
      </w:r>
    </w:p>
    <w:p w14:paraId="6BB1BE52" w14:textId="77777777" w:rsidR="00AD1919" w:rsidRDefault="00000000">
      <w:pPr>
        <w:pStyle w:val="Heading1"/>
      </w:pPr>
      <w:bookmarkStart w:id="34" w:name="_Toc236397820"/>
      <w:r>
        <w:lastRenderedPageBreak/>
        <w:t>12. SWOT Summary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D1919" w14:paraId="78AEE03D"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1CDF3133" w14:textId="77777777" w:rsidR="00AD1919" w:rsidRDefault="00000000">
            <w:pPr>
              <w:spacing w:line="252" w:lineRule="auto"/>
            </w:pPr>
            <w:r>
              <w:rPr>
                <w:b/>
                <w:bCs/>
                <w:color w:val="FFFFFF"/>
                <w:sz w:val="19"/>
                <w:szCs w:val="19"/>
              </w:rPr>
              <w:t>Strengths</w:t>
            </w:r>
          </w:p>
        </w:tc>
        <w:tc>
          <w:tcPr>
            <w:tcW w:w="468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396F2A19" w14:textId="77777777" w:rsidR="00AD1919" w:rsidRDefault="00000000">
            <w:pPr>
              <w:spacing w:line="252" w:lineRule="auto"/>
            </w:pPr>
            <w:r>
              <w:rPr>
                <w:b/>
                <w:bCs/>
                <w:color w:val="FFFFFF"/>
                <w:sz w:val="19"/>
                <w:szCs w:val="19"/>
              </w:rPr>
              <w:t>Weaknesses</w:t>
            </w:r>
          </w:p>
        </w:tc>
      </w:tr>
      <w:tr w:rsidR="00AD1919" w14:paraId="3751007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7DD7839" w14:textId="77777777" w:rsidR="00AD1919" w:rsidRDefault="00000000">
            <w:pPr>
              <w:spacing w:line="252" w:lineRule="auto"/>
            </w:pPr>
            <w:r>
              <w:rPr>
                <w:b/>
                <w:bCs/>
                <w:sz w:val="19"/>
                <w:szCs w:val="19"/>
              </w:rPr>
              <w:t>Speed-to-market and schedule certainty</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65A0A7C" w14:textId="77777777" w:rsidR="00AD1919" w:rsidRDefault="00000000">
            <w:pPr>
              <w:spacing w:line="252" w:lineRule="auto"/>
            </w:pPr>
            <w:r>
              <w:rPr>
                <w:sz w:val="19"/>
                <w:szCs w:val="19"/>
              </w:rPr>
              <w:t>High fixed costs; utilization-dependent margins</w:t>
            </w:r>
          </w:p>
        </w:tc>
      </w:tr>
      <w:tr w:rsidR="00AD1919" w14:paraId="7CC44BA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398C2276" w14:textId="77777777" w:rsidR="00AD1919" w:rsidRDefault="00000000">
            <w:pPr>
              <w:spacing w:line="252" w:lineRule="auto"/>
            </w:pPr>
            <w:r>
              <w:rPr>
                <w:b/>
                <w:bCs/>
                <w:sz w:val="19"/>
                <w:szCs w:val="19"/>
              </w:rPr>
              <w:t>Reduced onsite labor dependence</w:t>
            </w:r>
          </w:p>
        </w:tc>
        <w:tc>
          <w:tcPr>
            <w:tcW w:w="468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5012D00C" w14:textId="77777777" w:rsidR="00AD1919" w:rsidRDefault="00000000">
            <w:pPr>
              <w:spacing w:line="252" w:lineRule="auto"/>
            </w:pPr>
            <w:r>
              <w:rPr>
                <w:sz w:val="19"/>
                <w:szCs w:val="19"/>
              </w:rPr>
              <w:t>Transport/craning limits and freight cost</w:t>
            </w:r>
          </w:p>
        </w:tc>
      </w:tr>
      <w:tr w:rsidR="00AD1919" w14:paraId="4FA4BC9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1962F37" w14:textId="77777777" w:rsidR="00AD1919" w:rsidRDefault="00000000">
            <w:pPr>
              <w:spacing w:line="252" w:lineRule="auto"/>
            </w:pPr>
            <w:r>
              <w:rPr>
                <w:b/>
                <w:bCs/>
                <w:sz w:val="19"/>
                <w:szCs w:val="19"/>
              </w:rPr>
              <w:t>Quality control and lower waste</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99E0EA5" w14:textId="77777777" w:rsidR="00AD1919" w:rsidRDefault="00000000">
            <w:pPr>
              <w:spacing w:line="252" w:lineRule="auto"/>
            </w:pPr>
            <w:r>
              <w:rPr>
                <w:sz w:val="19"/>
                <w:szCs w:val="19"/>
              </w:rPr>
              <w:t>Design-freeze and customization constraints</w:t>
            </w:r>
          </w:p>
        </w:tc>
      </w:tr>
      <w:tr w:rsidR="00AD1919" w14:paraId="14B36F6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7DE3AEDD" w14:textId="77777777" w:rsidR="00AD1919" w:rsidRDefault="00000000">
            <w:pPr>
              <w:spacing w:line="252" w:lineRule="auto"/>
            </w:pPr>
            <w:r>
              <w:rPr>
                <w:b/>
                <w:bCs/>
                <w:sz w:val="19"/>
                <w:szCs w:val="19"/>
              </w:rPr>
              <w:t>Recurring, rate-driven leasing economics (commercial)</w:t>
            </w:r>
          </w:p>
        </w:tc>
        <w:tc>
          <w:tcPr>
            <w:tcW w:w="468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2B85577" w14:textId="77777777" w:rsidR="00AD1919" w:rsidRDefault="00000000">
            <w:pPr>
              <w:spacing w:line="252" w:lineRule="auto"/>
            </w:pPr>
            <w:r>
              <w:rPr>
                <w:sz w:val="19"/>
                <w:szCs w:val="19"/>
              </w:rPr>
              <w:t>Financing and permitting friction</w:t>
            </w:r>
          </w:p>
        </w:tc>
      </w:tr>
    </w:tbl>
    <w:p w14:paraId="42C58C99" w14:textId="77777777" w:rsidR="00AD1919" w:rsidRDefault="00AD191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D1919" w14:paraId="37355E83"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FAF9CAE" w14:textId="77777777" w:rsidR="00AD1919" w:rsidRDefault="00000000">
            <w:pPr>
              <w:spacing w:line="252" w:lineRule="auto"/>
            </w:pPr>
            <w:r>
              <w:rPr>
                <w:b/>
                <w:bCs/>
                <w:color w:val="FFFFFF"/>
                <w:sz w:val="19"/>
                <w:szCs w:val="19"/>
              </w:rPr>
              <w:t>Opportunities</w:t>
            </w:r>
          </w:p>
        </w:tc>
        <w:tc>
          <w:tcPr>
            <w:tcW w:w="468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7F1A838B" w14:textId="77777777" w:rsidR="00AD1919" w:rsidRDefault="00000000">
            <w:pPr>
              <w:spacing w:line="252" w:lineRule="auto"/>
            </w:pPr>
            <w:r>
              <w:rPr>
                <w:b/>
                <w:bCs/>
                <w:color w:val="FFFFFF"/>
                <w:sz w:val="19"/>
                <w:szCs w:val="19"/>
              </w:rPr>
              <w:t>Threats</w:t>
            </w:r>
          </w:p>
        </w:tc>
      </w:tr>
      <w:tr w:rsidR="00AD1919" w14:paraId="78B4744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5779A8A" w14:textId="77777777" w:rsidR="00AD1919" w:rsidRDefault="00000000">
            <w:pPr>
              <w:spacing w:line="252" w:lineRule="auto"/>
            </w:pPr>
            <w:r>
              <w:rPr>
                <w:b/>
                <w:bCs/>
                <w:sz w:val="19"/>
                <w:szCs w:val="19"/>
              </w:rPr>
              <w:t>Affordable/multifamily policy funding</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8705688" w14:textId="77777777" w:rsidR="00AD1919" w:rsidRDefault="00000000">
            <w:pPr>
              <w:spacing w:line="252" w:lineRule="auto"/>
            </w:pPr>
            <w:r>
              <w:rPr>
                <w:sz w:val="19"/>
                <w:szCs w:val="19"/>
              </w:rPr>
              <w:t>Tariffs and material-price volatility</w:t>
            </w:r>
          </w:p>
        </w:tc>
      </w:tr>
      <w:tr w:rsidR="00AD1919" w14:paraId="39AD247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3DDE8018" w14:textId="77777777" w:rsidR="00AD1919" w:rsidRDefault="00000000">
            <w:pPr>
              <w:spacing w:line="252" w:lineRule="auto"/>
            </w:pPr>
            <w:r>
              <w:rPr>
                <w:b/>
                <w:bCs/>
                <w:sz w:val="19"/>
                <w:szCs w:val="19"/>
              </w:rPr>
              <w:t>Industrialized platforms &amp; automation</w:t>
            </w:r>
          </w:p>
        </w:tc>
        <w:tc>
          <w:tcPr>
            <w:tcW w:w="468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BE4F58F" w14:textId="77777777" w:rsidR="00AD1919" w:rsidRDefault="00000000">
            <w:pPr>
              <w:spacing w:line="252" w:lineRule="auto"/>
            </w:pPr>
            <w:r>
              <w:rPr>
                <w:sz w:val="19"/>
                <w:szCs w:val="19"/>
              </w:rPr>
              <w:t>Interest-rate-driven demand swings</w:t>
            </w:r>
          </w:p>
        </w:tc>
      </w:tr>
      <w:tr w:rsidR="00AD1919" w14:paraId="0E57853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25C1DC7" w14:textId="77777777" w:rsidR="00AD1919" w:rsidRDefault="00000000">
            <w:pPr>
              <w:spacing w:line="252" w:lineRule="auto"/>
            </w:pPr>
            <w:r>
              <w:rPr>
                <w:b/>
                <w:bCs/>
                <w:sz w:val="19"/>
                <w:szCs w:val="19"/>
              </w:rPr>
              <w:t>Data-center and healthcare-adjacent demand</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2EF3881" w14:textId="77777777" w:rsidR="00AD1919" w:rsidRDefault="00000000">
            <w:pPr>
              <w:spacing w:line="252" w:lineRule="auto"/>
            </w:pPr>
            <w:r>
              <w:rPr>
                <w:sz w:val="19"/>
                <w:szCs w:val="19"/>
              </w:rPr>
              <w:t>Factory closures eroding market confidence</w:t>
            </w:r>
          </w:p>
        </w:tc>
      </w:tr>
      <w:tr w:rsidR="00AD1919" w14:paraId="3385391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4E9DFBA6" w14:textId="77777777" w:rsidR="00AD1919" w:rsidRDefault="00000000">
            <w:pPr>
              <w:spacing w:line="252" w:lineRule="auto"/>
            </w:pPr>
            <w:r>
              <w:rPr>
                <w:b/>
                <w:bCs/>
                <w:sz w:val="19"/>
                <w:szCs w:val="19"/>
              </w:rPr>
              <w:t>Mass timber and decarbonization mandates</w:t>
            </w:r>
          </w:p>
        </w:tc>
        <w:tc>
          <w:tcPr>
            <w:tcW w:w="468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DCBEE64" w14:textId="77777777" w:rsidR="00AD1919" w:rsidRDefault="00000000">
            <w:pPr>
              <w:spacing w:line="252" w:lineRule="auto"/>
            </w:pPr>
            <w:r>
              <w:rPr>
                <w:sz w:val="19"/>
                <w:szCs w:val="19"/>
              </w:rPr>
              <w:t>Zoning stigma and fragmented building codes</w:t>
            </w:r>
          </w:p>
        </w:tc>
      </w:tr>
    </w:tbl>
    <w:p w14:paraId="18EAE046" w14:textId="77777777" w:rsidR="00AD1919" w:rsidRDefault="00000000">
      <w:r>
        <w:br w:type="page"/>
      </w:r>
    </w:p>
    <w:p w14:paraId="05AA9F85" w14:textId="77777777" w:rsidR="00AD1919" w:rsidRDefault="00000000">
      <w:pPr>
        <w:pStyle w:val="Heading1"/>
      </w:pPr>
      <w:bookmarkStart w:id="35" w:name="_Toc236397821"/>
      <w:r>
        <w:lastRenderedPageBreak/>
        <w:t>13. Five-Year Outlook</w:t>
      </w:r>
      <w:bookmarkEnd w:id="35"/>
    </w:p>
    <w:p w14:paraId="7DB66CBB" w14:textId="77777777" w:rsidR="00AD1919" w:rsidRDefault="00000000">
      <w:pPr>
        <w:spacing w:after="160" w:line="276" w:lineRule="auto"/>
      </w:pPr>
      <w:r>
        <w:t xml:space="preserve">The near-term outlook is mixed but positive. Modular will </w:t>
      </w:r>
      <w:r>
        <w:rPr>
          <w:i/>
          <w:iCs/>
        </w:rPr>
        <w:t>not</w:t>
      </w:r>
      <w:r>
        <w:t xml:space="preserve"> replace conventional construction broadly within five years. It should, however, gain share in segments where repetition, speed, public funding, labor scarcity, and high carrying costs matter most: affordable and multifamily housing, student and workforce housing, hospitality, classrooms, healthcare support, and data-center-adjacent facilities.</w:t>
      </w:r>
    </w:p>
    <w:p w14:paraId="5A7643B5" w14:textId="77777777" w:rsidR="00AD1919" w:rsidRDefault="00000000">
      <w:pPr>
        <w:spacing w:after="160" w:line="276" w:lineRule="auto"/>
      </w:pPr>
      <w:r>
        <w:t xml:space="preserve">The MBI / FMI base case — permanent modular growing from $20.3B (2024) to $25.4B (2029) at a 4.5% CAGR — implies steady, segment-led expansion rather than a step-change. </w:t>
      </w:r>
      <w:r>
        <w:rPr>
          <w:b/>
          <w:bCs/>
        </w:rPr>
        <w:t>The decisive variables are interest rates, tariff policy, and the industry’s ability to keep factories utilized. The 2026 ROAD to Housing Act (Section 9) adds a genuine policy tailwind — easier FHA modular financing, chassis-free HUD-code design freedom, and supply-side grants — but its mechanisms phase in from 2027, favoring the upside scenario rather than lifting the base case.</w:t>
      </w:r>
    </w:p>
    <w:p w14:paraId="061067AD" w14:textId="77777777" w:rsidR="00AD1919" w:rsidRDefault="00000000">
      <w:pPr>
        <w:pStyle w:val="Heading2"/>
      </w:pPr>
      <w:bookmarkStart w:id="36" w:name="_Toc236397822"/>
      <w:r>
        <w:t>13.1 What the Winners Will Look Like</w:t>
      </w:r>
      <w:bookmarkEnd w:id="36"/>
    </w:p>
    <w:p w14:paraId="3E66010F" w14:textId="77777777" w:rsidR="00AD1919" w:rsidRDefault="00000000">
      <w:pPr>
        <w:spacing w:after="160" w:line="276" w:lineRule="auto"/>
      </w:pPr>
      <w:r>
        <w:t>The successful firms of the next cycle will look less like custom builders and more like hybrid manufacturers, developers, logistics operators, and software-enabled construction platforms — organizations that own repeatability, control the supply chain and the set, and convert standardization into both speed and margin.</w:t>
      </w:r>
    </w:p>
    <w:p w14:paraId="6A43728A" w14:textId="77777777" w:rsidR="00AD1919" w:rsidRDefault="00000000">
      <w:pPr>
        <w:pStyle w:val="Heading2"/>
      </w:pPr>
      <w:bookmarkStart w:id="37" w:name="_Toc236397823"/>
      <w:r>
        <w:t>13.2 Scenarios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AD1919" w14:paraId="18D596AA"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388E0D06" w14:textId="77777777" w:rsidR="00AD1919" w:rsidRDefault="00000000">
            <w:pPr>
              <w:spacing w:line="252" w:lineRule="auto"/>
            </w:pPr>
            <w:r>
              <w:rPr>
                <w:b/>
                <w:bCs/>
                <w:color w:val="FFFFFF"/>
                <w:sz w:val="19"/>
                <w:szCs w:val="19"/>
              </w:rPr>
              <w:t>Scenario</w:t>
            </w:r>
          </w:p>
        </w:tc>
        <w:tc>
          <w:tcPr>
            <w:tcW w:w="373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3C966071" w14:textId="77777777" w:rsidR="00AD1919" w:rsidRDefault="00000000">
            <w:pPr>
              <w:spacing w:line="252" w:lineRule="auto"/>
            </w:pPr>
            <w:r>
              <w:rPr>
                <w:b/>
                <w:bCs/>
                <w:color w:val="FFFFFF"/>
                <w:sz w:val="19"/>
                <w:szCs w:val="19"/>
              </w:rPr>
              <w:t>Conditions</w:t>
            </w:r>
          </w:p>
        </w:tc>
        <w:tc>
          <w:tcPr>
            <w:tcW w:w="373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6FFEB0E8" w14:textId="77777777" w:rsidR="00AD1919" w:rsidRDefault="00000000">
            <w:pPr>
              <w:spacing w:line="252" w:lineRule="auto"/>
            </w:pPr>
            <w:r>
              <w:rPr>
                <w:b/>
                <w:bCs/>
                <w:color w:val="FFFFFF"/>
                <w:sz w:val="19"/>
                <w:szCs w:val="19"/>
              </w:rPr>
              <w:t>Implication</w:t>
            </w:r>
          </w:p>
        </w:tc>
      </w:tr>
      <w:tr w:rsidR="00AD1919" w14:paraId="0528074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501BE44" w14:textId="77777777" w:rsidR="00AD1919" w:rsidRDefault="00000000">
            <w:pPr>
              <w:spacing w:line="252" w:lineRule="auto"/>
            </w:pPr>
            <w:r>
              <w:rPr>
                <w:b/>
                <w:bCs/>
                <w:sz w:val="19"/>
                <w:szCs w:val="19"/>
              </w:rPr>
              <w:t>Upside</w:t>
            </w:r>
          </w:p>
        </w:tc>
        <w:tc>
          <w:tcPr>
            <w:tcW w:w="373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EED0D9F" w14:textId="77777777" w:rsidR="00AD1919" w:rsidRDefault="00000000">
            <w:pPr>
              <w:spacing w:line="252" w:lineRule="auto"/>
            </w:pPr>
            <w:r>
              <w:rPr>
                <w:sz w:val="19"/>
                <w:szCs w:val="19"/>
              </w:rPr>
              <w:t>Rates ease; tariffs contained; policy funding flows</w:t>
            </w:r>
          </w:p>
        </w:tc>
        <w:tc>
          <w:tcPr>
            <w:tcW w:w="373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7305B37" w14:textId="77777777" w:rsidR="00AD1919" w:rsidRDefault="00000000">
            <w:pPr>
              <w:spacing w:line="252" w:lineRule="auto"/>
            </w:pPr>
            <w:r>
              <w:rPr>
                <w:sz w:val="19"/>
                <w:szCs w:val="19"/>
              </w:rPr>
              <w:t>Faster share gains in multifamily/affordable; utilization stabilizes</w:t>
            </w:r>
          </w:p>
        </w:tc>
      </w:tr>
      <w:tr w:rsidR="00AD1919" w14:paraId="0A784FCD"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BABEE68" w14:textId="77777777" w:rsidR="00AD1919" w:rsidRDefault="00000000">
            <w:pPr>
              <w:spacing w:line="252" w:lineRule="auto"/>
            </w:pPr>
            <w:r>
              <w:rPr>
                <w:b/>
                <w:bCs/>
                <w:sz w:val="19"/>
                <w:szCs w:val="19"/>
              </w:rPr>
              <w:t>Base</w:t>
            </w:r>
          </w:p>
        </w:tc>
        <w:tc>
          <w:tcPr>
            <w:tcW w:w="373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3DE5EDCA" w14:textId="77777777" w:rsidR="00AD1919" w:rsidRDefault="00000000">
            <w:pPr>
              <w:spacing w:line="252" w:lineRule="auto"/>
            </w:pPr>
            <w:r>
              <w:rPr>
                <w:sz w:val="19"/>
                <w:szCs w:val="19"/>
              </w:rPr>
              <w:t>Gradual rate normalization; steady policy support</w:t>
            </w:r>
          </w:p>
        </w:tc>
        <w:tc>
          <w:tcPr>
            <w:tcW w:w="373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38E02856" w14:textId="77777777" w:rsidR="00AD1919" w:rsidRDefault="00000000">
            <w:pPr>
              <w:spacing w:line="252" w:lineRule="auto"/>
            </w:pPr>
            <w:r>
              <w:rPr>
                <w:sz w:val="19"/>
                <w:szCs w:val="19"/>
              </w:rPr>
              <w:t>~4.5% CAGR; segment-led growth to ~$25.4B by 2029</w:t>
            </w:r>
          </w:p>
        </w:tc>
      </w:tr>
      <w:tr w:rsidR="00AD1919" w14:paraId="6948759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49A15CF" w14:textId="77777777" w:rsidR="00AD1919" w:rsidRDefault="00000000">
            <w:pPr>
              <w:spacing w:line="252" w:lineRule="auto"/>
            </w:pPr>
            <w:r>
              <w:rPr>
                <w:b/>
                <w:bCs/>
                <w:sz w:val="19"/>
                <w:szCs w:val="19"/>
              </w:rPr>
              <w:t>Downside</w:t>
            </w:r>
          </w:p>
        </w:tc>
        <w:tc>
          <w:tcPr>
            <w:tcW w:w="373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4371BA" w14:textId="77777777" w:rsidR="00AD1919" w:rsidRDefault="00000000">
            <w:pPr>
              <w:spacing w:line="252" w:lineRule="auto"/>
            </w:pPr>
            <w:r>
              <w:rPr>
                <w:sz w:val="19"/>
                <w:szCs w:val="19"/>
              </w:rPr>
              <w:t>Tariff escalation; high rates; weak pipelines</w:t>
            </w:r>
          </w:p>
        </w:tc>
        <w:tc>
          <w:tcPr>
            <w:tcW w:w="373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46ECA02" w14:textId="77777777" w:rsidR="00AD1919" w:rsidRDefault="00000000">
            <w:pPr>
              <w:spacing w:line="252" w:lineRule="auto"/>
            </w:pPr>
            <w:r>
              <w:rPr>
                <w:sz w:val="19"/>
                <w:szCs w:val="19"/>
              </w:rPr>
              <w:t>Margin compression; further factory closures; adoption stalls</w:t>
            </w:r>
          </w:p>
        </w:tc>
      </w:tr>
    </w:tbl>
    <w:p w14:paraId="1BD4B512" w14:textId="77777777" w:rsidR="00AD1919" w:rsidRDefault="00000000">
      <w:r>
        <w:br w:type="page"/>
      </w:r>
    </w:p>
    <w:p w14:paraId="4A332D62" w14:textId="77777777" w:rsidR="00AD1919" w:rsidRDefault="00000000">
      <w:pPr>
        <w:pStyle w:val="Heading1"/>
      </w:pPr>
      <w:bookmarkStart w:id="38" w:name="_Toc236397824"/>
      <w:r>
        <w:lastRenderedPageBreak/>
        <w:t>14. Key Statistics Snapshot</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0"/>
        <w:gridCol w:w="2150"/>
        <w:gridCol w:w="1750"/>
      </w:tblGrid>
      <w:tr w:rsidR="00AD1919" w14:paraId="3EB14754" w14:textId="77777777">
        <w:tblPrEx>
          <w:tblCellMar>
            <w:top w:w="0" w:type="dxa"/>
            <w:bottom w:w="0" w:type="dxa"/>
          </w:tblCellMar>
        </w:tblPrEx>
        <w:trPr>
          <w:tblHeader/>
        </w:trPr>
        <w:tc>
          <w:tcPr>
            <w:tcW w:w="54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860EB22" w14:textId="77777777" w:rsidR="00AD1919" w:rsidRDefault="00000000">
            <w:pPr>
              <w:spacing w:line="252" w:lineRule="auto"/>
            </w:pPr>
            <w:r>
              <w:rPr>
                <w:b/>
                <w:bCs/>
                <w:color w:val="FFFFFF"/>
                <w:sz w:val="19"/>
                <w:szCs w:val="19"/>
              </w:rPr>
              <w:t>Metric</w:t>
            </w:r>
          </w:p>
        </w:tc>
        <w:tc>
          <w:tcPr>
            <w:tcW w:w="215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29294BB9" w14:textId="77777777" w:rsidR="00AD1919" w:rsidRDefault="00000000">
            <w:pPr>
              <w:spacing w:line="252" w:lineRule="auto"/>
            </w:pPr>
            <w:r>
              <w:rPr>
                <w:b/>
                <w:bCs/>
                <w:color w:val="FFFFFF"/>
                <w:sz w:val="19"/>
                <w:szCs w:val="19"/>
              </w:rPr>
              <w:t>Value</w:t>
            </w:r>
          </w:p>
        </w:tc>
        <w:tc>
          <w:tcPr>
            <w:tcW w:w="175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304ABFEA" w14:textId="77777777" w:rsidR="00AD1919" w:rsidRDefault="00000000">
            <w:pPr>
              <w:spacing w:line="252" w:lineRule="auto"/>
            </w:pPr>
            <w:r>
              <w:rPr>
                <w:b/>
                <w:bCs/>
                <w:color w:val="FFFFFF"/>
                <w:sz w:val="19"/>
                <w:szCs w:val="19"/>
              </w:rPr>
              <w:t>Period</w:t>
            </w:r>
          </w:p>
        </w:tc>
      </w:tr>
      <w:tr w:rsidR="00AD1919" w14:paraId="645DFAC1"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20A3AC2" w14:textId="77777777" w:rsidR="00AD1919" w:rsidRDefault="00000000">
            <w:pPr>
              <w:spacing w:line="252" w:lineRule="auto"/>
            </w:pPr>
            <w:r>
              <w:rPr>
                <w:b/>
                <w:bCs/>
                <w:sz w:val="19"/>
                <w:szCs w:val="19"/>
              </w:rPr>
              <w:t>U.S. permanent modular construction market</w:t>
            </w:r>
          </w:p>
        </w:tc>
        <w:tc>
          <w:tcPr>
            <w:tcW w:w="21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D7CE4C4" w14:textId="77777777" w:rsidR="00AD1919" w:rsidRDefault="00000000">
            <w:pPr>
              <w:spacing w:line="252" w:lineRule="auto"/>
            </w:pPr>
            <w:r>
              <w:rPr>
                <w:sz w:val="19"/>
                <w:szCs w:val="19"/>
              </w:rPr>
              <w:t>$20.3B</w:t>
            </w:r>
          </w:p>
        </w:tc>
        <w:tc>
          <w:tcPr>
            <w:tcW w:w="17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B610733" w14:textId="77777777" w:rsidR="00AD1919" w:rsidRDefault="00000000">
            <w:pPr>
              <w:spacing w:line="252" w:lineRule="auto"/>
            </w:pPr>
            <w:r>
              <w:rPr>
                <w:sz w:val="19"/>
                <w:szCs w:val="19"/>
              </w:rPr>
              <w:t>2024</w:t>
            </w:r>
          </w:p>
        </w:tc>
      </w:tr>
      <w:tr w:rsidR="00AD1919" w14:paraId="051AB97D"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0469A60B" w14:textId="77777777" w:rsidR="00AD1919" w:rsidRDefault="00000000">
            <w:pPr>
              <w:spacing w:line="252" w:lineRule="auto"/>
            </w:pPr>
            <w:r>
              <w:rPr>
                <w:b/>
                <w:bCs/>
                <w:sz w:val="19"/>
                <w:szCs w:val="19"/>
              </w:rPr>
              <w:t>Permanent modular share of relevant segments</w:t>
            </w:r>
          </w:p>
        </w:tc>
        <w:tc>
          <w:tcPr>
            <w:tcW w:w="21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413A4FF" w14:textId="77777777" w:rsidR="00AD1919" w:rsidRDefault="00000000">
            <w:pPr>
              <w:spacing w:line="252" w:lineRule="auto"/>
            </w:pPr>
            <w:r>
              <w:rPr>
                <w:sz w:val="19"/>
                <w:szCs w:val="19"/>
              </w:rPr>
              <w:t>5.1%</w:t>
            </w:r>
          </w:p>
        </w:tc>
        <w:tc>
          <w:tcPr>
            <w:tcW w:w="17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0ADC2E5" w14:textId="77777777" w:rsidR="00AD1919" w:rsidRDefault="00000000">
            <w:pPr>
              <w:spacing w:line="252" w:lineRule="auto"/>
            </w:pPr>
            <w:r>
              <w:rPr>
                <w:sz w:val="19"/>
                <w:szCs w:val="19"/>
              </w:rPr>
              <w:t>2024</w:t>
            </w:r>
          </w:p>
        </w:tc>
      </w:tr>
      <w:tr w:rsidR="00AD1919" w14:paraId="7A06ADB4"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D4AB245" w14:textId="77777777" w:rsidR="00AD1919" w:rsidRDefault="00000000">
            <w:pPr>
              <w:spacing w:line="252" w:lineRule="auto"/>
            </w:pPr>
            <w:r>
              <w:rPr>
                <w:b/>
                <w:bCs/>
                <w:sz w:val="19"/>
                <w:szCs w:val="19"/>
              </w:rPr>
              <w:t>Forecast permanent modular market</w:t>
            </w:r>
          </w:p>
        </w:tc>
        <w:tc>
          <w:tcPr>
            <w:tcW w:w="21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5A5F44E" w14:textId="77777777" w:rsidR="00AD1919" w:rsidRDefault="00000000">
            <w:pPr>
              <w:spacing w:line="252" w:lineRule="auto"/>
            </w:pPr>
            <w:r>
              <w:rPr>
                <w:sz w:val="19"/>
                <w:szCs w:val="19"/>
              </w:rPr>
              <w:t>$25.4B</w:t>
            </w:r>
          </w:p>
        </w:tc>
        <w:tc>
          <w:tcPr>
            <w:tcW w:w="17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A9A3C43" w14:textId="77777777" w:rsidR="00AD1919" w:rsidRDefault="00000000">
            <w:pPr>
              <w:spacing w:line="252" w:lineRule="auto"/>
            </w:pPr>
            <w:r>
              <w:rPr>
                <w:sz w:val="19"/>
                <w:szCs w:val="19"/>
              </w:rPr>
              <w:t>2029</w:t>
            </w:r>
          </w:p>
        </w:tc>
      </w:tr>
      <w:tr w:rsidR="00AD1919" w14:paraId="70FA2CD6"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D42CAA6" w14:textId="77777777" w:rsidR="00AD1919" w:rsidRDefault="00000000">
            <w:pPr>
              <w:spacing w:line="252" w:lineRule="auto"/>
            </w:pPr>
            <w:r>
              <w:rPr>
                <w:b/>
                <w:bCs/>
                <w:sz w:val="19"/>
                <w:szCs w:val="19"/>
              </w:rPr>
              <w:t>Projected CAGR</w:t>
            </w:r>
          </w:p>
        </w:tc>
        <w:tc>
          <w:tcPr>
            <w:tcW w:w="21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366530AD" w14:textId="77777777" w:rsidR="00AD1919" w:rsidRDefault="00000000">
            <w:pPr>
              <w:spacing w:line="252" w:lineRule="auto"/>
            </w:pPr>
            <w:r>
              <w:rPr>
                <w:sz w:val="19"/>
                <w:szCs w:val="19"/>
              </w:rPr>
              <w:t>4.5%</w:t>
            </w:r>
          </w:p>
        </w:tc>
        <w:tc>
          <w:tcPr>
            <w:tcW w:w="17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30925C0" w14:textId="77777777" w:rsidR="00AD1919" w:rsidRDefault="00000000">
            <w:pPr>
              <w:spacing w:line="252" w:lineRule="auto"/>
            </w:pPr>
            <w:r>
              <w:rPr>
                <w:sz w:val="19"/>
                <w:szCs w:val="19"/>
              </w:rPr>
              <w:t>2024–29</w:t>
            </w:r>
          </w:p>
        </w:tc>
      </w:tr>
      <w:tr w:rsidR="00AD1919" w14:paraId="30AC2EFA"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896F1C5" w14:textId="77777777" w:rsidR="00AD1919" w:rsidRDefault="00000000">
            <w:pPr>
              <w:spacing w:line="252" w:lineRule="auto"/>
            </w:pPr>
            <w:r>
              <w:rPr>
                <w:b/>
                <w:bCs/>
                <w:sz w:val="19"/>
                <w:szCs w:val="19"/>
              </w:rPr>
              <w:t>N. America relocatable buildings revenue</w:t>
            </w:r>
          </w:p>
        </w:tc>
        <w:tc>
          <w:tcPr>
            <w:tcW w:w="21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1C5FF49" w14:textId="77777777" w:rsidR="00AD1919" w:rsidRDefault="00000000">
            <w:pPr>
              <w:spacing w:line="252" w:lineRule="auto"/>
            </w:pPr>
            <w:r>
              <w:rPr>
                <w:sz w:val="19"/>
                <w:szCs w:val="19"/>
              </w:rPr>
              <w:t>$4.7B</w:t>
            </w:r>
          </w:p>
        </w:tc>
        <w:tc>
          <w:tcPr>
            <w:tcW w:w="17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3DF82DE" w14:textId="77777777" w:rsidR="00AD1919" w:rsidRDefault="00000000">
            <w:pPr>
              <w:spacing w:line="252" w:lineRule="auto"/>
            </w:pPr>
            <w:r>
              <w:rPr>
                <w:sz w:val="19"/>
                <w:szCs w:val="19"/>
              </w:rPr>
              <w:t>2024</w:t>
            </w:r>
          </w:p>
        </w:tc>
      </w:tr>
      <w:tr w:rsidR="00AD1919" w14:paraId="62B0C553"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58930CBA" w14:textId="77777777" w:rsidR="00AD1919" w:rsidRDefault="00000000">
            <w:pPr>
              <w:spacing w:line="252" w:lineRule="auto"/>
            </w:pPr>
            <w:r>
              <w:rPr>
                <w:b/>
                <w:bCs/>
                <w:sz w:val="19"/>
                <w:szCs w:val="19"/>
              </w:rPr>
              <w:t>Relocatable fleet (approx.)</w:t>
            </w:r>
          </w:p>
        </w:tc>
        <w:tc>
          <w:tcPr>
            <w:tcW w:w="21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C5C2898" w14:textId="77777777" w:rsidR="00AD1919" w:rsidRDefault="00000000">
            <w:pPr>
              <w:spacing w:line="252" w:lineRule="auto"/>
            </w:pPr>
            <w:r>
              <w:rPr>
                <w:sz w:val="19"/>
                <w:szCs w:val="19"/>
              </w:rPr>
              <w:t>~500,000</w:t>
            </w:r>
          </w:p>
        </w:tc>
        <w:tc>
          <w:tcPr>
            <w:tcW w:w="17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68E0DB6" w14:textId="77777777" w:rsidR="00AD1919" w:rsidRDefault="00000000">
            <w:pPr>
              <w:spacing w:line="252" w:lineRule="auto"/>
            </w:pPr>
            <w:r>
              <w:rPr>
                <w:sz w:val="19"/>
                <w:szCs w:val="19"/>
              </w:rPr>
              <w:t>2024</w:t>
            </w:r>
          </w:p>
        </w:tc>
      </w:tr>
      <w:tr w:rsidR="00AD1919" w14:paraId="2283970B"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28EE28F" w14:textId="77777777" w:rsidR="00AD1919" w:rsidRDefault="00000000">
            <w:pPr>
              <w:spacing w:line="252" w:lineRule="auto"/>
            </w:pPr>
            <w:r>
              <w:rPr>
                <w:b/>
                <w:bCs/>
                <w:sz w:val="19"/>
                <w:szCs w:val="19"/>
              </w:rPr>
              <w:t>Offsite single-family completions</w:t>
            </w:r>
          </w:p>
        </w:tc>
        <w:tc>
          <w:tcPr>
            <w:tcW w:w="21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E9666E2" w14:textId="77777777" w:rsidR="00AD1919" w:rsidRDefault="00000000">
            <w:pPr>
              <w:spacing w:line="252" w:lineRule="auto"/>
            </w:pPr>
            <w:r>
              <w:rPr>
                <w:sz w:val="19"/>
                <w:szCs w:val="19"/>
              </w:rPr>
              <w:t>28,000 / ~3%</w:t>
            </w:r>
          </w:p>
        </w:tc>
        <w:tc>
          <w:tcPr>
            <w:tcW w:w="17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AF5CB42" w14:textId="77777777" w:rsidR="00AD1919" w:rsidRDefault="00000000">
            <w:pPr>
              <w:spacing w:line="252" w:lineRule="auto"/>
            </w:pPr>
            <w:r>
              <w:rPr>
                <w:sz w:val="19"/>
                <w:szCs w:val="19"/>
              </w:rPr>
              <w:t>2024</w:t>
            </w:r>
          </w:p>
        </w:tc>
      </w:tr>
      <w:tr w:rsidR="00AD1919" w14:paraId="5F6BBFA0"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D464256" w14:textId="77777777" w:rsidR="00AD1919" w:rsidRDefault="00000000">
            <w:pPr>
              <w:spacing w:line="252" w:lineRule="auto"/>
            </w:pPr>
            <w:r>
              <w:rPr>
                <w:b/>
                <w:bCs/>
                <w:sz w:val="19"/>
                <w:szCs w:val="19"/>
              </w:rPr>
              <w:t>Multifamily offsite share</w:t>
            </w:r>
          </w:p>
        </w:tc>
        <w:tc>
          <w:tcPr>
            <w:tcW w:w="21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7B6B9FB3" w14:textId="77777777" w:rsidR="00AD1919" w:rsidRDefault="00000000">
            <w:pPr>
              <w:spacing w:line="252" w:lineRule="auto"/>
            </w:pPr>
            <w:r>
              <w:rPr>
                <w:sz w:val="19"/>
                <w:szCs w:val="19"/>
              </w:rPr>
              <w:t>~3%</w:t>
            </w:r>
          </w:p>
        </w:tc>
        <w:tc>
          <w:tcPr>
            <w:tcW w:w="17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ADA9AA6" w14:textId="77777777" w:rsidR="00AD1919" w:rsidRDefault="00000000">
            <w:pPr>
              <w:spacing w:line="252" w:lineRule="auto"/>
            </w:pPr>
            <w:r>
              <w:rPr>
                <w:sz w:val="19"/>
                <w:szCs w:val="19"/>
              </w:rPr>
              <w:t>2024</w:t>
            </w:r>
          </w:p>
        </w:tc>
      </w:tr>
      <w:tr w:rsidR="00AD1919" w14:paraId="2745C80C"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3A33790" w14:textId="77777777" w:rsidR="00AD1919" w:rsidRDefault="00000000">
            <w:pPr>
              <w:spacing w:line="252" w:lineRule="auto"/>
            </w:pPr>
            <w:r>
              <w:rPr>
                <w:b/>
                <w:bCs/>
                <w:sz w:val="19"/>
                <w:szCs w:val="19"/>
              </w:rPr>
              <w:t>Manufactured home shipments (approx.)</w:t>
            </w:r>
          </w:p>
        </w:tc>
        <w:tc>
          <w:tcPr>
            <w:tcW w:w="21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797725E" w14:textId="77777777" w:rsidR="00AD1919" w:rsidRDefault="00000000">
            <w:pPr>
              <w:spacing w:line="252" w:lineRule="auto"/>
            </w:pPr>
            <w:r>
              <w:rPr>
                <w:sz w:val="19"/>
                <w:szCs w:val="19"/>
              </w:rPr>
              <w:t>~105,000</w:t>
            </w:r>
          </w:p>
        </w:tc>
        <w:tc>
          <w:tcPr>
            <w:tcW w:w="17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80B5EEF" w14:textId="77777777" w:rsidR="00AD1919" w:rsidRDefault="00000000">
            <w:pPr>
              <w:spacing w:line="252" w:lineRule="auto"/>
            </w:pPr>
            <w:r>
              <w:rPr>
                <w:sz w:val="19"/>
                <w:szCs w:val="19"/>
              </w:rPr>
              <w:t>2025</w:t>
            </w:r>
          </w:p>
        </w:tc>
      </w:tr>
      <w:tr w:rsidR="00AD1919" w14:paraId="2747500E"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3B184A4E" w14:textId="77777777" w:rsidR="00AD1919" w:rsidRDefault="00000000">
            <w:pPr>
              <w:spacing w:line="252" w:lineRule="auto"/>
            </w:pPr>
            <w:r>
              <w:rPr>
                <w:b/>
                <w:bCs/>
                <w:sz w:val="19"/>
                <w:szCs w:val="19"/>
              </w:rPr>
              <w:t>Construction net new-worker need (ABC)</w:t>
            </w:r>
          </w:p>
        </w:tc>
        <w:tc>
          <w:tcPr>
            <w:tcW w:w="21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2DE752ED" w14:textId="77777777" w:rsidR="00AD1919" w:rsidRDefault="00000000">
            <w:pPr>
              <w:spacing w:line="252" w:lineRule="auto"/>
            </w:pPr>
            <w:r>
              <w:rPr>
                <w:sz w:val="19"/>
                <w:szCs w:val="19"/>
              </w:rPr>
              <w:t>439,000</w:t>
            </w:r>
          </w:p>
        </w:tc>
        <w:tc>
          <w:tcPr>
            <w:tcW w:w="17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E65179B" w14:textId="77777777" w:rsidR="00AD1919" w:rsidRDefault="00000000">
            <w:pPr>
              <w:spacing w:line="252" w:lineRule="auto"/>
            </w:pPr>
            <w:r>
              <w:rPr>
                <w:sz w:val="19"/>
                <w:szCs w:val="19"/>
              </w:rPr>
              <w:t>2025</w:t>
            </w:r>
          </w:p>
        </w:tc>
      </w:tr>
      <w:tr w:rsidR="00AD1919" w14:paraId="3866F455"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5D6EC25" w14:textId="77777777" w:rsidR="00AD1919" w:rsidRDefault="00000000">
            <w:pPr>
              <w:spacing w:line="252" w:lineRule="auto"/>
            </w:pPr>
            <w:r>
              <w:rPr>
                <w:b/>
                <w:bCs/>
                <w:sz w:val="19"/>
                <w:szCs w:val="19"/>
              </w:rPr>
              <w:t>Adopters citing speed to market</w:t>
            </w:r>
          </w:p>
        </w:tc>
        <w:tc>
          <w:tcPr>
            <w:tcW w:w="21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12E3715" w14:textId="77777777" w:rsidR="00AD1919" w:rsidRDefault="00000000">
            <w:pPr>
              <w:spacing w:line="252" w:lineRule="auto"/>
            </w:pPr>
            <w:r>
              <w:rPr>
                <w:sz w:val="19"/>
                <w:szCs w:val="19"/>
              </w:rPr>
              <w:t>81%</w:t>
            </w:r>
          </w:p>
        </w:tc>
        <w:tc>
          <w:tcPr>
            <w:tcW w:w="17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5041357" w14:textId="77777777" w:rsidR="00AD1919" w:rsidRDefault="00000000">
            <w:pPr>
              <w:spacing w:line="252" w:lineRule="auto"/>
            </w:pPr>
            <w:r>
              <w:rPr>
                <w:sz w:val="19"/>
                <w:szCs w:val="19"/>
              </w:rPr>
              <w:t>MBI</w:t>
            </w:r>
          </w:p>
        </w:tc>
      </w:tr>
      <w:tr w:rsidR="00AD1919" w14:paraId="3EC25B71"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60B820F1" w14:textId="77777777" w:rsidR="00AD1919" w:rsidRDefault="00000000">
            <w:pPr>
              <w:spacing w:line="252" w:lineRule="auto"/>
            </w:pPr>
            <w:r>
              <w:rPr>
                <w:b/>
                <w:bCs/>
                <w:sz w:val="19"/>
                <w:szCs w:val="19"/>
              </w:rPr>
              <w:t>Potential manpower reduction (McKinsey)</w:t>
            </w:r>
          </w:p>
        </w:tc>
        <w:tc>
          <w:tcPr>
            <w:tcW w:w="21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12D4A302" w14:textId="77777777" w:rsidR="00AD1919" w:rsidRDefault="00000000">
            <w:pPr>
              <w:spacing w:line="252" w:lineRule="auto"/>
            </w:pPr>
            <w:r>
              <w:rPr>
                <w:sz w:val="19"/>
                <w:szCs w:val="19"/>
              </w:rPr>
              <w:t>up to 40%</w:t>
            </w:r>
          </w:p>
        </w:tc>
        <w:tc>
          <w:tcPr>
            <w:tcW w:w="1750" w:type="dxa"/>
            <w:tcBorders>
              <w:top w:val="single" w:sz="1" w:space="0" w:color="BBBBBB"/>
              <w:left w:val="single" w:sz="1" w:space="0" w:color="BBBBBB"/>
              <w:bottom w:val="single" w:sz="1" w:space="0" w:color="BBBBBB"/>
              <w:right w:val="single" w:sz="1" w:space="0" w:color="BBBBBB"/>
            </w:tcBorders>
            <w:shd w:val="clear" w:color="auto" w:fill="F1F5F9"/>
            <w:tcMar>
              <w:top w:w="60" w:type="dxa"/>
              <w:left w:w="110" w:type="dxa"/>
              <w:bottom w:w="60" w:type="dxa"/>
              <w:right w:w="110" w:type="dxa"/>
            </w:tcMar>
            <w:vAlign w:val="center"/>
          </w:tcPr>
          <w:p w14:paraId="027E34F5" w14:textId="77777777" w:rsidR="00AD1919" w:rsidRDefault="00000000">
            <w:pPr>
              <w:spacing w:line="252" w:lineRule="auto"/>
            </w:pPr>
            <w:r>
              <w:rPr>
                <w:sz w:val="19"/>
                <w:szCs w:val="19"/>
              </w:rPr>
              <w:t>—</w:t>
            </w:r>
          </w:p>
        </w:tc>
      </w:tr>
      <w:tr w:rsidR="00AD1919" w14:paraId="588C6562" w14:textId="77777777">
        <w:tblPrEx>
          <w:tblCellMar>
            <w:top w:w="0" w:type="dxa"/>
            <w:bottom w:w="0" w:type="dxa"/>
          </w:tblCellMar>
        </w:tblPrEx>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13ADFFC" w14:textId="77777777" w:rsidR="00AD1919" w:rsidRDefault="00000000">
            <w:pPr>
              <w:spacing w:line="252" w:lineRule="auto"/>
            </w:pPr>
            <w:r>
              <w:rPr>
                <w:b/>
                <w:bCs/>
                <w:sz w:val="19"/>
                <w:szCs w:val="19"/>
              </w:rPr>
              <w:t>Potential timeline acceleration (McKinsey)</w:t>
            </w:r>
          </w:p>
        </w:tc>
        <w:tc>
          <w:tcPr>
            <w:tcW w:w="21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AAFA08A" w14:textId="77777777" w:rsidR="00AD1919" w:rsidRDefault="00000000">
            <w:pPr>
              <w:spacing w:line="252" w:lineRule="auto"/>
            </w:pPr>
            <w:r>
              <w:rPr>
                <w:sz w:val="19"/>
                <w:szCs w:val="19"/>
              </w:rPr>
              <w:t>up to 50%</w:t>
            </w:r>
          </w:p>
        </w:tc>
        <w:tc>
          <w:tcPr>
            <w:tcW w:w="17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EAE8762" w14:textId="77777777" w:rsidR="00AD1919" w:rsidRDefault="00000000">
            <w:pPr>
              <w:spacing w:line="252" w:lineRule="auto"/>
            </w:pPr>
            <w:r>
              <w:rPr>
                <w:sz w:val="19"/>
                <w:szCs w:val="19"/>
              </w:rPr>
              <w:t>—</w:t>
            </w:r>
          </w:p>
        </w:tc>
      </w:tr>
    </w:tbl>
    <w:p w14:paraId="1D1A55F1" w14:textId="77777777" w:rsidR="00AD1919" w:rsidRDefault="00000000">
      <w:r>
        <w:br w:type="page"/>
      </w:r>
    </w:p>
    <w:p w14:paraId="165FC343" w14:textId="77777777" w:rsidR="00AD1919" w:rsidRDefault="00000000">
      <w:pPr>
        <w:pStyle w:val="Heading1"/>
      </w:pPr>
      <w:bookmarkStart w:id="39" w:name="_Toc236397825"/>
      <w:r>
        <w:lastRenderedPageBreak/>
        <w:t>15. Sources &amp; References</w:t>
      </w:r>
      <w:bookmarkEnd w:id="39"/>
    </w:p>
    <w:p w14:paraId="72D2AA78" w14:textId="77777777" w:rsidR="00AD1919" w:rsidRDefault="00000000">
      <w:pPr>
        <w:spacing w:after="160" w:line="276" w:lineRule="auto"/>
      </w:pPr>
      <w:r>
        <w:rPr>
          <w:i/>
          <w:iCs/>
          <w:color w:val="666666"/>
        </w:rPr>
        <w:t>All figures are drawn from the public sources below. Where fiscal-year and calendar-year reporting differ, figures are rounded and labeled directional.</w:t>
      </w:r>
    </w:p>
    <w:p w14:paraId="16E2A23A" w14:textId="77777777" w:rsidR="00AD1919" w:rsidRDefault="00000000">
      <w:pPr>
        <w:spacing w:after="80"/>
        <w:ind w:left="360" w:hanging="360"/>
      </w:pPr>
      <w:r>
        <w:rPr>
          <w:b/>
          <w:bCs/>
          <w:color w:val="1F3A5F"/>
          <w:sz w:val="18"/>
          <w:szCs w:val="18"/>
        </w:rPr>
        <w:t xml:space="preserve">1. </w:t>
      </w:r>
      <w:r>
        <w:rPr>
          <w:sz w:val="18"/>
          <w:szCs w:val="18"/>
        </w:rPr>
        <w:t xml:space="preserve">Modular Building Institute — Industry Analysis (market size, relocatable, adoption drivers) — </w:t>
      </w:r>
      <w:hyperlink r:id="rId7" w:history="1">
        <w:r>
          <w:rPr>
            <w:rStyle w:val="Hyperlink"/>
            <w:sz w:val="17"/>
            <w:szCs w:val="17"/>
          </w:rPr>
          <w:t>https://www.modular.org/industry-analysis/</w:t>
        </w:r>
      </w:hyperlink>
    </w:p>
    <w:p w14:paraId="0F763C74" w14:textId="77777777" w:rsidR="00AD1919" w:rsidRDefault="00000000">
      <w:pPr>
        <w:spacing w:after="80"/>
        <w:ind w:left="360" w:hanging="360"/>
      </w:pPr>
      <w:r>
        <w:rPr>
          <w:b/>
          <w:bCs/>
          <w:color w:val="1F3A5F"/>
          <w:sz w:val="18"/>
          <w:szCs w:val="18"/>
        </w:rPr>
        <w:t xml:space="preserve">2. </w:t>
      </w:r>
      <w:r>
        <w:rPr>
          <w:sz w:val="18"/>
          <w:szCs w:val="18"/>
        </w:rPr>
        <w:t xml:space="preserve">MBI — Policy Position on Tariffs and Their Impact on Modular Construction (2025) — </w:t>
      </w:r>
      <w:hyperlink r:id="rId8" w:history="1">
        <w:r>
          <w:rPr>
            <w:rStyle w:val="Hyperlink"/>
            <w:sz w:val="17"/>
            <w:szCs w:val="17"/>
          </w:rPr>
          <w:t>https://www.modular.org/2025/03/21/mbi-issues-policy-position-on-tariffs-and-their-impact-on-modular-construction/</w:t>
        </w:r>
      </w:hyperlink>
    </w:p>
    <w:p w14:paraId="45F9D627" w14:textId="77777777" w:rsidR="00AD1919" w:rsidRDefault="00000000">
      <w:pPr>
        <w:spacing w:after="80"/>
        <w:ind w:left="360" w:hanging="360"/>
      </w:pPr>
      <w:r>
        <w:rPr>
          <w:b/>
          <w:bCs/>
          <w:color w:val="1F3A5F"/>
          <w:sz w:val="18"/>
          <w:szCs w:val="18"/>
        </w:rPr>
        <w:t xml:space="preserve">3. </w:t>
      </w:r>
      <w:r>
        <w:rPr>
          <w:sz w:val="18"/>
          <w:szCs w:val="18"/>
        </w:rPr>
        <w:t xml:space="preserve">NAHB / Eye on Housing — Offsite Construction Market Share Flattens in 2024 — </w:t>
      </w:r>
      <w:hyperlink r:id="rId9" w:history="1">
        <w:r>
          <w:rPr>
            <w:rStyle w:val="Hyperlink"/>
            <w:sz w:val="17"/>
            <w:szCs w:val="17"/>
          </w:rPr>
          <w:t>https://www.nahb.org/blog/2025/08/the-offsite-construction-market-share-flattens-nationally-in-2024</w:t>
        </w:r>
      </w:hyperlink>
    </w:p>
    <w:p w14:paraId="1C996FDC" w14:textId="77777777" w:rsidR="00AD1919" w:rsidRDefault="00000000">
      <w:pPr>
        <w:spacing w:after="80"/>
        <w:ind w:left="360" w:hanging="360"/>
      </w:pPr>
      <w:r>
        <w:rPr>
          <w:b/>
          <w:bCs/>
          <w:color w:val="1F3A5F"/>
          <w:sz w:val="18"/>
          <w:szCs w:val="18"/>
        </w:rPr>
        <w:t xml:space="preserve">4. </w:t>
      </w:r>
      <w:r>
        <w:rPr>
          <w:sz w:val="18"/>
          <w:szCs w:val="18"/>
        </w:rPr>
        <w:t xml:space="preserve">U.S. Census Bureau — Manufactured Housing Survey (latest data) — </w:t>
      </w:r>
      <w:hyperlink r:id="rId10" w:history="1">
        <w:r>
          <w:rPr>
            <w:rStyle w:val="Hyperlink"/>
            <w:sz w:val="17"/>
            <w:szCs w:val="17"/>
          </w:rPr>
          <w:t>https://www.census.gov/programs-surveys/mhs/data/latest-data.html</w:t>
        </w:r>
      </w:hyperlink>
    </w:p>
    <w:p w14:paraId="45650EA8" w14:textId="77777777" w:rsidR="00AD1919" w:rsidRDefault="00000000">
      <w:pPr>
        <w:spacing w:after="80"/>
        <w:ind w:left="360" w:hanging="360"/>
      </w:pPr>
      <w:r>
        <w:rPr>
          <w:b/>
          <w:bCs/>
          <w:color w:val="1F3A5F"/>
          <w:sz w:val="18"/>
          <w:szCs w:val="18"/>
        </w:rPr>
        <w:t xml:space="preserve">5. </w:t>
      </w:r>
      <w:r>
        <w:rPr>
          <w:sz w:val="18"/>
          <w:szCs w:val="18"/>
        </w:rPr>
        <w:t xml:space="preserve">Berkshire Hathaway — 2025 Annual Report (Clayton Homes) — </w:t>
      </w:r>
      <w:hyperlink r:id="rId11" w:history="1">
        <w:r>
          <w:rPr>
            <w:rStyle w:val="Hyperlink"/>
            <w:sz w:val="17"/>
            <w:szCs w:val="17"/>
          </w:rPr>
          <w:t>https://berkshirehathaway.com/2025ar/2025ar.pdf</w:t>
        </w:r>
      </w:hyperlink>
    </w:p>
    <w:p w14:paraId="50F024A9" w14:textId="77777777" w:rsidR="00AD1919" w:rsidRDefault="00000000">
      <w:pPr>
        <w:spacing w:after="80"/>
        <w:ind w:left="360" w:hanging="360"/>
      </w:pPr>
      <w:r>
        <w:rPr>
          <w:b/>
          <w:bCs/>
          <w:color w:val="1F3A5F"/>
          <w:sz w:val="18"/>
          <w:szCs w:val="18"/>
        </w:rPr>
        <w:t xml:space="preserve">6. </w:t>
      </w:r>
      <w:r>
        <w:rPr>
          <w:sz w:val="18"/>
          <w:szCs w:val="18"/>
        </w:rPr>
        <w:t xml:space="preserve">Champion Homes — FY2026 Form 10-K — </w:t>
      </w:r>
      <w:hyperlink r:id="rId12" w:history="1">
        <w:r>
          <w:rPr>
            <w:rStyle w:val="Hyperlink"/>
            <w:sz w:val="17"/>
            <w:szCs w:val="17"/>
          </w:rPr>
          <w:t>https://www.sec.gov/Archives/edgar/data/0000090896/000119312526239333/sky-20260328.htm</w:t>
        </w:r>
      </w:hyperlink>
    </w:p>
    <w:p w14:paraId="27BB5B3C" w14:textId="77777777" w:rsidR="00AD1919" w:rsidRDefault="00000000">
      <w:pPr>
        <w:spacing w:after="80"/>
        <w:ind w:left="360" w:hanging="360"/>
      </w:pPr>
      <w:r>
        <w:rPr>
          <w:b/>
          <w:bCs/>
          <w:color w:val="1F3A5F"/>
          <w:sz w:val="18"/>
          <w:szCs w:val="18"/>
        </w:rPr>
        <w:t xml:space="preserve">7. </w:t>
      </w:r>
      <w:r>
        <w:rPr>
          <w:sz w:val="18"/>
          <w:szCs w:val="18"/>
        </w:rPr>
        <w:t xml:space="preserve">Cavco Industries — FY2025 Form 10-K / Annual Report — </w:t>
      </w:r>
      <w:hyperlink r:id="rId13" w:history="1">
        <w:r>
          <w:rPr>
            <w:rStyle w:val="Hyperlink"/>
            <w:sz w:val="17"/>
            <w:szCs w:val="17"/>
          </w:rPr>
          <w:t>https://investor.cavco.com/public/phhweb/gallery/userupload/ir-doc-1095/cvco_2025.3.29_10_k_2025_05_23_13_26.pdf</w:t>
        </w:r>
      </w:hyperlink>
    </w:p>
    <w:p w14:paraId="59A7DF97" w14:textId="77777777" w:rsidR="00AD1919" w:rsidRDefault="00000000">
      <w:pPr>
        <w:spacing w:after="80"/>
        <w:ind w:left="360" w:hanging="360"/>
      </w:pPr>
      <w:r>
        <w:rPr>
          <w:b/>
          <w:bCs/>
          <w:color w:val="1F3A5F"/>
          <w:sz w:val="18"/>
          <w:szCs w:val="18"/>
        </w:rPr>
        <w:t xml:space="preserve">8. </w:t>
      </w:r>
      <w:r>
        <w:rPr>
          <w:sz w:val="18"/>
          <w:szCs w:val="18"/>
        </w:rPr>
        <w:t xml:space="preserve">WillScot — Q4 &amp; Full-Year 2025 Results — </w:t>
      </w:r>
      <w:hyperlink r:id="rId14" w:history="1">
        <w:r>
          <w:rPr>
            <w:rStyle w:val="Hyperlink"/>
            <w:sz w:val="17"/>
            <w:szCs w:val="17"/>
          </w:rPr>
          <w:t>https://www.globenewswire.com/news-release/2026/02/19/3241538/0/en/WillScot-Reports-Fourth-Quarter-and-Full-Year-2025-Results-and-Provides-2026-Outlook.html</w:t>
        </w:r>
      </w:hyperlink>
    </w:p>
    <w:p w14:paraId="1839990C" w14:textId="77777777" w:rsidR="00AD1919" w:rsidRDefault="00000000">
      <w:pPr>
        <w:spacing w:after="80"/>
        <w:ind w:left="360" w:hanging="360"/>
      </w:pPr>
      <w:r>
        <w:rPr>
          <w:b/>
          <w:bCs/>
          <w:color w:val="1F3A5F"/>
          <w:sz w:val="18"/>
          <w:szCs w:val="18"/>
        </w:rPr>
        <w:t xml:space="preserve">9. </w:t>
      </w:r>
      <w:r>
        <w:rPr>
          <w:sz w:val="18"/>
          <w:szCs w:val="18"/>
        </w:rPr>
        <w:t xml:space="preserve">McGrath RentCorp — FY2025 Form 10-K — </w:t>
      </w:r>
      <w:hyperlink r:id="rId15" w:history="1">
        <w:r>
          <w:rPr>
            <w:rStyle w:val="Hyperlink"/>
            <w:sz w:val="17"/>
            <w:szCs w:val="17"/>
          </w:rPr>
          <w:t>https://www.sec.gov/Archives/edgar/data/0000752714/000119312526071463/mgrc-20251231.htm</w:t>
        </w:r>
      </w:hyperlink>
    </w:p>
    <w:p w14:paraId="74B11821" w14:textId="77777777" w:rsidR="00AD1919" w:rsidRDefault="00000000">
      <w:pPr>
        <w:spacing w:after="80"/>
        <w:ind w:left="360" w:hanging="360"/>
      </w:pPr>
      <w:r>
        <w:rPr>
          <w:b/>
          <w:bCs/>
          <w:color w:val="1F3A5F"/>
          <w:sz w:val="18"/>
          <w:szCs w:val="18"/>
        </w:rPr>
        <w:t xml:space="preserve">10. </w:t>
      </w:r>
      <w:r>
        <w:rPr>
          <w:sz w:val="18"/>
          <w:szCs w:val="18"/>
        </w:rPr>
        <w:t xml:space="preserve">Associated Builders and Contractors — Construction Workforce Shortage of 439,000 in 2025 — </w:t>
      </w:r>
      <w:hyperlink r:id="rId16" w:history="1">
        <w:r>
          <w:rPr>
            <w:rStyle w:val="Hyperlink"/>
            <w:sz w:val="17"/>
            <w:szCs w:val="17"/>
          </w:rPr>
          <w:t>https://www.abc.org/News-Media/News-Releases/abc-construction-industry-faces-workforce-shortage-of-439000-in-2025</w:t>
        </w:r>
      </w:hyperlink>
    </w:p>
    <w:p w14:paraId="48F7A1B9" w14:textId="77777777" w:rsidR="00AD1919" w:rsidRDefault="00000000">
      <w:pPr>
        <w:spacing w:after="80"/>
        <w:ind w:left="360" w:hanging="360"/>
      </w:pPr>
      <w:r>
        <w:rPr>
          <w:b/>
          <w:bCs/>
          <w:color w:val="1F3A5F"/>
          <w:sz w:val="18"/>
          <w:szCs w:val="18"/>
        </w:rPr>
        <w:t xml:space="preserve">11. </w:t>
      </w:r>
      <w:r>
        <w:rPr>
          <w:sz w:val="18"/>
          <w:szCs w:val="18"/>
        </w:rPr>
        <w:t xml:space="preserve">AGC / NCCER — 2025 Workforce Survey — </w:t>
      </w:r>
      <w:hyperlink r:id="rId17" w:history="1">
        <w:r>
          <w:rPr>
            <w:rStyle w:val="Hyperlink"/>
            <w:sz w:val="17"/>
            <w:szCs w:val="17"/>
          </w:rPr>
          <w:t>https://www.nccer.org/research/2025-workforce-survey-agc-nccer/</w:t>
        </w:r>
      </w:hyperlink>
    </w:p>
    <w:p w14:paraId="5F041A3C" w14:textId="77777777" w:rsidR="00AD1919" w:rsidRDefault="00000000">
      <w:pPr>
        <w:spacing w:after="80"/>
        <w:ind w:left="360" w:hanging="360"/>
      </w:pPr>
      <w:r>
        <w:rPr>
          <w:b/>
          <w:bCs/>
          <w:color w:val="1F3A5F"/>
          <w:sz w:val="18"/>
          <w:szCs w:val="18"/>
        </w:rPr>
        <w:t xml:space="preserve">12. </w:t>
      </w:r>
      <w:r>
        <w:rPr>
          <w:sz w:val="18"/>
          <w:szCs w:val="18"/>
        </w:rPr>
        <w:t xml:space="preserve">McKinsey — Putting the Pieces Together: Unlocking Success in Modular Construction (2025) — </w:t>
      </w:r>
      <w:hyperlink r:id="rId18" w:history="1">
        <w:r>
          <w:rPr>
            <w:rStyle w:val="Hyperlink"/>
            <w:sz w:val="17"/>
            <w:szCs w:val="17"/>
          </w:rPr>
          <w:t>https://www.mckinsey.com/industries/engineering-construction-and-building-materials/our-insights/putting-the-pieces-together-unlocking-success-in-modular-construction</w:t>
        </w:r>
      </w:hyperlink>
    </w:p>
    <w:p w14:paraId="3B6F5C72" w14:textId="77777777" w:rsidR="00AD1919" w:rsidRDefault="00000000">
      <w:pPr>
        <w:spacing w:after="80"/>
        <w:ind w:left="360" w:hanging="360"/>
      </w:pPr>
      <w:r>
        <w:rPr>
          <w:b/>
          <w:bCs/>
          <w:color w:val="1F3A5F"/>
          <w:sz w:val="18"/>
          <w:szCs w:val="18"/>
        </w:rPr>
        <w:t xml:space="preserve">13. </w:t>
      </w:r>
      <w:r>
        <w:rPr>
          <w:sz w:val="18"/>
          <w:szCs w:val="18"/>
        </w:rPr>
        <w:t xml:space="preserve">Bipartisan Policy Center — Inside the Deal: What’s in the Final 21st Century ROAD to Housing Act (2026) — </w:t>
      </w:r>
      <w:hyperlink r:id="rId19" w:history="1">
        <w:r>
          <w:rPr>
            <w:rStyle w:val="Hyperlink"/>
            <w:sz w:val="17"/>
            <w:szCs w:val="17"/>
          </w:rPr>
          <w:t>https://bipartisanpolicy.org/issue-brief/inside-the-deal-whats-in-the-final-21st-century-road-to-housing-act/</w:t>
        </w:r>
      </w:hyperlink>
    </w:p>
    <w:p w14:paraId="3A3A436D" w14:textId="77777777" w:rsidR="00AD1919" w:rsidRDefault="00000000">
      <w:pPr>
        <w:spacing w:after="80"/>
        <w:ind w:left="360" w:hanging="360"/>
      </w:pPr>
      <w:r>
        <w:rPr>
          <w:b/>
          <w:bCs/>
          <w:color w:val="1F3A5F"/>
          <w:sz w:val="18"/>
          <w:szCs w:val="18"/>
        </w:rPr>
        <w:t xml:space="preserve">14. </w:t>
      </w:r>
      <w:r>
        <w:rPr>
          <w:sz w:val="18"/>
          <w:szCs w:val="18"/>
        </w:rPr>
        <w:t xml:space="preserve">NPR — Largest Housing Affordability Bill in Decades Becomes Law Without Trump’s Signature (July 10, 2026) — </w:t>
      </w:r>
      <w:hyperlink r:id="rId20" w:history="1">
        <w:r>
          <w:rPr>
            <w:rStyle w:val="Hyperlink"/>
            <w:sz w:val="17"/>
            <w:szCs w:val="17"/>
          </w:rPr>
          <w:t>https://www.npr.org/2026/07/10/nx-s1-5885027/housing-bill-without-trump-signature</w:t>
        </w:r>
      </w:hyperlink>
    </w:p>
    <w:p w14:paraId="68398769" w14:textId="77777777" w:rsidR="00AD1919" w:rsidRDefault="00000000">
      <w:pPr>
        <w:spacing w:after="80"/>
        <w:ind w:left="360" w:hanging="360"/>
      </w:pPr>
      <w:r>
        <w:rPr>
          <w:b/>
          <w:bCs/>
          <w:color w:val="1F3A5F"/>
          <w:sz w:val="18"/>
          <w:szCs w:val="18"/>
        </w:rPr>
        <w:t xml:space="preserve">15. </w:t>
      </w:r>
      <w:r>
        <w:rPr>
          <w:sz w:val="18"/>
          <w:szCs w:val="18"/>
        </w:rPr>
        <w:t xml:space="preserve">Modular Building Institute — Statement on the ROAD to Housing Act — </w:t>
      </w:r>
      <w:hyperlink r:id="rId21" w:history="1">
        <w:r>
          <w:rPr>
            <w:rStyle w:val="Hyperlink"/>
            <w:sz w:val="17"/>
            <w:szCs w:val="17"/>
          </w:rPr>
          <w:t>https://www.modular.org/2025/08/11/statement-on-the-road-to-housing-act/</w:t>
        </w:r>
      </w:hyperlink>
    </w:p>
    <w:p w14:paraId="020CA6AF" w14:textId="77777777" w:rsidR="00AD1919" w:rsidRDefault="00000000">
      <w:pPr>
        <w:spacing w:after="80"/>
        <w:ind w:left="360" w:hanging="360"/>
      </w:pPr>
      <w:r>
        <w:rPr>
          <w:b/>
          <w:bCs/>
          <w:color w:val="1F3A5F"/>
          <w:sz w:val="18"/>
          <w:szCs w:val="18"/>
        </w:rPr>
        <w:t xml:space="preserve">16. </w:t>
      </w:r>
      <w:r>
        <w:rPr>
          <w:sz w:val="18"/>
          <w:szCs w:val="18"/>
        </w:rPr>
        <w:t xml:space="preserve">Ivory Innovations — The ROAD to Housing Act and the Future of Factory-Built Homes — </w:t>
      </w:r>
      <w:hyperlink r:id="rId22" w:history="1">
        <w:r>
          <w:rPr>
            <w:rStyle w:val="Hyperlink"/>
            <w:sz w:val="17"/>
            <w:szCs w:val="17"/>
          </w:rPr>
          <w:t>https://www.ivoryinnovations.org/post/what-s-next-for-prefab-housing-the-road-to-housing-act-and-the-future-of-factory-built-homes</w:t>
        </w:r>
      </w:hyperlink>
    </w:p>
    <w:p w14:paraId="3A632B64" w14:textId="77777777" w:rsidR="00AD1919" w:rsidRDefault="00AD1919">
      <w:pPr>
        <w:spacing w:after="160"/>
      </w:pPr>
    </w:p>
    <w:p w14:paraId="09846E6E" w14:textId="77777777" w:rsidR="00AD1919" w:rsidRDefault="00000000">
      <w:pPr>
        <w:pBdr>
          <w:top w:val="single" w:sz="6" w:space="6" w:color="CCCCCC"/>
        </w:pBdr>
        <w:spacing w:before="120"/>
      </w:pPr>
      <w:r>
        <w:rPr>
          <w:b/>
          <w:bCs/>
          <w:color w:val="666666"/>
          <w:sz w:val="16"/>
          <w:szCs w:val="16"/>
        </w:rPr>
        <w:t xml:space="preserve">Disclaimer: </w:t>
      </w:r>
      <w:r>
        <w:rPr>
          <w:i/>
          <w:iCs/>
          <w:color w:val="666666"/>
          <w:sz w:val="16"/>
          <w:szCs w:val="16"/>
        </w:rPr>
        <w:t>This report is an independent analytical synthesis of publicly available data prepared in an IBIS-style format. It is not affiliated with or endorsed by IBISWorld. Figures are rounded and reflect the latest available reporting; readers should consult primary sources for precise values.</w:t>
      </w:r>
    </w:p>
    <w:sectPr w:rsidR="00AD1919">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0FA01" w14:textId="77777777" w:rsidR="00D82997" w:rsidRDefault="00D82997">
      <w:r>
        <w:separator/>
      </w:r>
    </w:p>
  </w:endnote>
  <w:endnote w:type="continuationSeparator" w:id="0">
    <w:p w14:paraId="51F9A64E" w14:textId="77777777" w:rsidR="00D82997" w:rsidRDefault="00D82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6DBB" w14:textId="77777777" w:rsidR="00AD1919" w:rsidRDefault="00000000">
    <w:pPr>
      <w:pBdr>
        <w:top w:val="single" w:sz="4" w:space="4" w:color="DDDDDD"/>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5D2998">
      <w:rPr>
        <w:noProof/>
        <w:color w:val="666666"/>
        <w:sz w:val="16"/>
        <w:szCs w:val="16"/>
      </w:rPr>
      <w:t>1</w:t>
    </w:r>
    <w:r>
      <w:rPr>
        <w:color w:val="666666"/>
        <w:sz w:val="16"/>
        <w:szCs w:val="16"/>
      </w:rPr>
      <w:fldChar w:fldCharType="end"/>
    </w:r>
    <w:r>
      <w:rPr>
        <w:color w:val="666666"/>
        <w:sz w:val="14"/>
        <w:szCs w:val="14"/>
      </w:rPr>
      <w:t xml:space="preserve">  ·  Sourced from MBI/FMI, Census, NAHB, ABC, McKinsey &amp; public filings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A09F" w14:textId="77777777" w:rsidR="00D82997" w:rsidRDefault="00D82997">
      <w:r>
        <w:separator/>
      </w:r>
    </w:p>
  </w:footnote>
  <w:footnote w:type="continuationSeparator" w:id="0">
    <w:p w14:paraId="31D1C21C" w14:textId="77777777" w:rsidR="00D82997" w:rsidRDefault="00D82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F80E1" w14:textId="77777777" w:rsidR="00AD1919" w:rsidRDefault="00000000">
    <w:pPr>
      <w:pBdr>
        <w:bottom w:val="single" w:sz="4" w:space="4" w:color="DDDDDD"/>
      </w:pBdr>
      <w:tabs>
        <w:tab w:val="right" w:pos="9360"/>
      </w:tabs>
    </w:pPr>
    <w:r>
      <w:rPr>
        <w:color w:val="666666"/>
        <w:sz w:val="16"/>
        <w:szCs w:val="16"/>
      </w:rPr>
      <w:t>U.S. Modular &amp; Prefab Building Industry</w:t>
    </w:r>
    <w:r>
      <w:rPr>
        <w:color w:val="666666"/>
        <w:sz w:val="16"/>
        <w:szCs w:val="16"/>
      </w:rPr>
      <w:tab/>
      <w:t>Industry Research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052CD"/>
    <w:multiLevelType w:val="hybridMultilevel"/>
    <w:tmpl w:val="A32AECAA"/>
    <w:lvl w:ilvl="0" w:tplc="CC0A3DF2">
      <w:start w:val="1"/>
      <w:numFmt w:val="bullet"/>
      <w:lvlText w:val="●"/>
      <w:lvlJc w:val="left"/>
      <w:pPr>
        <w:ind w:left="720" w:hanging="360"/>
      </w:pPr>
    </w:lvl>
    <w:lvl w:ilvl="1" w:tplc="CF30DC5C">
      <w:start w:val="1"/>
      <w:numFmt w:val="bullet"/>
      <w:lvlText w:val="○"/>
      <w:lvlJc w:val="left"/>
      <w:pPr>
        <w:ind w:left="1440" w:hanging="360"/>
      </w:pPr>
    </w:lvl>
    <w:lvl w:ilvl="2" w:tplc="36ACF3B4">
      <w:start w:val="1"/>
      <w:numFmt w:val="bullet"/>
      <w:lvlText w:val="■"/>
      <w:lvlJc w:val="left"/>
      <w:pPr>
        <w:ind w:left="2160" w:hanging="360"/>
      </w:pPr>
    </w:lvl>
    <w:lvl w:ilvl="3" w:tplc="F3D86A98">
      <w:start w:val="1"/>
      <w:numFmt w:val="bullet"/>
      <w:lvlText w:val="●"/>
      <w:lvlJc w:val="left"/>
      <w:pPr>
        <w:ind w:left="2880" w:hanging="360"/>
      </w:pPr>
    </w:lvl>
    <w:lvl w:ilvl="4" w:tplc="C65E97BC">
      <w:start w:val="1"/>
      <w:numFmt w:val="bullet"/>
      <w:lvlText w:val="○"/>
      <w:lvlJc w:val="left"/>
      <w:pPr>
        <w:ind w:left="3600" w:hanging="360"/>
      </w:pPr>
    </w:lvl>
    <w:lvl w:ilvl="5" w:tplc="7B6A1AAC">
      <w:start w:val="1"/>
      <w:numFmt w:val="bullet"/>
      <w:lvlText w:val="■"/>
      <w:lvlJc w:val="left"/>
      <w:pPr>
        <w:ind w:left="4320" w:hanging="360"/>
      </w:pPr>
    </w:lvl>
    <w:lvl w:ilvl="6" w:tplc="BEA2C85E">
      <w:start w:val="1"/>
      <w:numFmt w:val="bullet"/>
      <w:lvlText w:val="●"/>
      <w:lvlJc w:val="left"/>
      <w:pPr>
        <w:ind w:left="5040" w:hanging="360"/>
      </w:pPr>
    </w:lvl>
    <w:lvl w:ilvl="7" w:tplc="6792DC4C">
      <w:start w:val="1"/>
      <w:numFmt w:val="bullet"/>
      <w:lvlText w:val="●"/>
      <w:lvlJc w:val="left"/>
      <w:pPr>
        <w:ind w:left="5760" w:hanging="360"/>
      </w:pPr>
    </w:lvl>
    <w:lvl w:ilvl="8" w:tplc="CC1E3DC8">
      <w:start w:val="1"/>
      <w:numFmt w:val="bullet"/>
      <w:lvlText w:val="●"/>
      <w:lvlJc w:val="left"/>
      <w:pPr>
        <w:ind w:left="6480" w:hanging="360"/>
      </w:pPr>
    </w:lvl>
  </w:abstractNum>
  <w:abstractNum w:abstractNumId="1" w15:restartNumberingAfterBreak="0">
    <w:nsid w:val="62FD3F77"/>
    <w:multiLevelType w:val="hybridMultilevel"/>
    <w:tmpl w:val="0C7EB920"/>
    <w:lvl w:ilvl="0" w:tplc="6FD0D992">
      <w:start w:val="1"/>
      <w:numFmt w:val="bullet"/>
      <w:lvlText w:val="•"/>
      <w:lvlJc w:val="left"/>
      <w:pPr>
        <w:ind w:left="540" w:hanging="270"/>
      </w:pPr>
    </w:lvl>
    <w:lvl w:ilvl="1" w:tplc="5A363256">
      <w:numFmt w:val="decimal"/>
      <w:lvlText w:val=""/>
      <w:lvlJc w:val="left"/>
    </w:lvl>
    <w:lvl w:ilvl="2" w:tplc="9D96350A">
      <w:numFmt w:val="decimal"/>
      <w:lvlText w:val=""/>
      <w:lvlJc w:val="left"/>
    </w:lvl>
    <w:lvl w:ilvl="3" w:tplc="091240B2">
      <w:numFmt w:val="decimal"/>
      <w:lvlText w:val=""/>
      <w:lvlJc w:val="left"/>
    </w:lvl>
    <w:lvl w:ilvl="4" w:tplc="4150F474">
      <w:numFmt w:val="decimal"/>
      <w:lvlText w:val=""/>
      <w:lvlJc w:val="left"/>
    </w:lvl>
    <w:lvl w:ilvl="5" w:tplc="8B3E2CB0">
      <w:numFmt w:val="decimal"/>
      <w:lvlText w:val=""/>
      <w:lvlJc w:val="left"/>
    </w:lvl>
    <w:lvl w:ilvl="6" w:tplc="DBB06B3C">
      <w:numFmt w:val="decimal"/>
      <w:lvlText w:val=""/>
      <w:lvlJc w:val="left"/>
    </w:lvl>
    <w:lvl w:ilvl="7" w:tplc="6F06A6BA">
      <w:numFmt w:val="decimal"/>
      <w:lvlText w:val=""/>
      <w:lvlJc w:val="left"/>
    </w:lvl>
    <w:lvl w:ilvl="8" w:tplc="BE184CE0">
      <w:numFmt w:val="decimal"/>
      <w:lvlText w:val=""/>
      <w:lvlJc w:val="left"/>
    </w:lvl>
  </w:abstractNum>
  <w:abstractNum w:abstractNumId="2" w15:restartNumberingAfterBreak="0">
    <w:nsid w:val="70106308"/>
    <w:multiLevelType w:val="hybridMultilevel"/>
    <w:tmpl w:val="E836EEA6"/>
    <w:lvl w:ilvl="0" w:tplc="F3E07A58">
      <w:start w:val="1"/>
      <w:numFmt w:val="decimal"/>
      <w:lvlText w:val="%1."/>
      <w:lvlJc w:val="left"/>
      <w:pPr>
        <w:ind w:left="540" w:hanging="270"/>
      </w:pPr>
    </w:lvl>
    <w:lvl w:ilvl="1" w:tplc="0CD0DB8A">
      <w:numFmt w:val="decimal"/>
      <w:lvlText w:val=""/>
      <w:lvlJc w:val="left"/>
    </w:lvl>
    <w:lvl w:ilvl="2" w:tplc="C548EC3C">
      <w:numFmt w:val="decimal"/>
      <w:lvlText w:val=""/>
      <w:lvlJc w:val="left"/>
    </w:lvl>
    <w:lvl w:ilvl="3" w:tplc="82B4D0AA">
      <w:numFmt w:val="decimal"/>
      <w:lvlText w:val=""/>
      <w:lvlJc w:val="left"/>
    </w:lvl>
    <w:lvl w:ilvl="4" w:tplc="8BB8B446">
      <w:numFmt w:val="decimal"/>
      <w:lvlText w:val=""/>
      <w:lvlJc w:val="left"/>
    </w:lvl>
    <w:lvl w:ilvl="5" w:tplc="81E2566A">
      <w:numFmt w:val="decimal"/>
      <w:lvlText w:val=""/>
      <w:lvlJc w:val="left"/>
    </w:lvl>
    <w:lvl w:ilvl="6" w:tplc="8F226D54">
      <w:numFmt w:val="decimal"/>
      <w:lvlText w:val=""/>
      <w:lvlJc w:val="left"/>
    </w:lvl>
    <w:lvl w:ilvl="7" w:tplc="BFBAF6F2">
      <w:numFmt w:val="decimal"/>
      <w:lvlText w:val=""/>
      <w:lvlJc w:val="left"/>
    </w:lvl>
    <w:lvl w:ilvl="8" w:tplc="260E4AD4">
      <w:numFmt w:val="decimal"/>
      <w:lvlText w:val=""/>
      <w:lvlJc w:val="left"/>
    </w:lvl>
  </w:abstractNum>
  <w:num w:numId="1" w16cid:durableId="48574385">
    <w:abstractNumId w:val="0"/>
    <w:lvlOverride w:ilvl="0">
      <w:startOverride w:val="1"/>
    </w:lvlOverride>
  </w:num>
  <w:num w:numId="2" w16cid:durableId="1714698108">
    <w:abstractNumId w:val="1"/>
    <w:lvlOverride w:ilvl="0">
      <w:startOverride w:val="1"/>
    </w:lvlOverride>
  </w:num>
  <w:num w:numId="3" w16cid:durableId="4166376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919"/>
    <w:rsid w:val="005D2998"/>
    <w:rsid w:val="006E7CB4"/>
    <w:rsid w:val="00AD1919"/>
    <w:rsid w:val="00D82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E4E08"/>
  <w15:docId w15:val="{10D701D6-7164-4388-B85E-6AC0B0C2D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C8A24B"/>
      </w:pBdr>
      <w:spacing w:before="260" w:after="160"/>
      <w:outlineLvl w:val="0"/>
    </w:pPr>
    <w:rPr>
      <w:b/>
      <w:bCs/>
      <w:color w:val="1F3A5F"/>
      <w:sz w:val="30"/>
      <w:szCs w:val="30"/>
    </w:rPr>
  </w:style>
  <w:style w:type="paragraph" w:styleId="Heading2">
    <w:name w:val="heading 2"/>
    <w:uiPriority w:val="9"/>
    <w:unhideWhenUsed/>
    <w:qFormat/>
    <w:pPr>
      <w:spacing w:before="200" w:after="100"/>
      <w:outlineLvl w:val="1"/>
    </w:pPr>
    <w:rPr>
      <w:b/>
      <w:bCs/>
      <w:color w:val="2E6CA4"/>
      <w:sz w:val="24"/>
      <w:szCs w:val="24"/>
    </w:rPr>
  </w:style>
  <w:style w:type="paragraph" w:styleId="Heading3">
    <w:name w:val="heading 3"/>
    <w:uiPriority w:val="9"/>
    <w:semiHidden/>
    <w:unhideWhenUsed/>
    <w:qFormat/>
    <w:pPr>
      <w:spacing w:before="140" w:after="80"/>
      <w:outlineLvl w:val="2"/>
    </w:pPr>
    <w:rPr>
      <w:b/>
      <w:bCs/>
      <w:color w:val="1F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2998"/>
    <w:pPr>
      <w:spacing w:after="100"/>
    </w:pPr>
  </w:style>
  <w:style w:type="paragraph" w:styleId="TOC2">
    <w:name w:val="toc 2"/>
    <w:basedOn w:val="Normal"/>
    <w:next w:val="Normal"/>
    <w:autoRedefine/>
    <w:uiPriority w:val="39"/>
    <w:unhideWhenUsed/>
    <w:rsid w:val="005D2998"/>
    <w:pPr>
      <w:spacing w:after="100"/>
      <w:ind w:left="210"/>
    </w:pPr>
  </w:style>
  <w:style w:type="paragraph" w:styleId="Header">
    <w:name w:val="header"/>
    <w:basedOn w:val="Normal"/>
    <w:link w:val="HeaderChar"/>
    <w:uiPriority w:val="99"/>
    <w:unhideWhenUsed/>
    <w:rsid w:val="005D2998"/>
    <w:pPr>
      <w:tabs>
        <w:tab w:val="center" w:pos="4680"/>
        <w:tab w:val="right" w:pos="9360"/>
      </w:tabs>
    </w:pPr>
  </w:style>
  <w:style w:type="character" w:customStyle="1" w:styleId="HeaderChar">
    <w:name w:val="Header Char"/>
    <w:basedOn w:val="DefaultParagraphFont"/>
    <w:link w:val="Header"/>
    <w:uiPriority w:val="99"/>
    <w:rsid w:val="005D2998"/>
  </w:style>
  <w:style w:type="paragraph" w:styleId="Footer">
    <w:name w:val="footer"/>
    <w:basedOn w:val="Normal"/>
    <w:link w:val="FooterChar"/>
    <w:uiPriority w:val="99"/>
    <w:unhideWhenUsed/>
    <w:rsid w:val="005D2998"/>
    <w:pPr>
      <w:tabs>
        <w:tab w:val="center" w:pos="4680"/>
        <w:tab w:val="right" w:pos="9360"/>
      </w:tabs>
    </w:pPr>
  </w:style>
  <w:style w:type="character" w:customStyle="1" w:styleId="FooterChar">
    <w:name w:val="Footer Char"/>
    <w:basedOn w:val="DefaultParagraphFont"/>
    <w:link w:val="Footer"/>
    <w:uiPriority w:val="99"/>
    <w:rsid w:val="005D2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dular.org/2025/03/21/mbi-issues-policy-position-on-tariffs-and-their-impact-on-modular-construction/" TargetMode="External"/><Relationship Id="rId13" Type="http://schemas.openxmlformats.org/officeDocument/2006/relationships/hyperlink" Target="https://investor.cavco.com/public/phhweb/gallery/userupload/ir-doc-1095/cvco_2025.3.29_10_k_2025_05_23_13_26.pdf" TargetMode="External"/><Relationship Id="rId18" Type="http://schemas.openxmlformats.org/officeDocument/2006/relationships/hyperlink" Target="https://www.mckinsey.com/industries/engineering-construction-and-building-materials/our-insights/putting-the-pieces-together-unlocking-success-in-modular-constructi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modular.org/2025/08/11/statement-on-the-road-to-housing-act/" TargetMode="External"/><Relationship Id="rId7" Type="http://schemas.openxmlformats.org/officeDocument/2006/relationships/hyperlink" Target="https://www.modular.org/industry-analysis/" TargetMode="External"/><Relationship Id="rId12" Type="http://schemas.openxmlformats.org/officeDocument/2006/relationships/hyperlink" Target="https://www.sec.gov/Archives/edgar/data/0000090896/000119312526239333/sky-20260328.htm" TargetMode="External"/><Relationship Id="rId17" Type="http://schemas.openxmlformats.org/officeDocument/2006/relationships/hyperlink" Target="https://www.nccer.org/research/2025-workforce-survey-agc-ncce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bc.org/News-Media/News-Releases/abc-construction-industry-faces-workforce-shortage-of-439000-in-2025" TargetMode="External"/><Relationship Id="rId20" Type="http://schemas.openxmlformats.org/officeDocument/2006/relationships/hyperlink" Target="https://www.npr.org/2026/07/10/nx-s1-5885027/housing-bill-without-trump-signatu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erkshirehathaway.com/2025ar/2025ar.pdf"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sec.gov/Archives/edgar/data/0000752714/000119312526071463/mgrc-20251231.htm" TargetMode="External"/><Relationship Id="rId23" Type="http://schemas.openxmlformats.org/officeDocument/2006/relationships/header" Target="header1.xml"/><Relationship Id="rId10" Type="http://schemas.openxmlformats.org/officeDocument/2006/relationships/hyperlink" Target="https://www.census.gov/programs-surveys/mhs/data/latest-data.html" TargetMode="External"/><Relationship Id="rId19" Type="http://schemas.openxmlformats.org/officeDocument/2006/relationships/hyperlink" Target="https://bipartisanpolicy.org/issue-brief/inside-the-deal-whats-in-the-final-21st-century-road-to-housing-act/" TargetMode="External"/><Relationship Id="rId4" Type="http://schemas.openxmlformats.org/officeDocument/2006/relationships/webSettings" Target="webSettings.xml"/><Relationship Id="rId9" Type="http://schemas.openxmlformats.org/officeDocument/2006/relationships/hyperlink" Target="https://www.nahb.org/blog/2025/08/the-offsite-construction-market-share-flattens-nationally-in-2024" TargetMode="External"/><Relationship Id="rId14" Type="http://schemas.openxmlformats.org/officeDocument/2006/relationships/hyperlink" Target="https://www.globenewswire.com/news-release/2026/02/19/3241538/0/en/WillScot-Reports-Fourth-Quarter-and-Full-Year-2025-Results-and-Provides-2026-Outlook.html" TargetMode="External"/><Relationship Id="rId22" Type="http://schemas.openxmlformats.org/officeDocument/2006/relationships/hyperlink" Target="https://www.ivoryinnovations.org/post/what-s-next-for-prefab-housing-the-road-to-housing-act-and-the-future-of-factory-built-ho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5507</Words>
  <Characters>31392</Characters>
  <Application>Microsoft Office Word</Application>
  <DocSecurity>0</DocSecurity>
  <Lines>261</Lines>
  <Paragraphs>73</Paragraphs>
  <ScaleCrop>false</ScaleCrop>
  <Company/>
  <LinksUpToDate>false</LinksUpToDate>
  <CharactersWithSpaces>36826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Modular &amp; Prefabricated Building Industry</dc:title>
  <dc:creator>Industry Research</dc:creator>
  <cp:lastModifiedBy>Durendal Huynh</cp:lastModifiedBy>
  <cp:revision>2</cp:revision>
  <dcterms:created xsi:type="dcterms:W3CDTF">2026-06-06T20:48:00Z</dcterms:created>
  <dcterms:modified xsi:type="dcterms:W3CDTF">2026-07-31T20:46:00Z</dcterms:modified>
</cp:coreProperties>
</file>