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March 2010</w:t>
      </w:r>
      <w:r w:rsidR="009D2226">
        <w:t xml:space="preserve"> by M</w:t>
      </w:r>
      <w:r>
        <w:t>.</w:t>
      </w:r>
      <w:r w:rsidR="00074F48">
        <w:t xml:space="preserve"> </w:t>
      </w:r>
      <w:r>
        <w:t>Harada</w:t>
      </w:r>
    </w:p>
    <w:p w14:paraId="6AB985E1" w14:textId="021A2A85" w:rsidR="001276BE" w:rsidRPr="009D2226" w:rsidRDefault="001276BE" w:rsidP="00801FBB">
      <w:pPr>
        <w:jc w:val="right"/>
      </w:pPr>
      <w:r>
        <w:t xml:space="preserve">Last updated, Date : </w:t>
      </w:r>
      <w:r>
        <w:fldChar w:fldCharType="begin"/>
      </w:r>
      <w:r>
        <w:instrText xml:space="preserve"> DATE \@ "MMMM d, yyyy" </w:instrText>
      </w:r>
      <w:r>
        <w:fldChar w:fldCharType="separate"/>
      </w:r>
      <w:r w:rsidR="00371B6E">
        <w:rPr>
          <w:noProof/>
        </w:rPr>
        <w:t>May 8, 2020</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371B6E"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371B6E"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371B6E"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371B6E"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.vb</w:t>
      </w:r>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r w:rsidRPr="00D91299">
        <w:rPr>
          <w:b/>
        </w:rPr>
        <w:t>RvtCmd_FamilyCreate</w:t>
      </w:r>
      <w:r w:rsidR="00F56912">
        <w:rPr>
          <w:b/>
        </w:rPr>
        <w:t>Column</w:t>
      </w:r>
      <w:r w:rsidR="00947E9A">
        <w:rPr>
          <w:b/>
        </w:rPr>
        <w:t>FormulaMaterial</w:t>
      </w:r>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So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3"/>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3"/>
      <w:r w:rsidR="000F1271">
        <w:rPr>
          <w:rStyle w:val="CommentReference"/>
        </w:rPr>
        <w:commentReference w:id="3"/>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7183FA7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“ColumnFinish”)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 xml:space="preserve">“ColumnFinish”.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r w:rsidRPr="00EE2C24">
        <w:rPr>
          <w:rFonts w:ascii="Courier New" w:hAnsi="Courier New" w:cs="Courier New"/>
          <w:sz w:val="20"/>
          <w:szCs w:val="20"/>
        </w:rPr>
        <w:t>Execute()</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4" w:name="testYourColumn"/>
      <w:r w:rsidR="00E5778D">
        <w:rPr>
          <w:b/>
          <w:sz w:val="28"/>
        </w:rPr>
        <w:t xml:space="preserve">Test Your Column  </w:t>
      </w:r>
      <w:bookmarkEnd w:id="4"/>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.addin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&lt;AddIn Type="Command"&gt;</w:t>
      </w:r>
    </w:p>
    <w:p w14:paraId="1EA050FB" w14:textId="585C5178" w:rsidR="007F7D14" w:rsidRDefault="007F7D14" w:rsidP="007F7D14">
      <w:pPr>
        <w:shd w:val="pct15" w:color="auto" w:fill="auto"/>
        <w:autoSpaceDE w:val="0"/>
        <w:autoSpaceDN w:val="0"/>
        <w:adjustRightInd w:val="0"/>
        <w:spacing w:after="0" w:line="240" w:lineRule="auto"/>
      </w:pPr>
      <w:r>
        <w:t xml:space="preserve">    &lt;Assembly&gt;C:\Revit SDK 20</w:t>
      </w:r>
      <w:r w:rsidR="00CD3311">
        <w:t>2</w:t>
      </w:r>
      <w:r w:rsidR="00371B6E">
        <w:t>1</w:t>
      </w:r>
      <w:bookmarkStart w:id="5" w:name="_GoBack"/>
      <w:bookmarkEnd w:id="5"/>
      <w:r>
        <w:t>\Family Labs\FamilyLabsCS\bin\Debug\FamilyLabsCS.dll&lt;/Assembly&gt;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&lt;AddInId&gt;74FEF9E3-81E2-44c8-B137-0C9EE48F68A4&lt;/AddInId&gt;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&lt;VisibilityMode&gt;NotVisibleInProject&lt;/VisibilityMode&gt;</w:t>
      </w:r>
    </w:p>
    <w:p w14:paraId="2F0BA47B" w14:textId="77777777" w:rsidR="00CF78A1" w:rsidRDefault="007F7D14" w:rsidP="007F7D14">
      <w:pPr>
        <w:shd w:val="pct15" w:color="auto" w:fill="auto"/>
        <w:autoSpaceDE w:val="0"/>
        <w:autoSpaceDN w:val="0"/>
        <w:adjustRightInd w:val="0"/>
        <w:spacing w:after="0" w:line="240" w:lineRule="auto"/>
      </w:pPr>
      <w:r>
        <w:t xml:space="preserve">    &lt;AccessibilityClassName&gt;Revit.Samples.SampleAccessibilityCheck &lt;/AccessibilityClassName&gt;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&lt;VendorId&gt;ADNP&lt;/VendorId&gt;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&lt;VendorDescription&gt;Autodesk,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&lt;/AddIn&gt;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&lt;/RevitAddIns&gt;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Column.rft"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“ColumnFinish”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71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71732" w16cid:durableId="224EE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7626E"/>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71B6E"/>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A63E0"/>
    <w:rsid w:val="00CD3311"/>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F668E-EFBE-44D9-B6E4-19D149D4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22</cp:revision>
  <dcterms:created xsi:type="dcterms:W3CDTF">2010-03-15T16:14:00Z</dcterms:created>
  <dcterms:modified xsi:type="dcterms:W3CDTF">2020-05-08T17:05:00Z</dcterms:modified>
</cp:coreProperties>
</file>