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FD1D6A" w:rsidRPr="009D2226" w:rsidRDefault="00FD1D6A" w:rsidP="009D2226">
      <w:pPr>
        <w:jc w:val="right"/>
      </w:pPr>
      <w:r>
        <w:t xml:space="preserve">Last updated, Date :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471F57">
        <w:rPr>
          <w:noProof/>
        </w:rPr>
        <w:t>May 8, 2020</w:t>
      </w:r>
      <w:r>
        <w:fldChar w:fldCharType="end"/>
      </w:r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>lines in Coarse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471F57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471F57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471F57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471F57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.cs)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r w:rsidRPr="00D91299">
        <w:rPr>
          <w:b/>
        </w:rPr>
        <w:t>RvtCmd_FamilyCreate</w:t>
      </w:r>
      <w:r w:rsidR="00DC6368">
        <w:rPr>
          <w:b/>
        </w:rPr>
        <w:t>ColumnVisibility</w:t>
      </w:r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</w:t>
      </w:r>
      <w:r w:rsidR="00884DA2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1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level :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line</w:t>
      </w:r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  define vertices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Dim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pts()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As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 = {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d / 2,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-d / 2 + t,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</w:t>
      </w:r>
      <w:r w:rsidR="00B6407A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</w:t>
      </w:r>
      <w:r w:rsidR="00CA111E">
        <w:rPr>
          <w:rFonts w:ascii="Courier New" w:hAnsi="Courier New" w:cs="Courier New"/>
          <w:noProof/>
          <w:sz w:val="20"/>
          <w:szCs w:val="20"/>
        </w:rPr>
        <w:t>Plane.CreateByNormalAndOrigin</w:t>
      </w:r>
      <w:r>
        <w:rPr>
          <w:rFonts w:ascii="Courier New" w:hAnsi="Courier New" w:cs="Courier New"/>
          <w:noProof/>
          <w:sz w:val="20"/>
          <w:szCs w:val="20"/>
        </w:rPr>
        <w:t>(normal, pts(1))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</w:t>
      </w:r>
      <w:r w:rsidR="00406CFA" w:rsidRPr="000B55A6">
        <w:rPr>
          <w:rFonts w:ascii="Courier New" w:hAnsi="Courier New" w:cs="Courier New"/>
          <w:noProof/>
          <w:sz w:val="20"/>
          <w:szCs w:val="20"/>
        </w:rPr>
        <w:t>SketchPlane.Create(_rvtDoc,pGeomPlaneH)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(pts(0), pts(1)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pts(2))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Document.FamilyCreate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r w:rsidR="00037A0E">
        <w:t xml:space="preserve">FamilyElementVisibility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EamilyElementVisitlityType in the constructor, which are a type of either ViewSpecific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r>
        <w:t>ViewSpecific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r w:rsidR="00A0405C" w:rsidRPr="00EE2C24">
        <w:rPr>
          <w:rFonts w:ascii="Courier New" w:hAnsi="Courier New" w:cs="Courier New"/>
          <w:sz w:val="20"/>
          <w:szCs w:val="20"/>
        </w:rPr>
        <w:t>Execute()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t xml:space="preserve">The exact same idea as we have done for line objects earlier. Create a FamilyElementVisibility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IsShownInCoarse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  <w:bookmarkEnd w:id="3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.addin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&lt;?xml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&lt;RevitAddIns&gt;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&lt;AddIn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</w:t>
      </w:r>
      <w:r w:rsidR="008542E3">
        <w:t>2</w:t>
      </w:r>
      <w:r w:rsidR="00471F57">
        <w:t>1</w:t>
      </w:r>
      <w:bookmarkStart w:id="4" w:name="_GoBack"/>
      <w:bookmarkEnd w:id="4"/>
      <w:r>
        <w:t>\Family Labs\FamilyLabsVB\bin\Debug\FamilyLabsVB.dll&lt;/Assembly&gt;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&lt;AddInId&gt;0F50806E-9E10-469e-8751-8EA62A03D960&lt;/AddInId&gt;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&lt;VisibilityMode&gt;NotVisibleInProject&lt;/VisibilityMode&gt;</w:t>
      </w:r>
    </w:p>
    <w:p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&lt;AccessibilityClassName&gt;Revit.Samples.SampleAccessibilityCheck &lt;/AccessibilityClassName&gt;</w:t>
      </w:r>
    </w:p>
    <w:p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&lt;VendorId&gt;ADNP&lt;/VendorId&gt;</w:t>
      </w:r>
    </w:p>
    <w:p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&lt;VendorDescription&gt;Autodesk, Inc. www.autodesk.com&lt;/VendorDescription&gt;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&lt;/AddIn&gt;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&lt;/RevitAddIns&gt;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06CFA"/>
    <w:rsid w:val="00414F29"/>
    <w:rsid w:val="00466BAD"/>
    <w:rsid w:val="00471F54"/>
    <w:rsid w:val="00471F57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542E3"/>
    <w:rsid w:val="00884DA2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6407A"/>
    <w:rsid w:val="00B80D7B"/>
    <w:rsid w:val="00B8641E"/>
    <w:rsid w:val="00BC6C4C"/>
    <w:rsid w:val="00C17DF5"/>
    <w:rsid w:val="00C2697D"/>
    <w:rsid w:val="00C365E4"/>
    <w:rsid w:val="00C43AC0"/>
    <w:rsid w:val="00C64530"/>
    <w:rsid w:val="00C76CF7"/>
    <w:rsid w:val="00CA111E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95F62"/>
    <w:rsid w:val="00EA7AEF"/>
    <w:rsid w:val="00EE2C24"/>
    <w:rsid w:val="00F104C0"/>
    <w:rsid w:val="00F356DD"/>
    <w:rsid w:val="00F47F37"/>
    <w:rsid w:val="00F95DDF"/>
    <w:rsid w:val="00FA3615"/>
    <w:rsid w:val="00FD1D6A"/>
    <w:rsid w:val="00FD6372"/>
    <w:rsid w:val="00FE5ECF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F87D"/>
  <w15:docId w15:val="{BF676A11-80D3-42EE-A593-427D28B8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973AC-9EEA-4D9F-A6FD-04B8706E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1502</Words>
  <Characters>8564</Characters>
  <Application>Microsoft Office Word</Application>
  <DocSecurity>0</DocSecurity>
  <Lines>71</Lines>
  <Paragraphs>20</Paragraphs>
  <ScaleCrop>false</ScaleCrop>
  <Company>Autodesk, Inc.</Company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20</cp:revision>
  <dcterms:created xsi:type="dcterms:W3CDTF">2010-03-15T16:11:00Z</dcterms:created>
  <dcterms:modified xsi:type="dcterms:W3CDTF">2020-05-08T17:06:00Z</dcterms:modified>
</cp:coreProperties>
</file>