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3F0C" w:rsidRPr="00893F0C" w:rsidRDefault="00893F0C" w:rsidP="00893F0C">
      <w:pPr>
        <w:spacing w:before="136" w:after="136" w:line="240" w:lineRule="auto"/>
        <w:rPr>
          <w:rFonts w:ascii="Trebuchet MS" w:eastAsia="Times New Roman" w:hAnsi="Trebuchet MS" w:cs="Times New Roman"/>
          <w:sz w:val="19"/>
          <w:szCs w:val="19"/>
        </w:rPr>
      </w:pPr>
      <w:r>
        <w:rPr>
          <w:rFonts w:ascii="Trebuchet MS" w:eastAsia="Times New Roman" w:hAnsi="Trebuchet MS" w:cs="Times New Roman"/>
          <w:noProof/>
          <w:sz w:val="19"/>
          <w:szCs w:val="19"/>
        </w:rPr>
        <w:drawing>
          <wp:inline distT="0" distB="0" distL="0" distR="0">
            <wp:extent cx="4287520" cy="189865"/>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a:srcRect/>
                    <a:stretch>
                      <a:fillRect/>
                    </a:stretch>
                  </pic:blipFill>
                  <pic:spPr bwMode="auto">
                    <a:xfrm>
                      <a:off x="0" y="0"/>
                      <a:ext cx="4287520" cy="189865"/>
                    </a:xfrm>
                    <a:prstGeom prst="rect">
                      <a:avLst/>
                    </a:prstGeom>
                    <a:noFill/>
                    <a:ln w="9525">
                      <a:noFill/>
                      <a:miter lim="800000"/>
                      <a:headEnd/>
                      <a:tailEnd/>
                    </a:ln>
                  </pic:spPr>
                </pic:pic>
              </a:graphicData>
            </a:graphic>
          </wp:inline>
        </w:drawing>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Vault uses two different security mechanisms.  There is a system based on </w:t>
      </w:r>
      <w:r w:rsidRPr="00893F0C">
        <w:rPr>
          <w:rFonts w:ascii="Trebuchet MS" w:eastAsia="Times New Roman" w:hAnsi="Trebuchet MS" w:cs="Times New Roman"/>
          <w:b/>
          <w:bCs/>
          <w:sz w:val="19"/>
          <w:szCs w:val="19"/>
        </w:rPr>
        <w:t>user permissions</w:t>
      </w:r>
      <w:r w:rsidRPr="00893F0C">
        <w:rPr>
          <w:rFonts w:ascii="Trebuchet MS" w:eastAsia="Times New Roman" w:hAnsi="Trebuchet MS" w:cs="Times New Roman"/>
          <w:sz w:val="19"/>
          <w:szCs w:val="19"/>
        </w:rPr>
        <w:t xml:space="preserve"> and one based on </w:t>
      </w:r>
      <w:r w:rsidRPr="00893F0C">
        <w:rPr>
          <w:rFonts w:ascii="Trebuchet MS" w:eastAsia="Times New Roman" w:hAnsi="Trebuchet MS" w:cs="Times New Roman"/>
          <w:b/>
          <w:bCs/>
          <w:sz w:val="19"/>
          <w:szCs w:val="19"/>
        </w:rPr>
        <w:t>access control lists</w:t>
      </w:r>
      <w:r w:rsidRPr="00893F0C">
        <w:rPr>
          <w:rFonts w:ascii="Trebuchet MS" w:eastAsia="Times New Roman" w:hAnsi="Trebuchet MS" w:cs="Times New Roman"/>
          <w:sz w:val="19"/>
          <w:szCs w:val="19"/>
        </w:rPr>
        <w:t xml:space="preserve"> (ACL).  The permissions-based security is part of the base Vault functionality, but the ACL based security is an optional feature which is may or may not be available depending on the version of Vault.</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Both security systems operate differently.  They are conceptually </w:t>
      </w:r>
      <w:proofErr w:type="gramStart"/>
      <w:r w:rsidRPr="00893F0C">
        <w:rPr>
          <w:rFonts w:ascii="Trebuchet MS" w:eastAsia="Times New Roman" w:hAnsi="Trebuchet MS" w:cs="Times New Roman"/>
          <w:sz w:val="19"/>
          <w:szCs w:val="19"/>
        </w:rPr>
        <w:t>different,</w:t>
      </w:r>
      <w:proofErr w:type="gramEnd"/>
      <w:r w:rsidRPr="00893F0C">
        <w:rPr>
          <w:rFonts w:ascii="Trebuchet MS" w:eastAsia="Times New Roman" w:hAnsi="Trebuchet MS" w:cs="Times New Roman"/>
          <w:sz w:val="19"/>
          <w:szCs w:val="19"/>
        </w:rPr>
        <w:t xml:space="preserve"> they have different API's, and were designed to solve different problems.  There are even cases where the two mechanisms contradict each other.</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b/>
          <w:bCs/>
          <w:sz w:val="27"/>
        </w:rPr>
        <w:t>Permission-Based Security</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Each user has a set of </w:t>
      </w:r>
      <w:r w:rsidRPr="00893F0C">
        <w:rPr>
          <w:rFonts w:ascii="Trebuchet MS" w:eastAsia="Times New Roman" w:hAnsi="Trebuchet MS" w:cs="Times New Roman"/>
          <w:b/>
          <w:bCs/>
          <w:sz w:val="19"/>
        </w:rPr>
        <w:t>roles</w:t>
      </w:r>
      <w:r w:rsidRPr="00893F0C">
        <w:rPr>
          <w:rFonts w:ascii="Trebuchet MS" w:eastAsia="Times New Roman" w:hAnsi="Trebuchet MS" w:cs="Times New Roman"/>
          <w:sz w:val="19"/>
          <w:szCs w:val="19"/>
        </w:rPr>
        <w:t xml:space="preserve"> and each role has a set of </w:t>
      </w:r>
      <w:r w:rsidRPr="00893F0C">
        <w:rPr>
          <w:rFonts w:ascii="Trebuchet MS" w:eastAsia="Times New Roman" w:hAnsi="Trebuchet MS" w:cs="Times New Roman"/>
          <w:b/>
          <w:bCs/>
          <w:sz w:val="19"/>
        </w:rPr>
        <w:t>permissions</w:t>
      </w:r>
      <w:r w:rsidRPr="00893F0C">
        <w:rPr>
          <w:rFonts w:ascii="Trebuchet MS" w:eastAsia="Times New Roman" w:hAnsi="Trebuchet MS" w:cs="Times New Roman"/>
          <w:sz w:val="19"/>
          <w:szCs w:val="19"/>
        </w:rPr>
        <w:t xml:space="preserve">.  These permissions determine what the user can do.  Also, these permissions apply globally to everything in the Vault.  For example, a user has the “File Read” permission, </w:t>
      </w:r>
      <w:proofErr w:type="gramStart"/>
      <w:r w:rsidRPr="00893F0C">
        <w:rPr>
          <w:rFonts w:ascii="Trebuchet MS" w:eastAsia="Times New Roman" w:hAnsi="Trebuchet MS" w:cs="Times New Roman"/>
          <w:sz w:val="19"/>
          <w:szCs w:val="19"/>
        </w:rPr>
        <w:t>then</w:t>
      </w:r>
      <w:proofErr w:type="gramEnd"/>
      <w:r w:rsidRPr="00893F0C">
        <w:rPr>
          <w:rFonts w:ascii="Trebuchet MS" w:eastAsia="Times New Roman" w:hAnsi="Trebuchet MS" w:cs="Times New Roman"/>
          <w:sz w:val="19"/>
          <w:szCs w:val="19"/>
        </w:rPr>
        <w:t xml:space="preserve"> they can read any file in the Vault. </w:t>
      </w:r>
      <w:r w:rsidRPr="00893F0C">
        <w:rPr>
          <w:rFonts w:ascii="Trebuchet MS" w:eastAsia="Times New Roman" w:hAnsi="Trebuchet MS" w:cs="Times New Roman"/>
          <w:sz w:val="19"/>
          <w:szCs w:val="19"/>
        </w:rPr>
        <w:br/>
      </w:r>
      <w:r>
        <w:rPr>
          <w:rFonts w:ascii="Trebuchet MS" w:eastAsia="Times New Roman" w:hAnsi="Trebuchet MS" w:cs="Times New Roman"/>
          <w:noProof/>
          <w:sz w:val="19"/>
          <w:szCs w:val="19"/>
        </w:rPr>
        <w:drawing>
          <wp:inline distT="0" distB="0" distL="0" distR="0">
            <wp:extent cx="3002280" cy="3813175"/>
            <wp:effectExtent l="19050" t="0" r="7620" b="0"/>
            <wp:docPr id="2" name="Picture 2" descr="http://justonesandzeros.typepad.com/images/2009/Security/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09/Security/Permissions.png"/>
                    <pic:cNvPicPr>
                      <a:picLocks noChangeAspect="1" noChangeArrowheads="1"/>
                    </pic:cNvPicPr>
                  </pic:nvPicPr>
                  <pic:blipFill>
                    <a:blip r:embed="rId5"/>
                    <a:srcRect/>
                    <a:stretch>
                      <a:fillRect/>
                    </a:stretch>
                  </pic:blipFill>
                  <pic:spPr bwMode="auto">
                    <a:xfrm>
                      <a:off x="0" y="0"/>
                      <a:ext cx="3002280" cy="3813175"/>
                    </a:xfrm>
                    <a:prstGeom prst="rect">
                      <a:avLst/>
                    </a:prstGeom>
                    <a:noFill/>
                    <a:ln w="9525">
                      <a:noFill/>
                      <a:miter lim="800000"/>
                      <a:headEnd/>
                      <a:tailEnd/>
                    </a:ln>
                  </pic:spPr>
                </pic:pic>
              </a:graphicData>
            </a:graphic>
          </wp:inline>
        </w:drawing>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If a user has multiple roles, then his permission set is the union of those role permissions.  So a user has the “File Read” permission as long as he is in at least 1 role that has that permission.  The same thing applies to groups.  Groups can have roles associated with them.  These roles trickle down to the users.  For example, a user can have no permissions of </w:t>
      </w:r>
      <w:proofErr w:type="spellStart"/>
      <w:proofErr w:type="gramStart"/>
      <w:r w:rsidRPr="00893F0C">
        <w:rPr>
          <w:rFonts w:ascii="Trebuchet MS" w:eastAsia="Times New Roman" w:hAnsi="Trebuchet MS" w:cs="Times New Roman"/>
          <w:sz w:val="19"/>
          <w:szCs w:val="19"/>
        </w:rPr>
        <w:t>it's</w:t>
      </w:r>
      <w:proofErr w:type="spellEnd"/>
      <w:proofErr w:type="gramEnd"/>
      <w:r w:rsidRPr="00893F0C">
        <w:rPr>
          <w:rFonts w:ascii="Trebuchet MS" w:eastAsia="Times New Roman" w:hAnsi="Trebuchet MS" w:cs="Times New Roman"/>
          <w:sz w:val="19"/>
          <w:szCs w:val="19"/>
        </w:rPr>
        <w:t xml:space="preserve"> own, but if it's part of the Administrators group, that user has administrative permissions.  Being part of a group will never take away permissions from a user;</w:t>
      </w:r>
      <w:proofErr w:type="gramStart"/>
      <w:r w:rsidRPr="00893F0C">
        <w:rPr>
          <w:rFonts w:ascii="Trebuchet MS" w:eastAsia="Times New Roman" w:hAnsi="Trebuchet MS" w:cs="Times New Roman"/>
          <w:sz w:val="19"/>
          <w:szCs w:val="19"/>
        </w:rPr>
        <w:t>  the</w:t>
      </w:r>
      <w:proofErr w:type="gramEnd"/>
      <w:r w:rsidRPr="00893F0C">
        <w:rPr>
          <w:rFonts w:ascii="Trebuchet MS" w:eastAsia="Times New Roman" w:hAnsi="Trebuchet MS" w:cs="Times New Roman"/>
          <w:sz w:val="19"/>
          <w:szCs w:val="19"/>
        </w:rPr>
        <w:t xml:space="preserve"> user can only gain extra permissions when being part of a group.  In other words, an </w:t>
      </w:r>
      <w:r w:rsidRPr="00893F0C">
        <w:rPr>
          <w:rFonts w:ascii="Trebuchet MS" w:eastAsia="Times New Roman" w:hAnsi="Trebuchet MS" w:cs="Times New Roman"/>
          <w:b/>
          <w:bCs/>
          <w:sz w:val="19"/>
        </w:rPr>
        <w:t>inclusive</w:t>
      </w:r>
      <w:r w:rsidRPr="00893F0C">
        <w:rPr>
          <w:rFonts w:ascii="Trebuchet MS" w:eastAsia="Times New Roman" w:hAnsi="Trebuchet MS" w:cs="Times New Roman"/>
          <w:sz w:val="19"/>
          <w:szCs w:val="19"/>
        </w:rPr>
        <w:t xml:space="preserve"> model is used.</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b/>
          <w:bCs/>
          <w:sz w:val="27"/>
        </w:rPr>
        <w:t>ACL-Based Security</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An ACL is a list of who can is allowed and denied access to a given object.  Each ACL contains a list of Access Control Entries (ACE).  Each ACE contains a single User or Group and the list of permissions that they have.  Vault currently has 3 types of permissions:  </w:t>
      </w:r>
      <w:r w:rsidRPr="00893F0C">
        <w:rPr>
          <w:rFonts w:ascii="Trebuchet MS" w:eastAsia="Times New Roman" w:hAnsi="Trebuchet MS" w:cs="Times New Roman"/>
          <w:b/>
          <w:bCs/>
          <w:sz w:val="19"/>
        </w:rPr>
        <w:t>Read</w:t>
      </w:r>
      <w:r w:rsidRPr="00893F0C">
        <w:rPr>
          <w:rFonts w:ascii="Trebuchet MS" w:eastAsia="Times New Roman" w:hAnsi="Trebuchet MS" w:cs="Times New Roman"/>
          <w:sz w:val="19"/>
          <w:szCs w:val="19"/>
        </w:rPr>
        <w:t xml:space="preserve">, </w:t>
      </w:r>
      <w:r w:rsidRPr="00893F0C">
        <w:rPr>
          <w:rFonts w:ascii="Trebuchet MS" w:eastAsia="Times New Roman" w:hAnsi="Trebuchet MS" w:cs="Times New Roman"/>
          <w:b/>
          <w:bCs/>
          <w:sz w:val="19"/>
        </w:rPr>
        <w:t>Write</w:t>
      </w:r>
      <w:r w:rsidRPr="00893F0C">
        <w:rPr>
          <w:rFonts w:ascii="Trebuchet MS" w:eastAsia="Times New Roman" w:hAnsi="Trebuchet MS" w:cs="Times New Roman"/>
          <w:sz w:val="19"/>
          <w:szCs w:val="19"/>
        </w:rPr>
        <w:t xml:space="preserve"> and </w:t>
      </w:r>
      <w:r w:rsidRPr="00893F0C">
        <w:rPr>
          <w:rFonts w:ascii="Trebuchet MS" w:eastAsia="Times New Roman" w:hAnsi="Trebuchet MS" w:cs="Times New Roman"/>
          <w:b/>
          <w:bCs/>
          <w:sz w:val="19"/>
        </w:rPr>
        <w:t>Delete</w:t>
      </w:r>
      <w:r w:rsidRPr="00893F0C">
        <w:rPr>
          <w:rFonts w:ascii="Trebuchet MS" w:eastAsia="Times New Roman" w:hAnsi="Trebuchet MS" w:cs="Times New Roman"/>
          <w:sz w:val="19"/>
          <w:szCs w:val="19"/>
        </w:rPr>
        <w:t xml:space="preserve">.  An ACE does not need to contain all 3 permissions.  For example, it can just set Read to ALLOW (true) and not specify the Write or Delete permissions.   </w:t>
      </w:r>
      <w:r w:rsidRPr="00893F0C">
        <w:rPr>
          <w:rFonts w:ascii="Trebuchet MS" w:eastAsia="Times New Roman" w:hAnsi="Trebuchet MS" w:cs="Times New Roman"/>
          <w:sz w:val="19"/>
          <w:szCs w:val="19"/>
        </w:rPr>
        <w:br/>
        <w:t> </w:t>
      </w:r>
      <w:r>
        <w:rPr>
          <w:rFonts w:ascii="Trebuchet MS" w:eastAsia="Times New Roman" w:hAnsi="Trebuchet MS" w:cs="Times New Roman"/>
          <w:noProof/>
          <w:sz w:val="19"/>
          <w:szCs w:val="19"/>
        </w:rPr>
        <w:drawing>
          <wp:inline distT="0" distB="0" distL="0" distR="0">
            <wp:extent cx="3493770" cy="4235450"/>
            <wp:effectExtent l="19050" t="0" r="0" b="0"/>
            <wp:docPr id="3" name="Picture 3" descr="http://justonesandzeros.typepad.com/images/2009/Security/FolderA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09/Security/FolderACL.png"/>
                    <pic:cNvPicPr>
                      <a:picLocks noChangeAspect="1" noChangeArrowheads="1"/>
                    </pic:cNvPicPr>
                  </pic:nvPicPr>
                  <pic:blipFill>
                    <a:blip r:embed="rId6"/>
                    <a:srcRect/>
                    <a:stretch>
                      <a:fillRect/>
                    </a:stretch>
                  </pic:blipFill>
                  <pic:spPr bwMode="auto">
                    <a:xfrm>
                      <a:off x="0" y="0"/>
                      <a:ext cx="3493770" cy="4235450"/>
                    </a:xfrm>
                    <a:prstGeom prst="rect">
                      <a:avLst/>
                    </a:prstGeom>
                    <a:noFill/>
                    <a:ln w="9525">
                      <a:noFill/>
                      <a:miter lim="800000"/>
                      <a:headEnd/>
                      <a:tailEnd/>
                    </a:ln>
                  </pic:spPr>
                </pic:pic>
              </a:graphicData>
            </a:graphic>
          </wp:inline>
        </w:drawing>
      </w:r>
      <w:r w:rsidRPr="00893F0C">
        <w:rPr>
          <w:rFonts w:ascii="Trebuchet MS" w:eastAsia="Times New Roman" w:hAnsi="Trebuchet MS" w:cs="Times New Roman"/>
          <w:sz w:val="19"/>
          <w:szCs w:val="19"/>
        </w:rPr>
        <w:t xml:space="preserve"> </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ACLs use an </w:t>
      </w:r>
      <w:r w:rsidRPr="00893F0C">
        <w:rPr>
          <w:rFonts w:ascii="Trebuchet MS" w:eastAsia="Times New Roman" w:hAnsi="Trebuchet MS" w:cs="Times New Roman"/>
          <w:b/>
          <w:bCs/>
          <w:sz w:val="19"/>
          <w:szCs w:val="19"/>
        </w:rPr>
        <w:t>exclusive</w:t>
      </w:r>
      <w:r w:rsidRPr="00893F0C">
        <w:rPr>
          <w:rFonts w:ascii="Trebuchet MS" w:eastAsia="Times New Roman" w:hAnsi="Trebuchet MS" w:cs="Times New Roman"/>
          <w:sz w:val="19"/>
          <w:szCs w:val="19"/>
        </w:rPr>
        <w:t xml:space="preserve"> model.  If a user has access but is in a group with restricted access, then the user will also have restricted access.  This is directly opposite from the permissions-based system.</w:t>
      </w:r>
    </w:p>
    <w:p w:rsidR="00893F0C" w:rsidRPr="00893F0C" w:rsidRDefault="00893F0C" w:rsidP="00893F0C">
      <w:pPr>
        <w:spacing w:after="68"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Here is the algorithm for determining if an ACL allows user access: </w:t>
      </w:r>
    </w:p>
    <w:tbl>
      <w:tblPr>
        <w:tblW w:w="6750" w:type="dxa"/>
        <w:tblCellSpacing w:w="0"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tblPr>
      <w:tblGrid>
        <w:gridCol w:w="6750"/>
      </w:tblGrid>
      <w:tr w:rsidR="00893F0C" w:rsidRPr="00893F0C" w:rsidTr="00893F0C">
        <w:trPr>
          <w:tblCellSpacing w:w="0" w:type="dxa"/>
        </w:trPr>
        <w:tc>
          <w:tcPr>
            <w:tcW w:w="6750" w:type="dxa"/>
            <w:tcBorders>
              <w:top w:val="outset" w:sz="6" w:space="0" w:color="auto"/>
              <w:left w:val="outset" w:sz="6" w:space="0" w:color="auto"/>
              <w:bottom w:val="outset" w:sz="6" w:space="0" w:color="auto"/>
              <w:right w:val="outset" w:sz="6" w:space="0" w:color="auto"/>
            </w:tcBorders>
            <w:shd w:val="clear" w:color="auto" w:fill="FFFFCC"/>
            <w:hideMark/>
          </w:tcPr>
          <w:p w:rsidR="00893F0C" w:rsidRPr="00893F0C" w:rsidRDefault="00893F0C" w:rsidP="00893F0C">
            <w:pPr>
              <w:spacing w:after="0"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A user is given access if and only if their user or parent group has an ALLOW bit and no DENY bits.</w:t>
            </w:r>
          </w:p>
        </w:tc>
      </w:tr>
    </w:tbl>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The ACL model adds restrictions above and beyond the User Permission model.  </w:t>
      </w:r>
      <w:proofErr w:type="gramStart"/>
      <w:r w:rsidRPr="00893F0C">
        <w:rPr>
          <w:rFonts w:ascii="Trebuchet MS" w:eastAsia="Times New Roman" w:hAnsi="Trebuchet MS" w:cs="Times New Roman"/>
          <w:sz w:val="19"/>
          <w:szCs w:val="19"/>
        </w:rPr>
        <w:t>However ,the</w:t>
      </w:r>
      <w:proofErr w:type="gramEnd"/>
      <w:r w:rsidRPr="00893F0C">
        <w:rPr>
          <w:rFonts w:ascii="Trebuchet MS" w:eastAsia="Times New Roman" w:hAnsi="Trebuchet MS" w:cs="Times New Roman"/>
          <w:sz w:val="19"/>
          <w:szCs w:val="19"/>
        </w:rPr>
        <w:t xml:space="preserve"> ACL model does not replace the other model.  In order to read a file, the user still needs the File Read user permission in addition to an ALLOW read ACL permission.  </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b/>
          <w:bCs/>
          <w:sz w:val="27"/>
        </w:rPr>
        <w:t>Flowchart</w:t>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Let’s put everything together in flowchart form:</w:t>
      </w:r>
    </w:p>
    <w:p w:rsidR="00893F0C" w:rsidRPr="00893F0C" w:rsidRDefault="00893F0C" w:rsidP="00893F0C">
      <w:pPr>
        <w:spacing w:before="136" w:after="136" w:line="240" w:lineRule="auto"/>
        <w:rPr>
          <w:rFonts w:ascii="Trebuchet MS" w:eastAsia="Times New Roman" w:hAnsi="Trebuchet MS" w:cs="Times New Roman"/>
          <w:sz w:val="19"/>
          <w:szCs w:val="19"/>
        </w:rPr>
      </w:pPr>
      <w:r>
        <w:rPr>
          <w:rFonts w:ascii="Trebuchet MS" w:eastAsia="Times New Roman" w:hAnsi="Trebuchet MS" w:cs="Times New Roman"/>
          <w:noProof/>
          <w:sz w:val="19"/>
          <w:szCs w:val="19"/>
        </w:rPr>
        <w:drawing>
          <wp:inline distT="0" distB="0" distL="0" distR="0">
            <wp:extent cx="3691890" cy="5106670"/>
            <wp:effectExtent l="19050" t="0" r="3810" b="0"/>
            <wp:docPr id="4" name="Picture 4" descr="http://justonesandzeros.typepad.com/images/2009/Security/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09/Security/Flowchart.png"/>
                    <pic:cNvPicPr>
                      <a:picLocks noChangeAspect="1" noChangeArrowheads="1"/>
                    </pic:cNvPicPr>
                  </pic:nvPicPr>
                  <pic:blipFill>
                    <a:blip r:embed="rId7"/>
                    <a:srcRect/>
                    <a:stretch>
                      <a:fillRect/>
                    </a:stretch>
                  </pic:blipFill>
                  <pic:spPr bwMode="auto">
                    <a:xfrm>
                      <a:off x="0" y="0"/>
                      <a:ext cx="3691890" cy="5106670"/>
                    </a:xfrm>
                    <a:prstGeom prst="rect">
                      <a:avLst/>
                    </a:prstGeom>
                    <a:noFill/>
                    <a:ln w="9525">
                      <a:noFill/>
                      <a:miter lim="800000"/>
                      <a:headEnd/>
                      <a:tailEnd/>
                    </a:ln>
                  </pic:spPr>
                </pic:pic>
              </a:graphicData>
            </a:graphic>
          </wp:inline>
        </w:drawing>
      </w:r>
    </w:p>
    <w:p w:rsidR="00893F0C" w:rsidRPr="00893F0C" w:rsidRDefault="00893F0C" w:rsidP="00893F0C">
      <w:pPr>
        <w:spacing w:before="136" w:after="136" w:line="240" w:lineRule="auto"/>
        <w:rPr>
          <w:rFonts w:ascii="Trebuchet MS" w:eastAsia="Times New Roman" w:hAnsi="Trebuchet MS" w:cs="Times New Roman"/>
          <w:sz w:val="19"/>
          <w:szCs w:val="19"/>
        </w:rPr>
      </w:pPr>
      <w:r w:rsidRPr="00893F0C">
        <w:rPr>
          <w:rFonts w:ascii="Trebuchet MS" w:eastAsia="Times New Roman" w:hAnsi="Trebuchet MS" w:cs="Times New Roman"/>
          <w:sz w:val="19"/>
          <w:szCs w:val="19"/>
        </w:rPr>
        <w:t xml:space="preserve">Keep in mind this process gets run </w:t>
      </w:r>
      <w:proofErr w:type="gramStart"/>
      <w:r w:rsidRPr="00893F0C">
        <w:rPr>
          <w:rFonts w:ascii="Trebuchet MS" w:eastAsia="Times New Roman" w:hAnsi="Trebuchet MS" w:cs="Times New Roman"/>
          <w:sz w:val="19"/>
          <w:szCs w:val="19"/>
        </w:rPr>
        <w:t>for each permission</w:t>
      </w:r>
      <w:proofErr w:type="gramEnd"/>
      <w:r w:rsidRPr="00893F0C">
        <w:rPr>
          <w:rFonts w:ascii="Trebuchet MS" w:eastAsia="Times New Roman" w:hAnsi="Trebuchet MS" w:cs="Times New Roman"/>
          <w:sz w:val="19"/>
          <w:szCs w:val="19"/>
        </w:rPr>
        <w:t>.  So it’s possible for read to evaluate to “Access Allowed” while write evaluates to “Access Denied”.</w:t>
      </w:r>
    </w:p>
    <w:p w:rsidR="004F301F" w:rsidRDefault="00893F0C"/>
    <w:sectPr w:rsidR="004F301F" w:rsidSect="00C427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proofState w:spelling="clean" w:grammar="clean"/>
  <w:defaultTabStop w:val="720"/>
  <w:characterSpacingControl w:val="doNotCompress"/>
  <w:compat>
    <w:useFELayout/>
  </w:compat>
  <w:rsids>
    <w:rsidRoot w:val="00893F0C"/>
    <w:rsid w:val="00000C69"/>
    <w:rsid w:val="00097150"/>
    <w:rsid w:val="0011571D"/>
    <w:rsid w:val="001C1327"/>
    <w:rsid w:val="002E3DE3"/>
    <w:rsid w:val="006F3962"/>
    <w:rsid w:val="00893F0C"/>
    <w:rsid w:val="008E22B8"/>
    <w:rsid w:val="00AC13BC"/>
    <w:rsid w:val="00B42CEE"/>
    <w:rsid w:val="00C4274A"/>
    <w:rsid w:val="00D91F21"/>
    <w:rsid w:val="00DF4607"/>
    <w:rsid w:val="00E83F4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7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F0C"/>
    <w:pPr>
      <w:spacing w:before="136" w:after="136"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F0C"/>
    <w:rPr>
      <w:b/>
      <w:bCs/>
    </w:rPr>
  </w:style>
  <w:style w:type="paragraph" w:styleId="BalloonText">
    <w:name w:val="Balloon Text"/>
    <w:basedOn w:val="Normal"/>
    <w:link w:val="BalloonTextChar"/>
    <w:uiPriority w:val="99"/>
    <w:semiHidden/>
    <w:unhideWhenUsed/>
    <w:rsid w:val="00893F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F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0235860">
      <w:bodyDiv w:val="1"/>
      <w:marLeft w:val="0"/>
      <w:marRight w:val="0"/>
      <w:marTop w:val="0"/>
      <w:marBottom w:val="0"/>
      <w:divBdr>
        <w:top w:val="none" w:sz="0" w:space="0" w:color="auto"/>
        <w:left w:val="none" w:sz="0" w:space="0" w:color="auto"/>
        <w:bottom w:val="none" w:sz="0" w:space="0" w:color="auto"/>
        <w:right w:val="none" w:sz="0" w:space="0" w:color="auto"/>
      </w:divBdr>
      <w:divsChild>
        <w:div w:id="900798192">
          <w:marLeft w:val="0"/>
          <w:marRight w:val="0"/>
          <w:marTop w:val="0"/>
          <w:marBottom w:val="0"/>
          <w:divBdr>
            <w:top w:val="none" w:sz="0" w:space="0" w:color="auto"/>
            <w:left w:val="none" w:sz="0" w:space="0" w:color="auto"/>
            <w:bottom w:val="none" w:sz="0" w:space="0" w:color="auto"/>
            <w:right w:val="none" w:sz="0" w:space="0" w:color="auto"/>
          </w:divBdr>
          <w:divsChild>
            <w:div w:id="1033459933">
              <w:marLeft w:val="68"/>
              <w:marRight w:val="68"/>
              <w:marTop w:val="68"/>
              <w:marBottom w:val="68"/>
              <w:divBdr>
                <w:top w:val="none" w:sz="0" w:space="0" w:color="auto"/>
                <w:left w:val="none" w:sz="0" w:space="0" w:color="auto"/>
                <w:bottom w:val="none" w:sz="0" w:space="0" w:color="auto"/>
                <w:right w:val="none" w:sz="0" w:space="0" w:color="auto"/>
              </w:divBdr>
              <w:divsChild>
                <w:div w:id="449321373">
                  <w:marLeft w:val="0"/>
                  <w:marRight w:val="0"/>
                  <w:marTop w:val="54"/>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2416</Characters>
  <Application>Microsoft Office Word</Application>
  <DocSecurity>0</DocSecurity>
  <Lines>20</Lines>
  <Paragraphs>5</Paragraphs>
  <ScaleCrop>false</ScaleCrop>
  <Company>Autodesk, Inc.</Company>
  <LinksUpToDate>false</LinksUpToDate>
  <CharactersWithSpaces>2834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2009-10-26T12:33:00Z</dcterms:created>
  <dcterms:modified xsi:type="dcterms:W3CDTF">2009-10-26T12:33:00Z</dcterms:modified>
</cp:coreProperties>
</file>