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549" w:rsidRPr="00E27549" w:rsidRDefault="00E27549" w:rsidP="00E27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2" name="Picture 2" descr="http://justonesandzeros.typepad.com/images/PLM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PLM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754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1" name="Picture 1" descr="http://justonesandzeros.typepad.com/images/Concept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Concepts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549" w:rsidRPr="00E27549" w:rsidRDefault="00E27549" w:rsidP="00E27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49">
        <w:rPr>
          <w:rFonts w:ascii="Times New Roman" w:eastAsia="Times New Roman" w:hAnsi="Times New Roman" w:cs="Times New Roman"/>
          <w:sz w:val="24"/>
          <w:szCs w:val="24"/>
        </w:rPr>
        <w:t>A nice new feature in the PLM REST API is that it will show more detailed error information for when a add/update operation fails because of bad field data.  For example, if you try to update an item with a value of “x” for a numeric field, you will now get an error specifying which field(s) failed and why.</w:t>
      </w:r>
    </w:p>
    <w:p w:rsidR="00E27549" w:rsidRPr="00E27549" w:rsidRDefault="00E27549" w:rsidP="00E27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49">
        <w:rPr>
          <w:rFonts w:ascii="Times New Roman" w:eastAsia="Times New Roman" w:hAnsi="Times New Roman" w:cs="Times New Roman"/>
          <w:sz w:val="24"/>
          <w:szCs w:val="24"/>
        </w:rPr>
        <w:t xml:space="preserve">First, let’s go over the generic error case.  For example, if you try to add a new item to a workgroup you don’t have write access to, here is the JSON error data you will get back.  The structure corresponds to the </w:t>
      </w:r>
      <w:hyperlink r:id="rId8" w:tgtFrame="_blank" w:history="1">
        <w:r w:rsidRPr="00E275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APIError</w:t>
        </w:r>
      </w:hyperlink>
      <w:r w:rsidRPr="00E27549">
        <w:rPr>
          <w:rFonts w:ascii="Times New Roman" w:eastAsia="Times New Roman" w:hAnsi="Times New Roman" w:cs="Times New Roman"/>
          <w:sz w:val="24"/>
          <w:szCs w:val="24"/>
        </w:rPr>
        <w:t xml:space="preserve"> class in the API documentation.</w:t>
      </w:r>
    </w:p>
    <w:tbl>
      <w:tblPr>
        <w:tblW w:w="70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050"/>
      </w:tblGrid>
      <w:tr w:rsidR="00E27549" w:rsidRPr="00E27549" w:rsidTr="00E27549">
        <w:trPr>
          <w:tblCellSpacing w:w="0" w:type="dxa"/>
        </w:trPr>
        <w:tc>
          <w:tcPr>
            <w:tcW w:w="7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27549" w:rsidRPr="00E27549" w:rsidRDefault="00E27549" w:rsidP="00E275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 "errorCode":"SEC_FORBIDDEN",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 "message":"Access Denied.",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 "params":null,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 "url":null,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 "errorClass":"APIError"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}</w:t>
            </w:r>
          </w:p>
        </w:tc>
      </w:tr>
    </w:tbl>
    <w:p w:rsidR="00E27549" w:rsidRPr="00E27549" w:rsidRDefault="00E27549" w:rsidP="00E27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49">
        <w:rPr>
          <w:rFonts w:ascii="Times New Roman" w:eastAsia="Times New Roman" w:hAnsi="Times New Roman" w:cs="Times New Roman"/>
          <w:sz w:val="24"/>
          <w:szCs w:val="24"/>
        </w:rPr>
        <w:br/>
        <w:t xml:space="preserve">Now let’s look at the case where you try setting a field to a value that is not allowed.  Here is the JSON that you get back, which corresponds to the </w:t>
      </w:r>
      <w:hyperlink r:id="rId9" w:tgtFrame="_blank" w:history="1">
        <w:r w:rsidRPr="00E275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FieldValidation</w:t>
        </w:r>
      </w:hyperlink>
      <w:r w:rsidRPr="00E27549">
        <w:rPr>
          <w:rFonts w:ascii="Times New Roman" w:eastAsia="Times New Roman" w:hAnsi="Times New Roman" w:cs="Times New Roman"/>
          <w:sz w:val="24"/>
          <w:szCs w:val="24"/>
        </w:rPr>
        <w:t xml:space="preserve"> error class.</w:t>
      </w:r>
    </w:p>
    <w:tbl>
      <w:tblPr>
        <w:tblW w:w="70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050"/>
      </w:tblGrid>
      <w:tr w:rsidR="00E27549" w:rsidRPr="00E27549" w:rsidTr="00E27549">
        <w:trPr>
          <w:tblCellSpacing w:w="0" w:type="dxa"/>
        </w:trPr>
        <w:tc>
          <w:tcPr>
            <w:tcW w:w="7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27549" w:rsidRPr="00E27549" w:rsidRDefault="00E27549" w:rsidP="00E275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 "errorCode":"ITEM_VALIDATION_FAILED",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  "message":"Item validation failed.",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  "params":null,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  "url":null,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  "errorClass":"FieldValidationError",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  "fieldErrors": [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  {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      "fieldId":"CURRENCY",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      "errorDescription":"Currency is not a valid currency amount"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  },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  {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      "fieldId":"DECIMAL",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      "errorDescription":"Decimal must be a valid decimal number with at most 2 decimal digits."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 }] </w:t>
            </w:r>
            <w:r w:rsidRPr="00E275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}</w:t>
            </w:r>
          </w:p>
        </w:tc>
      </w:tr>
    </w:tbl>
    <w:p w:rsidR="00E27549" w:rsidRPr="00E27549" w:rsidRDefault="00E27549" w:rsidP="00E27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4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5acb04" stroked="f"/>
        </w:pict>
      </w:r>
    </w:p>
    <w:p w:rsidR="00E27549" w:rsidRPr="00E27549" w:rsidRDefault="00E27549" w:rsidP="00E27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49">
        <w:rPr>
          <w:rFonts w:ascii="Times New Roman" w:eastAsia="Times New Roman" w:hAnsi="Times New Roman" w:cs="Times New Roman"/>
          <w:sz w:val="24"/>
          <w:szCs w:val="24"/>
        </w:rPr>
        <w:t xml:space="preserve">The first thing to note is that the FieldValidation data is a superset of the APIError data.  Another way to putting it is that APIError is a subclass of FieldValidation.  That means that PLM errors </w:t>
      </w:r>
      <w:r w:rsidRPr="00E27549">
        <w:rPr>
          <w:rFonts w:ascii="Times New Roman" w:eastAsia="Times New Roman" w:hAnsi="Times New Roman" w:cs="Times New Roman"/>
          <w:sz w:val="24"/>
          <w:szCs w:val="24"/>
        </w:rPr>
        <w:lastRenderedPageBreak/>
        <w:t>follow a similar pattern to Java and .NET Exceptions.  In those languages, Exception is the base class and specialized subclasses exist for specialized cases (IOException, StackOverflowException, and so on).  You as a programmer can handle things in multiple ways depending on how specialized the error is.  In PLM, APIError is the generic case and FieldValidationError is a specialized case.  More specialized errors may be added in the future, but for now there is just one case.</w:t>
      </w:r>
    </w:p>
    <w:p w:rsidR="00E27549" w:rsidRPr="00E27549" w:rsidRDefault="00E27549" w:rsidP="00E27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49">
        <w:rPr>
          <w:rFonts w:ascii="Times New Roman" w:eastAsia="Times New Roman" w:hAnsi="Times New Roman" w:cs="Times New Roman"/>
          <w:sz w:val="24"/>
          <w:szCs w:val="24"/>
        </w:rPr>
        <w:t xml:space="preserve">Another thing to note is that the errorClass property matches the name of the error class.  This is to help your code deserialize to the correct object.  It’s a bit of a circular problem because you need to deserialize the JSON in order to figure out how the JSON should be deserialized.  </w:t>
      </w:r>
    </w:p>
    <w:p w:rsidR="00E27549" w:rsidRPr="00E27549" w:rsidRDefault="00E27549" w:rsidP="00E27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49">
        <w:rPr>
          <w:rFonts w:ascii="Times New Roman" w:eastAsia="Times New Roman" w:hAnsi="Times New Roman" w:cs="Times New Roman"/>
          <w:sz w:val="24"/>
          <w:szCs w:val="24"/>
        </w:rPr>
        <w:t>I recommend a multi-phase approach to handing errors.</w:t>
      </w:r>
    </w:p>
    <w:p w:rsidR="00E27549" w:rsidRPr="00E27549" w:rsidRDefault="00E27549" w:rsidP="00E27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49">
        <w:rPr>
          <w:rFonts w:ascii="Times New Roman" w:eastAsia="Times New Roman" w:hAnsi="Times New Roman" w:cs="Times New Roman"/>
          <w:sz w:val="24"/>
          <w:szCs w:val="24"/>
        </w:rPr>
        <w:t xml:space="preserve">In the event of an API error (HTTP codes in the 400s or 500s), read the HTTP body into a string. </w:t>
      </w:r>
    </w:p>
    <w:p w:rsidR="00E27549" w:rsidRPr="00E27549" w:rsidRDefault="00E27549" w:rsidP="00E27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49">
        <w:rPr>
          <w:rFonts w:ascii="Times New Roman" w:eastAsia="Times New Roman" w:hAnsi="Times New Roman" w:cs="Times New Roman"/>
          <w:sz w:val="24"/>
          <w:szCs w:val="24"/>
        </w:rPr>
        <w:t xml:space="preserve">Deserialize the string into an APIError object. </w:t>
      </w:r>
    </w:p>
    <w:p w:rsidR="00E27549" w:rsidRPr="00E27549" w:rsidRDefault="00E27549" w:rsidP="00E27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49">
        <w:rPr>
          <w:rFonts w:ascii="Times New Roman" w:eastAsia="Times New Roman" w:hAnsi="Times New Roman" w:cs="Times New Roman"/>
          <w:sz w:val="24"/>
          <w:szCs w:val="24"/>
        </w:rPr>
        <w:t xml:space="preserve">Check the “errorClass” value. </w:t>
      </w:r>
    </w:p>
    <w:p w:rsidR="00E27549" w:rsidRPr="00E27549" w:rsidRDefault="00E27549" w:rsidP="00E27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49">
        <w:rPr>
          <w:rFonts w:ascii="Times New Roman" w:eastAsia="Times New Roman" w:hAnsi="Times New Roman" w:cs="Times New Roman"/>
          <w:sz w:val="24"/>
          <w:szCs w:val="24"/>
        </w:rPr>
        <w:t xml:space="preserve">If errorClass is not APIError, deserialize again to the proper error class. </w:t>
      </w:r>
    </w:p>
    <w:p w:rsidR="00E27549" w:rsidRPr="00E27549" w:rsidRDefault="00E27549" w:rsidP="00E27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4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#5acb04" stroked="f"/>
        </w:pict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B78B4"/>
    <w:multiLevelType w:val="multilevel"/>
    <w:tmpl w:val="B67C6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43F6"/>
    <w:rsid w:val="003C43F6"/>
    <w:rsid w:val="006C56B1"/>
    <w:rsid w:val="00E27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7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2754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7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5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7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2754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7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5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9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93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1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73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73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84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8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18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53418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elp.autodesk.com/view/PLM/ENU/?guid=GUID-5DE1B88C-89A9-418F-A0F4-D159FB87D2A7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help.autodesk.com/view/PLM/ENU/?guid=GUID-431E3F3D-1C87-4FA6-AA2A-BB744A86E5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2440</Characters>
  <Application>Microsoft Office Word</Application>
  <DocSecurity>0</DocSecurity>
  <Lines>20</Lines>
  <Paragraphs>5</Paragraphs>
  <ScaleCrop>false</ScaleCrop>
  <Company>Autodesk, Inc.</Company>
  <LinksUpToDate>false</LinksUpToDate>
  <CharactersWithSpaces>2863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2014-04-11T20:28:00Z</dcterms:created>
  <dcterms:modified xsi:type="dcterms:W3CDTF">2014-04-11T20:28:00Z</dcterms:modified>
</cp:coreProperties>
</file>