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Experts suggest WallitIQ (WLTQ) at $0.0420 as a smart hedge as a $20M Dogecoin (DOGE) whale transfer hits Binance.</w:t>
        <w:br w:type="textWrapping"/>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3">
      <w:pPr>
        <w:rPr>
          <w:sz w:val="24"/>
          <w:szCs w:val="24"/>
        </w:rPr>
      </w:pPr>
      <w:r w:rsidDel="00000000" w:rsidR="00000000" w:rsidRPr="00000000">
        <w:rPr>
          <w:sz w:val="24"/>
          <w:szCs w:val="24"/>
          <w:rtl w:val="0"/>
        </w:rPr>
        <w:t xml:space="preserve">Dogecoin price</w:t>
      </w:r>
    </w:p>
    <w:p w:rsidR="00000000" w:rsidDel="00000000" w:rsidP="00000000" w:rsidRDefault="00000000" w:rsidRPr="00000000" w14:paraId="00000004">
      <w:pPr>
        <w:rPr>
          <w:sz w:val="24"/>
          <w:szCs w:val="24"/>
        </w:rPr>
      </w:pPr>
      <w:r w:rsidDel="00000000" w:rsidR="00000000" w:rsidRPr="00000000">
        <w:rPr>
          <w:sz w:val="24"/>
          <w:szCs w:val="24"/>
          <w:rtl w:val="0"/>
        </w:rPr>
        <w:t xml:space="preserve">Dogecoin</w:t>
      </w:r>
    </w:p>
    <w:p w:rsidR="00000000" w:rsidDel="00000000" w:rsidP="00000000" w:rsidRDefault="00000000" w:rsidRPr="00000000" w14:paraId="00000005">
      <w:pPr>
        <w:rPr>
          <w:sz w:val="24"/>
          <w:szCs w:val="24"/>
        </w:rPr>
      </w:pPr>
      <w:r w:rsidDel="00000000" w:rsidR="00000000" w:rsidRPr="00000000">
        <w:rPr>
          <w:sz w:val="24"/>
          <w:szCs w:val="24"/>
          <w:rtl w:val="0"/>
        </w:rPr>
        <w:t xml:space="preserve">DOGE Whale  </w:t>
      </w:r>
    </w:p>
    <w:p w:rsidR="00000000" w:rsidDel="00000000" w:rsidP="00000000" w:rsidRDefault="00000000" w:rsidRPr="00000000" w14:paraId="00000006">
      <w:pPr>
        <w:rPr>
          <w:sz w:val="24"/>
          <w:szCs w:val="24"/>
        </w:rPr>
      </w:pPr>
      <w:r w:rsidDel="00000000" w:rsidR="00000000" w:rsidRPr="00000000">
        <w:rPr>
          <w:sz w:val="24"/>
          <w:szCs w:val="24"/>
          <w:rtl w:val="0"/>
        </w:rPr>
        <w:t xml:space="preserve">Binance Exchange</w:t>
      </w:r>
    </w:p>
    <w:p w:rsidR="00000000" w:rsidDel="00000000" w:rsidP="00000000" w:rsidRDefault="00000000" w:rsidRPr="00000000" w14:paraId="00000007">
      <w:pPr>
        <w:rPr>
          <w:sz w:val="24"/>
          <w:szCs w:val="24"/>
        </w:rPr>
      </w:pPr>
      <w:r w:rsidDel="00000000" w:rsidR="00000000" w:rsidRPr="00000000">
        <w:rPr>
          <w:sz w:val="24"/>
          <w:szCs w:val="24"/>
          <w:rtl w:val="0"/>
        </w:rPr>
        <w:t xml:space="preserve">WallitIQ</w:t>
      </w:r>
    </w:p>
    <w:p w:rsidR="00000000" w:rsidDel="00000000" w:rsidP="00000000" w:rsidRDefault="00000000" w:rsidRPr="00000000" w14:paraId="00000008">
      <w:pPr>
        <w:rPr>
          <w:b w:val="1"/>
          <w:color w:val="0e101a"/>
          <w:sz w:val="46"/>
          <w:szCs w:val="46"/>
        </w:rPr>
      </w:pPr>
      <w:r w:rsidDel="00000000" w:rsidR="00000000" w:rsidRPr="00000000">
        <w:rPr>
          <w:sz w:val="24"/>
          <w:szCs w:val="24"/>
          <w:rtl w:val="0"/>
        </w:rPr>
        <w:t xml:space="preserve">WLTQ</w:t>
      </w:r>
      <w:r w:rsidDel="00000000" w:rsidR="00000000" w:rsidRPr="00000000">
        <w:rPr>
          <w:rtl w:val="0"/>
        </w:rPr>
      </w:r>
    </w:p>
    <w:p w:rsidR="00000000" w:rsidDel="00000000" w:rsidP="00000000" w:rsidRDefault="00000000" w:rsidRPr="00000000" w14:paraId="00000009">
      <w:pPr>
        <w:pStyle w:val="Heading1"/>
        <w:keepNext w:val="0"/>
        <w:keepLines w:val="0"/>
        <w:spacing w:after="0" w:before="200" w:lineRule="auto"/>
        <w:rPr>
          <w:b w:val="1"/>
          <w:color w:val="0e101a"/>
        </w:rPr>
      </w:pPr>
      <w:bookmarkStart w:colFirst="0" w:colLast="0" w:name="_m1jg4air0hqe" w:id="0"/>
      <w:bookmarkEnd w:id="0"/>
      <w:r w:rsidDel="00000000" w:rsidR="00000000" w:rsidRPr="00000000">
        <w:rPr>
          <w:b w:val="1"/>
          <w:color w:val="0e101a"/>
          <w:rtl w:val="0"/>
        </w:rPr>
        <w:t xml:space="preserve">Dogecoin Price Move: DOGE Whale’s $20 Million Transfer To Binance Exchange Fuels Selling Pressure, Why WallitIQ (WLTQ) At $0.042 Is The Perfect Hedge</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A $20 million DOGE whale transfer to the Binance exchange has sent concern through the crypto market. This investment has fueled speculation of a potential sell-off and put downward pressure on the Dogecoin price.  Experts suggest that WallitIQ (WLTQ), priced at just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will be</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the perfect hedge</w:t>
        </w:r>
      </w:hyperlink>
      <w:r w:rsidDel="00000000" w:rsidR="00000000" w:rsidRPr="00000000">
        <w:rPr>
          <w:color w:val="0e101a"/>
          <w:sz w:val="24"/>
          <w:szCs w:val="24"/>
          <w:rtl w:val="0"/>
        </w:rPr>
        <w:t xml:space="preserve"> against the Dogecoin price fluctuations.  See why this Ethereum-based altcoin is the key to protecting your portfolio during this market turbulence.</w:t>
      </w:r>
    </w:p>
    <w:p w:rsidR="00000000" w:rsidDel="00000000" w:rsidP="00000000" w:rsidRDefault="00000000" w:rsidRPr="00000000" w14:paraId="0000000B">
      <w:pPr>
        <w:pStyle w:val="Heading2"/>
        <w:keepNext w:val="0"/>
        <w:keepLines w:val="0"/>
        <w:spacing w:after="0" w:before="200" w:lineRule="auto"/>
        <w:rPr>
          <w:b w:val="1"/>
          <w:color w:val="0e101a"/>
        </w:rPr>
      </w:pPr>
      <w:bookmarkStart w:colFirst="0" w:colLast="0" w:name="_e9v62n416d4w" w:id="1"/>
      <w:bookmarkEnd w:id="1"/>
      <w:r w:rsidDel="00000000" w:rsidR="00000000" w:rsidRPr="00000000">
        <w:rPr>
          <w:b w:val="1"/>
          <w:color w:val="0e101a"/>
          <w:rtl w:val="0"/>
        </w:rPr>
        <w:t xml:space="preserve">DOGE Whale’s Activity On Binance Exchange Lands The Dogecoin Price On Critical Point. </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A DOGE Whale has transferred $20 million of their holdings from</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Dogecoin (DOGE)</w:t>
        </w:r>
      </w:hyperlink>
      <w:r w:rsidDel="00000000" w:rsidR="00000000" w:rsidRPr="00000000">
        <w:rPr>
          <w:color w:val="0e101a"/>
          <w:sz w:val="24"/>
          <w:szCs w:val="24"/>
          <w:rtl w:val="0"/>
        </w:rPr>
        <w:t xml:space="preserve"> to WallitIQ (WLTQ) on Binance Exchange. This transaction has caused the Dogecoin price to experience a protracted decline. The Dogecoin price is now at a critical point. Experts are unsure if this point could cause the Dogecoin price to suffer an additional breakdown or experience a significant rebound. However, the focus is on WallitIQ (WLTQ) as the end of presale activity draws nigh.</w:t>
      </w:r>
    </w:p>
    <w:p w:rsidR="00000000" w:rsidDel="00000000" w:rsidP="00000000" w:rsidRDefault="00000000" w:rsidRPr="00000000" w14:paraId="0000000D">
      <w:pPr>
        <w:pStyle w:val="Heading2"/>
        <w:keepNext w:val="0"/>
        <w:keepLines w:val="0"/>
        <w:spacing w:after="0" w:before="200" w:lineRule="auto"/>
        <w:rPr>
          <w:b w:val="1"/>
          <w:color w:val="0e101a"/>
        </w:rPr>
      </w:pPr>
      <w:bookmarkStart w:colFirst="0" w:colLast="0" w:name="_aiqqgd6ravxq" w:id="2"/>
      <w:bookmarkEnd w:id="2"/>
      <w:r w:rsidDel="00000000" w:rsidR="00000000" w:rsidRPr="00000000">
        <w:rPr>
          <w:b w:val="1"/>
          <w:color w:val="0e101a"/>
          <w:rtl w:val="0"/>
        </w:rPr>
        <w:t xml:space="preserve">DOGE Whale’s Transfer To Binance Exchange Spark Market Turmoil While WallitIQ (WLTQ) Targets 50,000% Gains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The upcoming WallitIQ (WLTQ) </w:t>
      </w:r>
      <w:r w:rsidDel="00000000" w:rsidR="00000000" w:rsidRPr="00000000">
        <w:rPr>
          <w:b w:val="1"/>
          <w:color w:val="0e101a"/>
          <w:sz w:val="24"/>
          <w:szCs w:val="24"/>
          <w:rtl w:val="0"/>
        </w:rPr>
        <w:t xml:space="preserve">beta platform launch</w:t>
      </w:r>
      <w:r w:rsidDel="00000000" w:rsidR="00000000" w:rsidRPr="00000000">
        <w:rPr>
          <w:color w:val="0e101a"/>
          <w:sz w:val="24"/>
          <w:szCs w:val="24"/>
          <w:rtl w:val="0"/>
        </w:rPr>
        <w:t xml:space="preserve"> has significantly amplified the network’s potential for substantial gains. With DOGE whales making high-volume transfers to Binance Exchange and triggering market uncertainty, experts have turned their attention to WallitIQ (WLTQ) as a powerful hedge. Analysts predict that WallitIQ (WLTQ) could</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surge by 50,000% before Q2 2025</w:t>
        </w:r>
      </w:hyperlink>
      <w:r w:rsidDel="00000000" w:rsidR="00000000" w:rsidRPr="00000000">
        <w:rPr>
          <w:color w:val="0e101a"/>
          <w:sz w:val="24"/>
          <w:szCs w:val="24"/>
          <w:rtl w:val="0"/>
        </w:rPr>
        <w:t xml:space="preserve">. This standout performer, at its current presale price of just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will skyrocket to $21. However, early adopters have a rare opportunity to benefit from this lucrative investment before the price spike.</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WallitIQ (WLTQ) is revolutionizing the cryptocurrency space with its cutting-edge AI technology. The platform helps traders to effectively navigate market fluctuations by using predictive models to enhance trading opportunities. It also deployed an advanced AI fraud detection system that scans transactions for suspicious activities. To further protect all funds, WallitIQ (WLTQ) completed</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a smart contract audit</w:t>
        </w:r>
      </w:hyperlink>
      <w:r w:rsidDel="00000000" w:rsidR="00000000" w:rsidRPr="00000000">
        <w:rPr>
          <w:color w:val="0e101a"/>
          <w:sz w:val="24"/>
          <w:szCs w:val="24"/>
          <w:rtl w:val="0"/>
        </w:rPr>
        <w:t xml:space="preserve"> by SolidProof to reinforce confidence among crypto traders.</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Taking innovation a step further, WallitIQ (WLTQ) has introduced </w:t>
      </w:r>
      <w:r w:rsidDel="00000000" w:rsidR="00000000" w:rsidRPr="00000000">
        <w:rPr>
          <w:b w:val="1"/>
          <w:color w:val="0e101a"/>
          <w:sz w:val="24"/>
          <w:szCs w:val="24"/>
          <w:rtl w:val="0"/>
        </w:rPr>
        <w:t xml:space="preserve">a Crypto Wallet Management Mobile App</w:t>
      </w:r>
      <w:r w:rsidDel="00000000" w:rsidR="00000000" w:rsidRPr="00000000">
        <w:rPr>
          <w:color w:val="0e101a"/>
          <w:sz w:val="24"/>
          <w:szCs w:val="24"/>
          <w:rtl w:val="0"/>
        </w:rPr>
        <w:t xml:space="preserve"> to simplify crypto trading. This app allows traders to schedule transactions, track price movements, and review transaction histories with ease. Whether you are a beginner exploring the </w:t>
      </w:r>
      <w:r w:rsidDel="00000000" w:rsidR="00000000" w:rsidRPr="00000000">
        <w:rPr>
          <w:b w:val="1"/>
          <w:color w:val="0e101a"/>
          <w:sz w:val="24"/>
          <w:szCs w:val="24"/>
          <w:rtl w:val="0"/>
        </w:rPr>
        <w:t xml:space="preserve">1,000+ available cryptocurrencies</w:t>
      </w:r>
      <w:r w:rsidDel="00000000" w:rsidR="00000000" w:rsidRPr="00000000">
        <w:rPr>
          <w:color w:val="0e101a"/>
          <w:sz w:val="24"/>
          <w:szCs w:val="24"/>
          <w:rtl w:val="0"/>
        </w:rPr>
        <w:t xml:space="preserve"> or an experienced trader seeking high-yield staking opportunities of up to </w:t>
      </w:r>
      <w:r w:rsidDel="00000000" w:rsidR="00000000" w:rsidRPr="00000000">
        <w:rPr>
          <w:b w:val="1"/>
          <w:color w:val="0e101a"/>
          <w:sz w:val="24"/>
          <w:szCs w:val="24"/>
          <w:rtl w:val="0"/>
        </w:rPr>
        <w:t xml:space="preserve">180% APY</w:t>
      </w:r>
      <w:r w:rsidDel="00000000" w:rsidR="00000000" w:rsidRPr="00000000">
        <w:rPr>
          <w:color w:val="0e101a"/>
          <w:sz w:val="24"/>
          <w:szCs w:val="24"/>
          <w:rtl w:val="0"/>
        </w:rPr>
        <w:t xml:space="preserve">, WallitIQ (WLTQ) offers an all-in-one ecosystem that caters to various investment needs.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Institutional investors and high-net-worth individuals are rushing to secure their positions before WallitIQ’s (WLTQ) anticipated exponential surge. Its strong technological advancements and a growing community of strategic investors have fueled increasing FOMO among traders. With many investors now recognizing the unmatched potential of this Ethereum-based altcoin, the presale event is fast selling out.</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The market demand continues to soar as more investors position themselves for the next major rally. As DOGE whales make headlines with large transfers to Binance Exchange, savvy investors hedge their portfolios with WallitIQ (WLTQ) before it takes off. With just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you can secure your stake in what experts predict to be one of the most explosive crypto assets of 2025. Do not watch from the sidelines as others</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capitalize on this groundbreaking opportunity</w:t>
        </w:r>
      </w:hyperlink>
      <w:r w:rsidDel="00000000" w:rsidR="00000000" w:rsidRPr="00000000">
        <w:rPr>
          <w:color w:val="0e101a"/>
          <w:sz w:val="24"/>
          <w:szCs w:val="24"/>
          <w:rtl w:val="0"/>
        </w:rPr>
        <w:t xml:space="preserve">. </w:t>
      </w:r>
    </w:p>
    <w:p w:rsidR="00000000" w:rsidDel="00000000" w:rsidP="00000000" w:rsidRDefault="00000000" w:rsidRPr="00000000" w14:paraId="00000013">
      <w:pPr>
        <w:spacing w:before="200" w:lineRule="auto"/>
        <w:rPr>
          <w:b w:val="1"/>
          <w:color w:val="0e101a"/>
          <w:sz w:val="32"/>
          <w:szCs w:val="32"/>
        </w:rPr>
      </w:pPr>
      <w:r w:rsidDel="00000000" w:rsidR="00000000" w:rsidRPr="00000000">
        <w:rPr>
          <w:b w:val="1"/>
          <w:color w:val="0e101a"/>
          <w:sz w:val="32"/>
          <w:szCs w:val="32"/>
          <w:rtl w:val="0"/>
        </w:rPr>
        <w:t xml:space="preserve">Why WallitIQ (WLTQ) Is The Perfect Hedge</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The $20 million DOGE whale transfer to Binance Exchange has undoubtedly created uncertainty with the Dogecoin price. While the full impact of this transaction remains to be seen, the potential for selling pressure and price volatility is real. In this environment, WallitIQ (WLTQ) at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presents a compelling case as a smart hedge. Based on experts' recommendations, WallitIQ (WLTQ) is perfect for investors who want to protect their portfolios from market instability.</w:t>
      </w:r>
    </w:p>
    <w:p w:rsidR="00000000" w:rsidDel="00000000" w:rsidP="00000000" w:rsidRDefault="00000000" w:rsidRPr="00000000" w14:paraId="00000015">
      <w:pPr>
        <w:spacing w:before="200" w:lineRule="auto"/>
        <w:rPr>
          <w:b w:val="1"/>
          <w:sz w:val="24"/>
          <w:szCs w:val="24"/>
        </w:rPr>
      </w:pPr>
      <w:r w:rsidDel="00000000" w:rsidR="00000000" w:rsidRPr="00000000">
        <w:rPr>
          <w:color w:val="0e101a"/>
          <w:sz w:val="24"/>
          <w:szCs w:val="24"/>
          <w:rtl w:val="0"/>
        </w:rPr>
        <w:t xml:space="preserve">Crypto experts said nothing comes close to the</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life-changing potential</w:t>
        </w:r>
      </w:hyperlink>
      <w:r w:rsidDel="00000000" w:rsidR="00000000" w:rsidRPr="00000000">
        <w:rPr>
          <w:color w:val="0e101a"/>
          <w:sz w:val="24"/>
          <w:szCs w:val="24"/>
          <w:rtl w:val="0"/>
        </w:rPr>
        <w:t xml:space="preserve"> that WallitIQ (WLTQ) offers. With its </w:t>
      </w:r>
      <w:r w:rsidDel="00000000" w:rsidR="00000000" w:rsidRPr="00000000">
        <w:rPr>
          <w:b w:val="1"/>
          <w:color w:val="0e101a"/>
          <w:sz w:val="24"/>
          <w:szCs w:val="24"/>
          <w:rtl w:val="0"/>
        </w:rPr>
        <w:t xml:space="preserve">beta platform launch</w:t>
      </w:r>
      <w:r w:rsidDel="00000000" w:rsidR="00000000" w:rsidRPr="00000000">
        <w:rPr>
          <w:color w:val="0e101a"/>
          <w:sz w:val="24"/>
          <w:szCs w:val="24"/>
          <w:rtl w:val="0"/>
        </w:rPr>
        <w:t xml:space="preserve"> on the horizon, experts have shown more confidence in WallitIQ (WLTQ) and its predicted exponential gains. Get it as an early adopter before the masses catch on. The smart money is moving. Investors who understand the potential of WallitIQ (WLTQ) are taking action. Don’t let this golden chance pass you by.</w:t>
      </w:r>
      <w:r w:rsidDel="00000000" w:rsidR="00000000" w:rsidRPr="00000000">
        <w:rPr>
          <w:rtl w:val="0"/>
        </w:rPr>
      </w:r>
    </w:p>
    <w:p w:rsidR="00000000" w:rsidDel="00000000" w:rsidP="00000000" w:rsidRDefault="00000000" w:rsidRPr="00000000" w14:paraId="00000016">
      <w:pPr>
        <w:spacing w:before="200" w:lineRule="auto"/>
        <w:rPr>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7">
      <w:pPr>
        <w:spacing w:before="200" w:lineRule="auto"/>
        <w:rPr>
          <w:sz w:val="24"/>
          <w:szCs w:val="24"/>
        </w:rPr>
      </w:pPr>
      <w:r w:rsidDel="00000000" w:rsidR="00000000" w:rsidRPr="00000000">
        <w:rPr>
          <w:sz w:val="24"/>
          <w:szCs w:val="24"/>
          <w:rtl w:val="0"/>
        </w:rPr>
        <w:t xml:space="preserve">Website: </w:t>
      </w:r>
      <w:hyperlink r:id="rId18">
        <w:r w:rsidDel="00000000" w:rsidR="00000000" w:rsidRPr="00000000">
          <w:rPr>
            <w:color w:val="1155cc"/>
            <w:sz w:val="24"/>
            <w:szCs w:val="24"/>
            <w:u w:val="single"/>
            <w:rtl w:val="0"/>
          </w:rPr>
          <w:t xml:space="preserve">https://wallitiq.io/</w:t>
        </w:r>
      </w:hyperlink>
      <w:r w:rsidDel="00000000" w:rsidR="00000000" w:rsidRPr="00000000">
        <w:rPr>
          <w:rtl w:val="0"/>
        </w:rPr>
      </w:r>
    </w:p>
    <w:p w:rsidR="00000000" w:rsidDel="00000000" w:rsidP="00000000" w:rsidRDefault="00000000" w:rsidRPr="00000000" w14:paraId="00000018">
      <w:pPr>
        <w:spacing w:before="200" w:lineRule="auto"/>
        <w:rPr>
          <w:sz w:val="24"/>
          <w:szCs w:val="24"/>
        </w:rPr>
      </w:pPr>
      <w:r w:rsidDel="00000000" w:rsidR="00000000" w:rsidRPr="00000000">
        <w:rPr>
          <w:sz w:val="24"/>
          <w:szCs w:val="24"/>
          <w:rtl w:val="0"/>
        </w:rPr>
        <w:t xml:space="preserve">Whitepaper: </w:t>
      </w:r>
      <w:hyperlink r:id="rId19">
        <w:r w:rsidDel="00000000" w:rsidR="00000000" w:rsidRPr="00000000">
          <w:rPr>
            <w:color w:val="1155cc"/>
            <w:sz w:val="24"/>
            <w:szCs w:val="24"/>
            <w:u w:val="single"/>
            <w:rtl w:val="0"/>
          </w:rPr>
          <w:t xml:space="preserve">https://wallitiq.gitbook.io/wallitiq</w:t>
        </w:r>
      </w:hyperlink>
      <w:r w:rsidDel="00000000" w:rsidR="00000000" w:rsidRPr="00000000">
        <w:rPr>
          <w:rtl w:val="0"/>
        </w:rPr>
      </w:r>
    </w:p>
    <w:p w:rsidR="00000000" w:rsidDel="00000000" w:rsidP="00000000" w:rsidRDefault="00000000" w:rsidRPr="00000000" w14:paraId="00000019">
      <w:pPr>
        <w:spacing w:before="200" w:lineRule="auto"/>
        <w:rPr>
          <w:sz w:val="24"/>
          <w:szCs w:val="24"/>
        </w:rPr>
      </w:pPr>
      <w:r w:rsidDel="00000000" w:rsidR="00000000" w:rsidRPr="00000000">
        <w:rPr>
          <w:sz w:val="24"/>
          <w:szCs w:val="24"/>
          <w:rtl w:val="0"/>
        </w:rPr>
        <w:t xml:space="preserve">Telegram: </w:t>
      </w:r>
      <w:hyperlink r:id="rId20">
        <w:r w:rsidDel="00000000" w:rsidR="00000000" w:rsidRPr="00000000">
          <w:rPr>
            <w:color w:val="1155cc"/>
            <w:sz w:val="24"/>
            <w:szCs w:val="24"/>
            <w:u w:val="single"/>
            <w:rtl w:val="0"/>
          </w:rPr>
          <w:t xml:space="preserve">https://t.me/wallitiqofficial</w:t>
        </w:r>
      </w:hyperlink>
      <w:r w:rsidDel="00000000" w:rsidR="00000000" w:rsidRPr="00000000">
        <w:rPr>
          <w:rtl w:val="0"/>
        </w:rPr>
      </w:r>
    </w:p>
    <w:p w:rsidR="00000000" w:rsidDel="00000000" w:rsidP="00000000" w:rsidRDefault="00000000" w:rsidRPr="00000000" w14:paraId="0000001A">
      <w:pPr>
        <w:spacing w:before="200" w:lineRule="auto"/>
        <w:rPr>
          <w:sz w:val="24"/>
          <w:szCs w:val="24"/>
        </w:rPr>
      </w:pPr>
      <w:r w:rsidDel="00000000" w:rsidR="00000000" w:rsidRPr="00000000">
        <w:rPr>
          <w:sz w:val="24"/>
          <w:szCs w:val="24"/>
          <w:rtl w:val="0"/>
        </w:rPr>
        <w:t xml:space="preserve">Twitter/X: </w:t>
      </w:r>
      <w:hyperlink r:id="rId21">
        <w:r w:rsidDel="00000000" w:rsidR="00000000" w:rsidRPr="00000000">
          <w:rPr>
            <w:color w:val="1155cc"/>
            <w:sz w:val="24"/>
            <w:szCs w:val="24"/>
            <w:u w:val="single"/>
            <w:rtl w:val="0"/>
          </w:rPr>
          <w:t xml:space="preserve">https://x.com/wiqnetwork</w:t>
        </w:r>
      </w:hyperlink>
      <w:r w:rsidDel="00000000" w:rsidR="00000000" w:rsidRPr="00000000">
        <w:rPr>
          <w:rtl w:val="0"/>
        </w:rPr>
      </w:r>
    </w:p>
    <w:p w:rsidR="00000000" w:rsidDel="00000000" w:rsidP="00000000" w:rsidRDefault="00000000" w:rsidRPr="00000000" w14:paraId="0000001B">
      <w:pPr>
        <w:spacing w:before="200" w:lineRule="auto"/>
        <w:rPr>
          <w:sz w:val="24"/>
          <w:szCs w:val="24"/>
        </w:rPr>
      </w:pPr>
      <w:r w:rsidDel="00000000" w:rsidR="00000000" w:rsidRPr="00000000">
        <w:rPr>
          <w:sz w:val="24"/>
          <w:szCs w:val="24"/>
          <w:rtl w:val="0"/>
        </w:rPr>
        <w:t xml:space="preserve">Instagram: </w:t>
      </w:r>
      <w:hyperlink r:id="rId22">
        <w:r w:rsidDel="00000000" w:rsidR="00000000" w:rsidRPr="00000000">
          <w:rPr>
            <w:color w:val="1155cc"/>
            <w:sz w:val="24"/>
            <w:szCs w:val="24"/>
            <w:u w:val="single"/>
            <w:rtl w:val="0"/>
          </w:rPr>
          <w:t xml:space="preserve">https://www.instagram.com/wallitiqnetwork</w:t>
        </w:r>
      </w:hyperlink>
      <w:r w:rsidDel="00000000" w:rsidR="00000000" w:rsidRPr="00000000">
        <w:rPr>
          <w:rtl w:val="0"/>
        </w:rPr>
      </w:r>
    </w:p>
    <w:p w:rsidR="00000000" w:rsidDel="00000000" w:rsidP="00000000" w:rsidRDefault="00000000" w:rsidRPr="00000000" w14:paraId="0000001C">
      <w:pPr>
        <w:spacing w:before="200" w:lineRule="auto"/>
        <w:rPr>
          <w:b w:val="1"/>
          <w:sz w:val="24"/>
          <w:szCs w:val="24"/>
        </w:rPr>
      </w:pPr>
      <w:hyperlink r:id="rId23">
        <w:r w:rsidDel="00000000" w:rsidR="00000000" w:rsidRPr="00000000">
          <w:rPr>
            <w:b w:val="1"/>
            <w:color w:val="1155cc"/>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D">
      <w:pPr>
        <w:spacing w:before="200" w:lineRule="auto"/>
        <w:rPr/>
      </w:pPr>
      <w:hyperlink r:id="rId24">
        <w:r w:rsidDel="00000000" w:rsidR="00000000" w:rsidRPr="00000000">
          <w:rPr>
            <w:b w:val="1"/>
            <w:color w:val="1155cc"/>
            <w:sz w:val="24"/>
            <w:szCs w:val="24"/>
            <w:u w:val="single"/>
            <w:rtl w:val="0"/>
          </w:rPr>
          <w:t xml:space="preserve">Join the WallitIQ (WLTQ) Community</w:t>
        </w:r>
      </w:hyperlink>
      <w:r w:rsidDel="00000000" w:rsidR="00000000" w:rsidRPr="00000000">
        <w:rPr>
          <w:b w:val="1"/>
          <w:color w:val="0e101a"/>
          <w:sz w:val="24"/>
          <w:szCs w:val="24"/>
          <w:rtl w:val="0"/>
        </w:rPr>
        <w:br w:type="textWrapp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35723"/>
            <wp:effectExtent b="0" l="0" r="0" t="0"/>
            <wp:docPr id="3" name="image4.png"/>
            <a:graphic>
              <a:graphicData uri="http://schemas.openxmlformats.org/drawingml/2006/picture">
                <pic:pic>
                  <pic:nvPicPr>
                    <pic:cNvPr id="0" name="image4.png"/>
                    <pic:cNvPicPr preferRelativeResize="0"/>
                  </pic:nvPicPr>
                  <pic:blipFill>
                    <a:blip r:embed="rId25"/>
                    <a:srcRect b="6202" l="0" r="0" t="12027"/>
                    <a:stretch>
                      <a:fillRect/>
                    </a:stretch>
                  </pic:blipFill>
                  <pic:spPr>
                    <a:xfrm>
                      <a:off x="0" y="0"/>
                      <a:ext cx="5943600" cy="273572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771775"/>
            <wp:effectExtent b="0" l="0" r="0" t="0"/>
            <wp:docPr id="2" name="image3.png"/>
            <a:graphic>
              <a:graphicData uri="http://schemas.openxmlformats.org/drawingml/2006/picture">
                <pic:pic>
                  <pic:nvPicPr>
                    <pic:cNvPr id="0" name="image3.png"/>
                    <pic:cNvPicPr preferRelativeResize="0"/>
                  </pic:nvPicPr>
                  <pic:blipFill>
                    <a:blip r:embed="rId26"/>
                    <a:srcRect b="6267" l="0" r="0" t="10826"/>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771775"/>
            <wp:effectExtent b="0" l="0" r="0" t="0"/>
            <wp:docPr id="4" name="image2.png"/>
            <a:graphic>
              <a:graphicData uri="http://schemas.openxmlformats.org/drawingml/2006/picture">
                <pic:pic>
                  <pic:nvPicPr>
                    <pic:cNvPr id="0" name="image2.png"/>
                    <pic:cNvPicPr preferRelativeResize="0"/>
                  </pic:nvPicPr>
                  <pic:blipFill>
                    <a:blip r:embed="rId27"/>
                    <a:srcRect b="6552" l="0" r="0" t="10541"/>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784749"/>
            <wp:effectExtent b="0" l="0" r="0" t="0"/>
            <wp:docPr id="1" name="image1.png"/>
            <a:graphic>
              <a:graphicData uri="http://schemas.openxmlformats.org/drawingml/2006/picture">
                <pic:pic>
                  <pic:nvPicPr>
                    <pic:cNvPr id="0" name="image1.png"/>
                    <pic:cNvPicPr preferRelativeResize="0"/>
                  </pic:nvPicPr>
                  <pic:blipFill>
                    <a:blip r:embed="rId28"/>
                    <a:srcRect b="6442" l="0" r="0" t="10359"/>
                    <a:stretch>
                      <a:fillRect/>
                    </a:stretch>
                  </pic:blipFill>
                  <pic:spPr>
                    <a:xfrm>
                      <a:off x="0" y="0"/>
                      <a:ext cx="5943600" cy="278474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me/wallitiqofficial" TargetMode="External"/><Relationship Id="rId22" Type="http://schemas.openxmlformats.org/officeDocument/2006/relationships/hyperlink" Target="https://www.instagram.com/wallitiqnetwork" TargetMode="External"/><Relationship Id="rId21" Type="http://schemas.openxmlformats.org/officeDocument/2006/relationships/hyperlink" Target="https://x.com/wiqnetwork" TargetMode="External"/><Relationship Id="rId24" Type="http://schemas.openxmlformats.org/officeDocument/2006/relationships/hyperlink" Target="https://linktr.ee/wallitiq" TargetMode="External"/><Relationship Id="rId23" Type="http://schemas.openxmlformats.org/officeDocument/2006/relationships/hyperlink" Target="https://wallitiq.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inmarketcap.com/currencies/dogecoin/" TargetMode="External"/><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allitiq.io/" TargetMode="External"/><Relationship Id="rId7" Type="http://schemas.openxmlformats.org/officeDocument/2006/relationships/hyperlink" Target="https://wallitiq.io/" TargetMode="External"/><Relationship Id="rId8" Type="http://schemas.openxmlformats.org/officeDocument/2006/relationships/hyperlink" Target="https://coinmarketcap.com/currencies/dogecoin/" TargetMode="External"/><Relationship Id="rId11" Type="http://schemas.openxmlformats.org/officeDocument/2006/relationships/hyperlink" Target="https://wallitiq.io/" TargetMode="External"/><Relationship Id="rId10" Type="http://schemas.openxmlformats.org/officeDocument/2006/relationships/hyperlink" Target="https://wallitiq.io/" TargetMode="External"/><Relationship Id="rId13" Type="http://schemas.openxmlformats.org/officeDocument/2006/relationships/hyperlink" Target="https://github.com/solidproof/Projects/blob/main/2024/WallitIQ/Smartcontract_Audit_Solidproof_WallitIQ.pdf" TargetMode="External"/><Relationship Id="rId12" Type="http://schemas.openxmlformats.org/officeDocument/2006/relationships/hyperlink" Target="https://github.com/solidproof/Projects/blob/main/2024/WallitIQ/Smartcontract_Audit_Solidproof_WallitIQ.pdf" TargetMode="External"/><Relationship Id="rId15" Type="http://schemas.openxmlformats.org/officeDocument/2006/relationships/hyperlink" Target="https://wallitiq.io/" TargetMode="External"/><Relationship Id="rId14" Type="http://schemas.openxmlformats.org/officeDocument/2006/relationships/hyperlink" Target="https://wallitiq.io/" TargetMode="External"/><Relationship Id="rId17" Type="http://schemas.openxmlformats.org/officeDocument/2006/relationships/hyperlink" Target="https://wallitiq.io/" TargetMode="External"/><Relationship Id="rId16" Type="http://schemas.openxmlformats.org/officeDocument/2006/relationships/hyperlink" Target="https://wallitiq.io/" TargetMode="External"/><Relationship Id="rId19" Type="http://schemas.openxmlformats.org/officeDocument/2006/relationships/hyperlink" Target="https://wallitiq.gitbook.io/wallitiq" TargetMode="External"/><Relationship Id="rId1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