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b w:val="1"/>
          <w:sz w:val="24"/>
          <w:szCs w:val="24"/>
          <w:rtl w:val="0"/>
        </w:rPr>
        <w:t xml:space="preserve">Meta Description:</w:t>
      </w:r>
      <w:r w:rsidDel="00000000" w:rsidR="00000000" w:rsidRPr="00000000">
        <w:rPr>
          <w:sz w:val="24"/>
          <w:szCs w:val="24"/>
          <w:rtl w:val="0"/>
        </w:rPr>
        <w:t xml:space="preserve"> WallitIQ (WLTQ) vs. PEPE vs. BONK. Here’s why experts think WallitIQ (WLTQ) will champion this bull!</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b w:val="1"/>
          <w:sz w:val="24"/>
          <w:szCs w:val="24"/>
          <w:rtl w:val="0"/>
        </w:rPr>
        <w:t xml:space="preserve">Keywords</w:t>
      </w:r>
      <w:r w:rsidDel="00000000" w:rsidR="00000000" w:rsidRPr="00000000">
        <w:rPr>
          <w:sz w:val="24"/>
          <w:szCs w:val="24"/>
          <w:rtl w:val="0"/>
        </w:rPr>
        <w:t xml:space="preserve">: </w:t>
      </w:r>
    </w:p>
    <w:p w:rsidR="00000000" w:rsidDel="00000000" w:rsidP="00000000" w:rsidRDefault="00000000" w:rsidRPr="00000000" w14:paraId="00000004">
      <w:pPr>
        <w:rPr>
          <w:sz w:val="24"/>
          <w:szCs w:val="24"/>
        </w:rPr>
      </w:pPr>
      <w:r w:rsidDel="00000000" w:rsidR="00000000" w:rsidRPr="00000000">
        <w:rPr>
          <w:sz w:val="24"/>
          <w:szCs w:val="24"/>
          <w:rtl w:val="0"/>
        </w:rPr>
        <w:t xml:space="preserve">PEPE</w:t>
      </w:r>
    </w:p>
    <w:p w:rsidR="00000000" w:rsidDel="00000000" w:rsidP="00000000" w:rsidRDefault="00000000" w:rsidRPr="00000000" w14:paraId="00000005">
      <w:pPr>
        <w:rPr>
          <w:sz w:val="24"/>
          <w:szCs w:val="24"/>
        </w:rPr>
      </w:pPr>
      <w:r w:rsidDel="00000000" w:rsidR="00000000" w:rsidRPr="00000000">
        <w:rPr>
          <w:sz w:val="24"/>
          <w:szCs w:val="24"/>
          <w:rtl w:val="0"/>
        </w:rPr>
        <w:t xml:space="preserve">BONK </w:t>
      </w:r>
    </w:p>
    <w:p w:rsidR="00000000" w:rsidDel="00000000" w:rsidP="00000000" w:rsidRDefault="00000000" w:rsidRPr="00000000" w14:paraId="00000006">
      <w:pPr>
        <w:rPr>
          <w:sz w:val="24"/>
          <w:szCs w:val="24"/>
        </w:rPr>
      </w:pPr>
      <w:r w:rsidDel="00000000" w:rsidR="00000000" w:rsidRPr="00000000">
        <w:rPr>
          <w:sz w:val="24"/>
          <w:szCs w:val="24"/>
          <w:rtl w:val="0"/>
        </w:rPr>
        <w:t xml:space="preserve">Altcoin</w:t>
      </w:r>
    </w:p>
    <w:p w:rsidR="00000000" w:rsidDel="00000000" w:rsidP="00000000" w:rsidRDefault="00000000" w:rsidRPr="00000000" w14:paraId="00000007">
      <w:pPr>
        <w:rPr>
          <w:sz w:val="24"/>
          <w:szCs w:val="24"/>
        </w:rPr>
      </w:pPr>
      <w:r w:rsidDel="00000000" w:rsidR="00000000" w:rsidRPr="00000000">
        <w:rPr>
          <w:sz w:val="24"/>
          <w:szCs w:val="24"/>
          <w:rtl w:val="0"/>
        </w:rPr>
        <w:t xml:space="preserve">WallitIQ</w:t>
      </w:r>
    </w:p>
    <w:p w:rsidR="00000000" w:rsidDel="00000000" w:rsidP="00000000" w:rsidRDefault="00000000" w:rsidRPr="00000000" w14:paraId="00000008">
      <w:pPr>
        <w:rPr>
          <w:sz w:val="24"/>
          <w:szCs w:val="24"/>
        </w:rPr>
      </w:pPr>
      <w:r w:rsidDel="00000000" w:rsidR="00000000" w:rsidRPr="00000000">
        <w:rPr>
          <w:sz w:val="24"/>
          <w:szCs w:val="24"/>
          <w:rtl w:val="0"/>
        </w:rPr>
        <w:t xml:space="preserve">WLTQ </w:t>
      </w:r>
    </w:p>
    <w:p w:rsidR="00000000" w:rsidDel="00000000" w:rsidP="00000000" w:rsidRDefault="00000000" w:rsidRPr="00000000" w14:paraId="00000009">
      <w:pPr>
        <w:pStyle w:val="Heading1"/>
        <w:keepNext w:val="0"/>
        <w:keepLines w:val="0"/>
        <w:spacing w:after="0" w:before="200" w:lineRule="auto"/>
        <w:rPr>
          <w:b w:val="1"/>
          <w:color w:val="0e101a"/>
        </w:rPr>
      </w:pPr>
      <w:bookmarkStart w:colFirst="0" w:colLast="0" w:name="_8oyc31eqrur1" w:id="0"/>
      <w:bookmarkEnd w:id="0"/>
      <w:r w:rsidDel="00000000" w:rsidR="00000000" w:rsidRPr="00000000">
        <w:rPr>
          <w:b w:val="1"/>
          <w:color w:val="0e101a"/>
          <w:rtl w:val="0"/>
        </w:rPr>
        <w:t xml:space="preserve">WallitIQ (WLTQ) Vs. PEPE And BONK: Which Altcoin Will Lead The 2025 Bull Market?</w:t>
      </w:r>
    </w:p>
    <w:p w:rsidR="00000000" w:rsidDel="00000000" w:rsidP="00000000" w:rsidRDefault="00000000" w:rsidRPr="00000000" w14:paraId="0000000A">
      <w:pPr>
        <w:spacing w:before="200" w:lineRule="auto"/>
        <w:rPr>
          <w:color w:val="0e101a"/>
          <w:sz w:val="24"/>
          <w:szCs w:val="24"/>
        </w:rPr>
      </w:pPr>
      <w:r w:rsidDel="00000000" w:rsidR="00000000" w:rsidRPr="00000000">
        <w:rPr>
          <w:color w:val="0e101a"/>
          <w:sz w:val="24"/>
          <w:szCs w:val="24"/>
          <w:rtl w:val="0"/>
        </w:rPr>
        <w:t xml:space="preserve">In the altcoin market, many tokens are in a relentless race for dominance. Hence, new and established projects are constantly battling for the top position. While meme coins like Pepe (PEPE) and Bonk (BONK) have garnered massive hype in previous cycles, the attention for the 2025 bull market is on another token. WallitIQ (WLTQ), a digital altcoin, is here to redefine the playing field, even at its presale stage. Crypto experts believe</w:t>
      </w:r>
      <w:hyperlink r:id="rId6">
        <w:r w:rsidDel="00000000" w:rsidR="00000000" w:rsidRPr="00000000">
          <w:rPr>
            <w:color w:val="0e101a"/>
            <w:sz w:val="24"/>
            <w:szCs w:val="24"/>
            <w:rtl w:val="0"/>
          </w:rPr>
          <w:t xml:space="preserve"> </w:t>
        </w:r>
      </w:hyperlink>
      <w:hyperlink r:id="rId7">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is geared for a more parabolic run compared to Pepe (PEPE) and Bonk (BONK).</w:t>
      </w:r>
    </w:p>
    <w:p w:rsidR="00000000" w:rsidDel="00000000" w:rsidP="00000000" w:rsidRDefault="00000000" w:rsidRPr="00000000" w14:paraId="0000000B">
      <w:pPr>
        <w:pStyle w:val="Heading2"/>
        <w:keepNext w:val="0"/>
        <w:keepLines w:val="0"/>
        <w:spacing w:after="0" w:before="200" w:lineRule="auto"/>
        <w:rPr/>
      </w:pPr>
      <w:bookmarkStart w:colFirst="0" w:colLast="0" w:name="_xbr9elojgz22" w:id="1"/>
      <w:bookmarkEnd w:id="1"/>
      <w:r w:rsidDel="00000000" w:rsidR="00000000" w:rsidRPr="00000000">
        <w:rPr>
          <w:b w:val="1"/>
          <w:color w:val="0e101a"/>
          <w:rtl w:val="0"/>
        </w:rPr>
        <w:t xml:space="preserve">WallitIQ (WLTQ) Set To Dominate The 2025 Bull Run With A Staggering 55,000% Within A Month.</w:t>
      </w:r>
      <w:r w:rsidDel="00000000" w:rsidR="00000000" w:rsidRPr="00000000">
        <w:rPr>
          <w:rtl w:val="0"/>
        </w:rPr>
      </w:r>
    </w:p>
    <w:p w:rsidR="00000000" w:rsidDel="00000000" w:rsidP="00000000" w:rsidRDefault="00000000" w:rsidRPr="00000000" w14:paraId="0000000C">
      <w:pPr>
        <w:spacing w:before="200" w:lineRule="auto"/>
        <w:rPr>
          <w:color w:val="0e101a"/>
          <w:sz w:val="24"/>
          <w:szCs w:val="24"/>
        </w:rPr>
      </w:pPr>
      <w:hyperlink r:id="rId8">
        <w:r w:rsidDel="00000000" w:rsidR="00000000" w:rsidRPr="00000000">
          <w:rPr>
            <w:color w:val="4a6ee0"/>
            <w:sz w:val="24"/>
            <w:szCs w:val="24"/>
            <w:u w:val="single"/>
            <w:rtl w:val="0"/>
          </w:rPr>
          <w:t xml:space="preserve">WallitIQ (WLTQ)</w:t>
        </w:r>
      </w:hyperlink>
      <w:r w:rsidDel="00000000" w:rsidR="00000000" w:rsidRPr="00000000">
        <w:rPr>
          <w:color w:val="0e101a"/>
          <w:sz w:val="24"/>
          <w:szCs w:val="24"/>
          <w:rtl w:val="0"/>
        </w:rPr>
        <w:t xml:space="preserve"> is the first presale event that has made several early investors millionaires within a few weeks. The digital altcoin has transformed the cryptocurrency market with its unique opportunities and sophisticated technology since its launch. In 2024 alone, early adopters who rode the first wave of its bullish momentum grew their portfolios exponentially. WallitIQ (WLTQ) has now received backing from institutional investors to lead the altcoin bull run in 2025, due to its recent innovation. It kickstarts this race with a staggering 55,000% in a month. </w:t>
      </w:r>
    </w:p>
    <w:p w:rsidR="00000000" w:rsidDel="00000000" w:rsidP="00000000" w:rsidRDefault="00000000" w:rsidRPr="00000000" w14:paraId="0000000D">
      <w:pPr>
        <w:spacing w:before="200" w:lineRule="auto"/>
        <w:rPr>
          <w:color w:val="0e101a"/>
          <w:sz w:val="24"/>
          <w:szCs w:val="24"/>
        </w:rPr>
      </w:pPr>
      <w:r w:rsidDel="00000000" w:rsidR="00000000" w:rsidRPr="00000000">
        <w:rPr>
          <w:color w:val="0e101a"/>
          <w:sz w:val="24"/>
          <w:szCs w:val="24"/>
          <w:rtl w:val="0"/>
        </w:rPr>
        <w:t xml:space="preserve">This prediction has attracted more investors to WallitIQ (WLTQ), now targeting an $11 million inflow. The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AI altcoin has unveiled more outstanding features with its latest innovation, the MVP build of the </w:t>
      </w:r>
      <w:r w:rsidDel="00000000" w:rsidR="00000000" w:rsidRPr="00000000">
        <w:rPr>
          <w:b w:val="1"/>
          <w:color w:val="0e101a"/>
          <w:sz w:val="24"/>
          <w:szCs w:val="24"/>
          <w:rtl w:val="0"/>
        </w:rPr>
        <w:t xml:space="preserve">Crypto Wallet Management Mobile App.</w:t>
      </w:r>
      <w:r w:rsidDel="00000000" w:rsidR="00000000" w:rsidRPr="00000000">
        <w:rPr>
          <w:color w:val="0e101a"/>
          <w:sz w:val="24"/>
          <w:szCs w:val="24"/>
          <w:rtl w:val="0"/>
        </w:rPr>
        <w:t xml:space="preserve"> With the app, traders can manage their wallets, observe real-time prices via the CoinGecko API, and check their transaction histories. Beginners also have access to </w:t>
      </w:r>
      <w:r w:rsidDel="00000000" w:rsidR="00000000" w:rsidRPr="00000000">
        <w:rPr>
          <w:b w:val="1"/>
          <w:color w:val="0e101a"/>
          <w:sz w:val="24"/>
          <w:szCs w:val="24"/>
          <w:rtl w:val="0"/>
        </w:rPr>
        <w:t xml:space="preserve">over 1,000 cryptocurrencies</w:t>
      </w:r>
      <w:r w:rsidDel="00000000" w:rsidR="00000000" w:rsidRPr="00000000">
        <w:rPr>
          <w:color w:val="0e101a"/>
          <w:sz w:val="24"/>
          <w:szCs w:val="24"/>
          <w:rtl w:val="0"/>
        </w:rPr>
        <w:t xml:space="preserve"> and use the Artificial Intelligence protocol to make informed decisions about worthy investments</w:t>
      </w:r>
      <w:r w:rsidDel="00000000" w:rsidR="00000000" w:rsidRPr="00000000">
        <w:rPr>
          <w:b w:val="1"/>
          <w:color w:val="0e101a"/>
          <w:sz w:val="24"/>
          <w:szCs w:val="24"/>
          <w:rtl w:val="0"/>
        </w:rPr>
        <w:t xml:space="preserve">.</w:t>
      </w:r>
      <w:r w:rsidDel="00000000" w:rsidR="00000000" w:rsidRPr="00000000">
        <w:rPr>
          <w:color w:val="0e101a"/>
          <w:sz w:val="24"/>
          <w:szCs w:val="24"/>
          <w:rtl w:val="0"/>
        </w:rPr>
        <w:t xml:space="preserve"> </w:t>
      </w:r>
    </w:p>
    <w:p w:rsidR="00000000" w:rsidDel="00000000" w:rsidP="00000000" w:rsidRDefault="00000000" w:rsidRPr="00000000" w14:paraId="0000000E">
      <w:pPr>
        <w:spacing w:before="200" w:lineRule="auto"/>
        <w:rPr>
          <w:color w:val="0e101a"/>
          <w:sz w:val="24"/>
          <w:szCs w:val="24"/>
        </w:rPr>
      </w:pPr>
      <w:r w:rsidDel="00000000" w:rsidR="00000000" w:rsidRPr="00000000">
        <w:rPr>
          <w:color w:val="0e101a"/>
          <w:sz w:val="24"/>
          <w:szCs w:val="24"/>
          <w:rtl w:val="0"/>
        </w:rPr>
        <w:t xml:space="preserve">Long-term investors can stake their WLTQ tokens to earn </w:t>
      </w:r>
      <w:r w:rsidDel="00000000" w:rsidR="00000000" w:rsidRPr="00000000">
        <w:rPr>
          <w:b w:val="1"/>
          <w:color w:val="0e101a"/>
          <w:sz w:val="24"/>
          <w:szCs w:val="24"/>
          <w:rtl w:val="0"/>
        </w:rPr>
        <w:t xml:space="preserve">a 180% annual percentage yield (APY)</w:t>
      </w:r>
      <w:r w:rsidDel="00000000" w:rsidR="00000000" w:rsidRPr="00000000">
        <w:rPr>
          <w:color w:val="0e101a"/>
          <w:sz w:val="24"/>
          <w:szCs w:val="24"/>
          <w:rtl w:val="0"/>
        </w:rPr>
        <w:t xml:space="preserve">. These features are why crypto experts believe this altcoin can lead the 2025 bull run and reward its current holders with a 55,000% surge in a month.  WLTQ is not just a participant in the altcoin market but a potential leader in the crypto market.</w:t>
      </w:r>
    </w:p>
    <w:p w:rsidR="00000000" w:rsidDel="00000000" w:rsidP="00000000" w:rsidRDefault="00000000" w:rsidRPr="00000000" w14:paraId="0000000F">
      <w:pPr>
        <w:spacing w:before="200" w:lineRule="auto"/>
        <w:rPr>
          <w:color w:val="0e101a"/>
          <w:sz w:val="24"/>
          <w:szCs w:val="24"/>
        </w:rPr>
      </w:pPr>
      <w:r w:rsidDel="00000000" w:rsidR="00000000" w:rsidRPr="00000000">
        <w:rPr>
          <w:color w:val="0e101a"/>
          <w:sz w:val="24"/>
          <w:szCs w:val="24"/>
          <w:rtl w:val="0"/>
        </w:rPr>
        <w:t xml:space="preserve">The presale event is reaching its climax due to the massive influx of new investors. Since the network has completed</w:t>
      </w:r>
      <w:hyperlink r:id="rId9">
        <w:r w:rsidDel="00000000" w:rsidR="00000000" w:rsidRPr="00000000">
          <w:rPr>
            <w:color w:val="4a6ee0"/>
            <w:sz w:val="24"/>
            <w:szCs w:val="24"/>
            <w:u w:val="single"/>
            <w:rtl w:val="0"/>
          </w:rPr>
          <w:t xml:space="preserve"> a smart contract audit</w:t>
        </w:r>
      </w:hyperlink>
      <w:r w:rsidDel="00000000" w:rsidR="00000000" w:rsidRPr="00000000">
        <w:rPr>
          <w:color w:val="0e101a"/>
          <w:sz w:val="24"/>
          <w:szCs w:val="24"/>
          <w:rtl w:val="0"/>
        </w:rPr>
        <w:t xml:space="preserve"> from SolidProof, there is no worry about the safety of assets on the WallitIQ (WLTQ) network. Instead, traders are securing their position before it becomes too late. </w:t>
      </w:r>
    </w:p>
    <w:p w:rsidR="00000000" w:rsidDel="00000000" w:rsidP="00000000" w:rsidRDefault="00000000" w:rsidRPr="00000000" w14:paraId="00000010">
      <w:pPr>
        <w:spacing w:before="200" w:lineRule="auto"/>
        <w:rPr>
          <w:color w:val="0e101a"/>
          <w:sz w:val="24"/>
          <w:szCs w:val="24"/>
        </w:rPr>
      </w:pPr>
      <w:r w:rsidDel="00000000" w:rsidR="00000000" w:rsidRPr="00000000">
        <w:rPr>
          <w:color w:val="0e101a"/>
          <w:sz w:val="24"/>
          <w:szCs w:val="24"/>
          <w:rtl w:val="0"/>
        </w:rPr>
        <w:t xml:space="preserve">Don’t miss out, as the presale event may end soon. Make the money move now by purchasing the </w:t>
      </w:r>
      <w:r w:rsidDel="00000000" w:rsidR="00000000" w:rsidRPr="00000000">
        <w:rPr>
          <w:b w:val="1"/>
          <w:color w:val="0e101a"/>
          <w:sz w:val="24"/>
          <w:szCs w:val="24"/>
          <w:rtl w:val="0"/>
        </w:rPr>
        <w:t xml:space="preserve">$0.0420</w:t>
      </w:r>
      <w:r w:rsidDel="00000000" w:rsidR="00000000" w:rsidRPr="00000000">
        <w:rPr>
          <w:color w:val="0e101a"/>
          <w:sz w:val="24"/>
          <w:szCs w:val="24"/>
          <w:rtl w:val="0"/>
        </w:rPr>
        <w:t xml:space="preserve"> altcoin. The 2025 bull run has begun, and a 55,000% surge is imminent. Be on the pathway to wealth accumulation. 2025 can be your best year yet, provided you take action today by purchasing WLTQ tokens.  </w:t>
      </w:r>
    </w:p>
    <w:p w:rsidR="00000000" w:rsidDel="00000000" w:rsidP="00000000" w:rsidRDefault="00000000" w:rsidRPr="00000000" w14:paraId="00000011">
      <w:pPr>
        <w:pStyle w:val="Heading2"/>
        <w:keepNext w:val="0"/>
        <w:keepLines w:val="0"/>
        <w:spacing w:after="0" w:before="200" w:lineRule="auto"/>
        <w:rPr>
          <w:b w:val="1"/>
          <w:color w:val="0e101a"/>
        </w:rPr>
      </w:pPr>
      <w:bookmarkStart w:colFirst="0" w:colLast="0" w:name="_eb5zoel45s01" w:id="2"/>
      <w:bookmarkEnd w:id="2"/>
      <w:r w:rsidDel="00000000" w:rsidR="00000000" w:rsidRPr="00000000">
        <w:rPr>
          <w:b w:val="1"/>
          <w:color w:val="0e101a"/>
          <w:rtl w:val="0"/>
        </w:rPr>
        <w:t xml:space="preserve">PEPE (PEPE) Tests Major Support Level Ahead Of The Altcoin Bull Run</w:t>
      </w:r>
    </w:p>
    <w:p w:rsidR="00000000" w:rsidDel="00000000" w:rsidP="00000000" w:rsidRDefault="00000000" w:rsidRPr="00000000" w14:paraId="00000012">
      <w:pPr>
        <w:spacing w:before="200" w:lineRule="auto"/>
        <w:rPr>
          <w:color w:val="0e101a"/>
          <w:sz w:val="24"/>
          <w:szCs w:val="24"/>
        </w:rPr>
      </w:pPr>
      <w:hyperlink r:id="rId10">
        <w:r w:rsidDel="00000000" w:rsidR="00000000" w:rsidRPr="00000000">
          <w:rPr>
            <w:color w:val="4a6ee0"/>
            <w:sz w:val="24"/>
            <w:szCs w:val="24"/>
            <w:u w:val="single"/>
            <w:rtl w:val="0"/>
          </w:rPr>
          <w:t xml:space="preserve">Pepe (PEPE</w:t>
        </w:r>
      </w:hyperlink>
      <w:r w:rsidDel="00000000" w:rsidR="00000000" w:rsidRPr="00000000">
        <w:rPr>
          <w:color w:val="0e101a"/>
          <w:sz w:val="24"/>
          <w:szCs w:val="24"/>
          <w:rtl w:val="0"/>
        </w:rPr>
        <w:t xml:space="preserve">) remains unpredictable, with frequent and significant fluctuations in value. With investors now eyeing the altcoin bull run, the question is how Pepe (PEPE) will react to the market dynamics. Pepe (PEPE) has declined in the past 30 days. However, technical analysis indicates that the altcoin is testing a major support level, which also serves as a rebound zone. A breakdown can also increase the bearish pressure.   </w:t>
      </w:r>
    </w:p>
    <w:p w:rsidR="00000000" w:rsidDel="00000000" w:rsidP="00000000" w:rsidRDefault="00000000" w:rsidRPr="00000000" w14:paraId="00000013">
      <w:pPr>
        <w:pStyle w:val="Heading2"/>
        <w:keepNext w:val="0"/>
        <w:keepLines w:val="0"/>
        <w:spacing w:after="0" w:before="200" w:lineRule="auto"/>
        <w:rPr>
          <w:b w:val="1"/>
          <w:color w:val="0e101a"/>
        </w:rPr>
      </w:pPr>
      <w:bookmarkStart w:colFirst="0" w:colLast="0" w:name="_o35ei3lalz37" w:id="3"/>
      <w:bookmarkEnd w:id="3"/>
      <w:r w:rsidDel="00000000" w:rsidR="00000000" w:rsidRPr="00000000">
        <w:rPr>
          <w:b w:val="1"/>
          <w:color w:val="0e101a"/>
          <w:rtl w:val="0"/>
        </w:rPr>
        <w:t xml:space="preserve">BONK (BONK) Sees Steeper Loss </w:t>
      </w:r>
    </w:p>
    <w:p w:rsidR="00000000" w:rsidDel="00000000" w:rsidP="00000000" w:rsidRDefault="00000000" w:rsidRPr="00000000" w14:paraId="00000014">
      <w:pPr>
        <w:spacing w:before="200" w:lineRule="auto"/>
        <w:rPr>
          <w:color w:val="0e101a"/>
          <w:sz w:val="24"/>
          <w:szCs w:val="24"/>
        </w:rPr>
      </w:pPr>
      <w:r w:rsidDel="00000000" w:rsidR="00000000" w:rsidRPr="00000000">
        <w:rPr>
          <w:color w:val="0e101a"/>
          <w:sz w:val="24"/>
          <w:szCs w:val="24"/>
          <w:rtl w:val="0"/>
        </w:rPr>
        <w:t xml:space="preserve">Memecoins like Bonk</w:t>
      </w:r>
      <w:hyperlink r:id="rId11">
        <w:r w:rsidDel="00000000" w:rsidR="00000000" w:rsidRPr="00000000">
          <w:rPr>
            <w:color w:val="0e101a"/>
            <w:sz w:val="24"/>
            <w:szCs w:val="24"/>
            <w:rtl w:val="0"/>
          </w:rPr>
          <w:t xml:space="preserve"> </w:t>
        </w:r>
      </w:hyperlink>
      <w:hyperlink r:id="rId12">
        <w:r w:rsidDel="00000000" w:rsidR="00000000" w:rsidRPr="00000000">
          <w:rPr>
            <w:color w:val="4a6ee0"/>
            <w:sz w:val="24"/>
            <w:szCs w:val="24"/>
            <w:u w:val="single"/>
            <w:rtl w:val="0"/>
          </w:rPr>
          <w:t xml:space="preserve">(BONK)</w:t>
        </w:r>
      </w:hyperlink>
      <w:r w:rsidDel="00000000" w:rsidR="00000000" w:rsidRPr="00000000">
        <w:rPr>
          <w:color w:val="0e101a"/>
          <w:sz w:val="24"/>
          <w:szCs w:val="24"/>
          <w:rtl w:val="0"/>
        </w:rPr>
        <w:t xml:space="preserve"> are known for their significant gains, largely attributed to their high liquidity. However, they are often impacted by Bitcoin’s performance. The recent Bitcoin drop has caused Bonk (BONK) to decline by 11%. Hence, investors have lost faith in Bonk (BONK) and other meme coins ahead of the 2025 bull run. They have also highlighted WallitIQ (WLTQ), a digital altcoin with considerable promise, as a worthy token for potentially lucrative profits.</w:t>
      </w:r>
    </w:p>
    <w:p w:rsidR="00000000" w:rsidDel="00000000" w:rsidP="00000000" w:rsidRDefault="00000000" w:rsidRPr="00000000" w14:paraId="00000015">
      <w:pPr>
        <w:pStyle w:val="Heading2"/>
        <w:keepNext w:val="0"/>
        <w:keepLines w:val="0"/>
        <w:spacing w:after="0" w:before="200" w:lineRule="auto"/>
        <w:rPr>
          <w:b w:val="1"/>
          <w:color w:val="0e101a"/>
        </w:rPr>
      </w:pPr>
      <w:bookmarkStart w:colFirst="0" w:colLast="0" w:name="_p5gb5k2ses1h" w:id="4"/>
      <w:bookmarkEnd w:id="4"/>
      <w:r w:rsidDel="00000000" w:rsidR="00000000" w:rsidRPr="00000000">
        <w:rPr>
          <w:b w:val="1"/>
          <w:color w:val="0e101a"/>
          <w:rtl w:val="0"/>
        </w:rPr>
        <w:t xml:space="preserve">Conclusion</w:t>
      </w:r>
    </w:p>
    <w:p w:rsidR="00000000" w:rsidDel="00000000" w:rsidP="00000000" w:rsidRDefault="00000000" w:rsidRPr="00000000" w14:paraId="00000016">
      <w:pPr>
        <w:spacing w:before="200" w:lineRule="auto"/>
        <w:rPr>
          <w:color w:val="0e101a"/>
          <w:sz w:val="24"/>
          <w:szCs w:val="24"/>
        </w:rPr>
      </w:pPr>
      <w:hyperlink r:id="rId13">
        <w:r w:rsidDel="00000000" w:rsidR="00000000" w:rsidRPr="00000000">
          <w:rPr>
            <w:color w:val="1155cc"/>
            <w:sz w:val="24"/>
            <w:szCs w:val="24"/>
            <w:u w:val="single"/>
            <w:rtl w:val="0"/>
          </w:rPr>
          <w:t xml:space="preserve">WallitIQ (WLTQ)</w:t>
        </w:r>
      </w:hyperlink>
      <w:r w:rsidDel="00000000" w:rsidR="00000000" w:rsidRPr="00000000">
        <w:rPr>
          <w:color w:val="0e101a"/>
          <w:sz w:val="24"/>
          <w:szCs w:val="24"/>
          <w:rtl w:val="0"/>
        </w:rPr>
        <w:t xml:space="preserve"> has demonstrated more value beyond media hype, positioning it for significant growth in the upcoming bull market. While Pepe (PEPE) and BONK (BONK) offer short-term, menial gains, WallitIQ (WLTQ) has proven to be a more reliable altcoin. In addition to its AI-powered trading and several trading opportunities, it has flashed several bullish indicators for the 2025 bull run. </w:t>
      </w:r>
    </w:p>
    <w:p w:rsidR="00000000" w:rsidDel="00000000" w:rsidP="00000000" w:rsidRDefault="00000000" w:rsidRPr="00000000" w14:paraId="00000017">
      <w:pPr>
        <w:spacing w:before="200" w:lineRule="auto"/>
        <w:rPr>
          <w:sz w:val="24"/>
          <w:szCs w:val="24"/>
        </w:rPr>
      </w:pPr>
      <w:r w:rsidDel="00000000" w:rsidR="00000000" w:rsidRPr="00000000">
        <w:rPr>
          <w:color w:val="0e101a"/>
          <w:sz w:val="24"/>
          <w:szCs w:val="24"/>
          <w:rtl w:val="0"/>
        </w:rPr>
        <w:t xml:space="preserve">Hence, crypto veterans and beginners who want to maximize returns in 2025 and beyond are swooping in. With several investors already securing their positions, the WLTQ tokens are selling out quickly. Do not miss this golden opportunity, as its first bullish run is a 55,000% surge. Ride the 2025 bullish wave by purchasing </w:t>
      </w:r>
      <w:r w:rsidDel="00000000" w:rsidR="00000000" w:rsidRPr="00000000">
        <w:rPr>
          <w:color w:val="0e101a"/>
          <w:sz w:val="24"/>
          <w:szCs w:val="24"/>
          <w:rtl w:val="0"/>
        </w:rPr>
        <w:t xml:space="preserve">WallitIQ (WLTQ)</w:t>
      </w:r>
      <w:r w:rsidDel="00000000" w:rsidR="00000000" w:rsidRPr="00000000">
        <w:rPr>
          <w:color w:val="0e101a"/>
          <w:sz w:val="24"/>
          <w:szCs w:val="24"/>
          <w:rtl w:val="0"/>
        </w:rPr>
        <w:t xml:space="preserve"> today.</w:t>
      </w:r>
      <w:r w:rsidDel="00000000" w:rsidR="00000000" w:rsidRPr="00000000">
        <w:rPr>
          <w:rtl w:val="0"/>
        </w:rPr>
      </w:r>
    </w:p>
    <w:p w:rsidR="00000000" w:rsidDel="00000000" w:rsidP="00000000" w:rsidRDefault="00000000" w:rsidRPr="00000000" w14:paraId="00000018">
      <w:pPr>
        <w:spacing w:before="200" w:lineRule="auto"/>
        <w:rPr>
          <w:color w:val="0e101a"/>
          <w:sz w:val="24"/>
          <w:szCs w:val="24"/>
        </w:rPr>
      </w:pPr>
      <w:r w:rsidDel="00000000" w:rsidR="00000000" w:rsidRPr="00000000">
        <w:rPr>
          <w:b w:val="1"/>
          <w:color w:val="0e101a"/>
          <w:sz w:val="24"/>
          <w:szCs w:val="24"/>
          <w:rtl w:val="0"/>
        </w:rPr>
        <w:t xml:space="preserve">Join the WallitIQ (WLTQ) presale and community:</w:t>
      </w:r>
      <w:r w:rsidDel="00000000" w:rsidR="00000000" w:rsidRPr="00000000">
        <w:rPr>
          <w:color w:val="0e101a"/>
          <w:sz w:val="24"/>
          <w:szCs w:val="24"/>
          <w:rtl w:val="0"/>
        </w:rPr>
        <w:t xml:space="preserve"> </w:t>
      </w:r>
    </w:p>
    <w:p w:rsidR="00000000" w:rsidDel="00000000" w:rsidP="00000000" w:rsidRDefault="00000000" w:rsidRPr="00000000" w14:paraId="00000019">
      <w:pPr>
        <w:spacing w:before="200" w:lineRule="auto"/>
        <w:rPr>
          <w:b w:val="1"/>
          <w:color w:val="4a6ee0"/>
          <w:sz w:val="24"/>
          <w:szCs w:val="24"/>
          <w:u w:val="single"/>
        </w:rPr>
      </w:pPr>
      <w:hyperlink r:id="rId14">
        <w:r w:rsidDel="00000000" w:rsidR="00000000" w:rsidRPr="00000000">
          <w:rPr>
            <w:b w:val="1"/>
            <w:color w:val="4a6ee0"/>
            <w:sz w:val="24"/>
            <w:szCs w:val="24"/>
            <w:u w:val="single"/>
            <w:rtl w:val="0"/>
          </w:rPr>
          <w:t xml:space="preserve">Join WallitIQ (WLTQ) Presale</w:t>
        </w:r>
      </w:hyperlink>
      <w:r w:rsidDel="00000000" w:rsidR="00000000" w:rsidRPr="00000000">
        <w:rPr>
          <w:rtl w:val="0"/>
        </w:rPr>
      </w:r>
    </w:p>
    <w:p w:rsidR="00000000" w:rsidDel="00000000" w:rsidP="00000000" w:rsidRDefault="00000000" w:rsidRPr="00000000" w14:paraId="0000001A">
      <w:pPr>
        <w:spacing w:before="200" w:lineRule="auto"/>
        <w:rPr>
          <w:sz w:val="24"/>
          <w:szCs w:val="24"/>
        </w:rPr>
      </w:pPr>
      <w:hyperlink r:id="rId15">
        <w:r w:rsidDel="00000000" w:rsidR="00000000" w:rsidRPr="00000000">
          <w:rPr>
            <w:b w:val="1"/>
            <w:color w:val="4a6ee0"/>
            <w:sz w:val="24"/>
            <w:szCs w:val="24"/>
            <w:u w:val="single"/>
            <w:rtl w:val="0"/>
          </w:rPr>
          <w:t xml:space="preserve">Join the WallitIQ (WLTQ) Community</w:t>
        </w:r>
      </w:hyperlink>
      <w:r w:rsidDel="00000000" w:rsidR="00000000" w:rsidRPr="00000000">
        <w:rPr>
          <w:rtl w:val="0"/>
        </w:rPr>
      </w:r>
    </w:p>
    <w:p w:rsidR="00000000" w:rsidDel="00000000" w:rsidP="00000000" w:rsidRDefault="00000000" w:rsidRPr="00000000" w14:paraId="0000001B">
      <w:pPr>
        <w:rPr/>
      </w:pPr>
      <w:r w:rsidDel="00000000" w:rsidR="00000000" w:rsidRPr="00000000">
        <w:rPr/>
        <w:drawing>
          <wp:inline distB="114300" distT="114300" distL="114300" distR="114300">
            <wp:extent cx="5943600" cy="2735666"/>
            <wp:effectExtent b="0" l="0" r="0" t="0"/>
            <wp:docPr id="1" name="image4.png"/>
            <a:graphic>
              <a:graphicData uri="http://schemas.openxmlformats.org/drawingml/2006/picture">
                <pic:pic>
                  <pic:nvPicPr>
                    <pic:cNvPr id="0" name="image4.png"/>
                    <pic:cNvPicPr preferRelativeResize="0"/>
                  </pic:nvPicPr>
                  <pic:blipFill>
                    <a:blip r:embed="rId16"/>
                    <a:srcRect b="6773" l="0" r="0" t="11455"/>
                    <a:stretch>
                      <a:fillRect/>
                    </a:stretch>
                  </pic:blipFill>
                  <pic:spPr>
                    <a:xfrm>
                      <a:off x="0" y="0"/>
                      <a:ext cx="5943600" cy="2735666"/>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2748640"/>
            <wp:effectExtent b="0" l="0" r="0" t="0"/>
            <wp:docPr id="2" name="image2.png"/>
            <a:graphic>
              <a:graphicData uri="http://schemas.openxmlformats.org/drawingml/2006/picture">
                <pic:pic>
                  <pic:nvPicPr>
                    <pic:cNvPr id="0" name="image2.png"/>
                    <pic:cNvPicPr preferRelativeResize="0"/>
                  </pic:nvPicPr>
                  <pic:blipFill>
                    <a:blip r:embed="rId17"/>
                    <a:srcRect b="6398" l="0" r="0" t="11273"/>
                    <a:stretch>
                      <a:fillRect/>
                    </a:stretch>
                  </pic:blipFill>
                  <pic:spPr>
                    <a:xfrm>
                      <a:off x="0" y="0"/>
                      <a:ext cx="5943600" cy="274864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2748640"/>
            <wp:effectExtent b="0" l="0" r="0" t="0"/>
            <wp:docPr id="3" name="image1.png"/>
            <a:graphic>
              <a:graphicData uri="http://schemas.openxmlformats.org/drawingml/2006/picture">
                <pic:pic>
                  <pic:nvPicPr>
                    <pic:cNvPr id="0" name="image1.png"/>
                    <pic:cNvPicPr preferRelativeResize="0"/>
                  </pic:nvPicPr>
                  <pic:blipFill>
                    <a:blip r:embed="rId18"/>
                    <a:srcRect b="6969" l="0" r="0" t="10704"/>
                    <a:stretch>
                      <a:fillRect/>
                    </a:stretch>
                  </pic:blipFill>
                  <pic:spPr>
                    <a:xfrm>
                      <a:off x="0" y="0"/>
                      <a:ext cx="5943600" cy="274864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drawing>
          <wp:inline distB="114300" distT="114300" distL="114300" distR="114300">
            <wp:extent cx="5943600" cy="2762250"/>
            <wp:effectExtent b="0" l="0" r="0" t="0"/>
            <wp:docPr id="4" name="image3.png"/>
            <a:graphic>
              <a:graphicData uri="http://schemas.openxmlformats.org/drawingml/2006/picture">
                <pic:pic>
                  <pic:nvPicPr>
                    <pic:cNvPr id="0" name="image3.png"/>
                    <pic:cNvPicPr preferRelativeResize="0"/>
                  </pic:nvPicPr>
                  <pic:blipFill>
                    <a:blip r:embed="rId19"/>
                    <a:srcRect b="5982" l="0" r="0" t="11396"/>
                    <a:stretch>
                      <a:fillRect/>
                    </a:stretch>
                  </pic:blipFill>
                  <pic:spPr>
                    <a:xfrm>
                      <a:off x="0" y="0"/>
                      <a:ext cx="5943600" cy="276225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coinmarketcap.com/currencies/bonk1/" TargetMode="External"/><Relationship Id="rId10" Type="http://schemas.openxmlformats.org/officeDocument/2006/relationships/hyperlink" Target="https://coinmarketcap.com/currencies/pepe/" TargetMode="External"/><Relationship Id="rId13" Type="http://schemas.openxmlformats.org/officeDocument/2006/relationships/hyperlink" Target="https://wallitiq.io/" TargetMode="External"/><Relationship Id="rId12" Type="http://schemas.openxmlformats.org/officeDocument/2006/relationships/hyperlink" Target="https://coinmarketcap.com/currencies/bonk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solidproof/Projects/blob/main/2024/WallitIQ/Smartcontract_Audit_Solidproof_WallitIQ.pdf" TargetMode="External"/><Relationship Id="rId15" Type="http://schemas.openxmlformats.org/officeDocument/2006/relationships/hyperlink" Target="https://linktr.ee/wallitiq" TargetMode="External"/><Relationship Id="rId14" Type="http://schemas.openxmlformats.org/officeDocument/2006/relationships/hyperlink" Target="https://wallitiq.io/?utm_source=techpoint&amp;utm_medium=20&amp;utm_campaign=1005sat" TargetMode="External"/><Relationship Id="rId17" Type="http://schemas.openxmlformats.org/officeDocument/2006/relationships/image" Target="media/image2.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3.png"/><Relationship Id="rId6" Type="http://schemas.openxmlformats.org/officeDocument/2006/relationships/hyperlink" Target="https://wallitiq.io/" TargetMode="External"/><Relationship Id="rId18" Type="http://schemas.openxmlformats.org/officeDocument/2006/relationships/image" Target="media/image1.png"/><Relationship Id="rId7" Type="http://schemas.openxmlformats.org/officeDocument/2006/relationships/hyperlink" Target="https://wallitiq.io/" TargetMode="External"/><Relationship Id="rId8" Type="http://schemas.openxmlformats.org/officeDocument/2006/relationships/hyperlink" Target="https://wallitiq.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