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XRP’s potential $2 breakout could ignite a Ripple (XRP) bull run, while ETFSwap (ETFS) and Pepe (PEPE) are projected to outshine with an impressive 550x rally.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Keywords: </w:t>
      </w:r>
    </w:p>
    <w:p w:rsidR="00000000" w:rsidDel="00000000" w:rsidP="00000000" w:rsidRDefault="00000000" w:rsidRPr="00000000" w14:paraId="00000004">
      <w:pPr>
        <w:rPr>
          <w:sz w:val="24"/>
          <w:szCs w:val="24"/>
        </w:rPr>
      </w:pPr>
      <w:r w:rsidDel="00000000" w:rsidR="00000000" w:rsidRPr="00000000">
        <w:rPr>
          <w:sz w:val="24"/>
          <w:szCs w:val="24"/>
          <w:rtl w:val="0"/>
        </w:rPr>
        <w:t xml:space="preserve">Ripple</w:t>
      </w:r>
    </w:p>
    <w:p w:rsidR="00000000" w:rsidDel="00000000" w:rsidP="00000000" w:rsidRDefault="00000000" w:rsidRPr="00000000" w14:paraId="00000005">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6">
      <w:pPr>
        <w:rPr>
          <w:sz w:val="24"/>
          <w:szCs w:val="24"/>
        </w:rPr>
      </w:pPr>
      <w:r w:rsidDel="00000000" w:rsidR="00000000" w:rsidRPr="00000000">
        <w:rPr>
          <w:sz w:val="24"/>
          <w:szCs w:val="24"/>
          <w:rtl w:val="0"/>
        </w:rPr>
        <w:t xml:space="preserve">XRP </w:t>
      </w:r>
    </w:p>
    <w:p w:rsidR="00000000" w:rsidDel="00000000" w:rsidP="00000000" w:rsidRDefault="00000000" w:rsidRPr="00000000" w14:paraId="00000007">
      <w:pPr>
        <w:rPr>
          <w:sz w:val="24"/>
          <w:szCs w:val="24"/>
        </w:rPr>
      </w:pPr>
      <w:r w:rsidDel="00000000" w:rsidR="00000000" w:rsidRPr="00000000">
        <w:rPr>
          <w:sz w:val="24"/>
          <w:szCs w:val="24"/>
          <w:rtl w:val="0"/>
        </w:rPr>
        <w:t xml:space="preserve">PEPE</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9">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A">
      <w:pPr>
        <w:rPr>
          <w:sz w:val="24"/>
          <w:szCs w:val="24"/>
        </w:rPr>
      </w:pPr>
      <w:r w:rsidDel="00000000" w:rsidR="00000000" w:rsidRPr="00000000">
        <w:rPr>
          <w:sz w:val="24"/>
          <w:szCs w:val="24"/>
          <w:rtl w:val="0"/>
        </w:rPr>
        <w:t xml:space="preserve">ETFS</w:t>
      </w:r>
    </w:p>
    <w:p w:rsidR="00000000" w:rsidDel="00000000" w:rsidP="00000000" w:rsidRDefault="00000000" w:rsidRPr="00000000" w14:paraId="0000000B">
      <w:pPr>
        <w:rPr/>
      </w:pPr>
      <w:r w:rsidDel="00000000" w:rsidR="00000000" w:rsidRPr="00000000">
        <w:rPr>
          <w:sz w:val="24"/>
          <w:szCs w:val="24"/>
          <w:rtl w:val="0"/>
        </w:rPr>
        <w:t xml:space="preserve">ETF </w:t>
      </w:r>
      <w:r w:rsidDel="00000000" w:rsidR="00000000" w:rsidRPr="00000000">
        <w:rPr>
          <w:rtl w:val="0"/>
        </w:rPr>
      </w:r>
    </w:p>
    <w:p w:rsidR="00000000" w:rsidDel="00000000" w:rsidP="00000000" w:rsidRDefault="00000000" w:rsidRPr="00000000" w14:paraId="0000000C">
      <w:pPr>
        <w:pStyle w:val="Heading1"/>
        <w:keepNext w:val="0"/>
        <w:keepLines w:val="0"/>
        <w:spacing w:after="0" w:before="200" w:lineRule="auto"/>
        <w:rPr>
          <w:b w:val="1"/>
          <w:color w:val="0e101a"/>
          <w:sz w:val="46"/>
          <w:szCs w:val="46"/>
        </w:rPr>
      </w:pPr>
      <w:bookmarkStart w:colFirst="0" w:colLast="0" w:name="_urndx14y6drq" w:id="0"/>
      <w:bookmarkEnd w:id="0"/>
      <w:r w:rsidDel="00000000" w:rsidR="00000000" w:rsidRPr="00000000">
        <w:rPr>
          <w:b w:val="1"/>
          <w:color w:val="0e101a"/>
          <w:sz w:val="46"/>
          <w:szCs w:val="46"/>
          <w:rtl w:val="0"/>
        </w:rPr>
        <w:t xml:space="preserve">XRP Price Breakout To $2 Will Spur Ripple Bull Run, But ETFSwap And PEPE Will Outperform With 550x Rally.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As the XRP price eyes a breakthrough to the $2 mark, the anticipation of a Ripple-inspired bull run is building. Despite this surge, </w:t>
      </w:r>
      <w:hyperlink r:id="rId6">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and Pepe (PEPE) are emerging as standout contenders with an ambitious 550x rally on the horizon. Investors are paying close attention to ETFSwap (ETFS) as it offers the most substantial returns in the crypto market. </w:t>
      </w:r>
    </w:p>
    <w:p w:rsidR="00000000" w:rsidDel="00000000" w:rsidP="00000000" w:rsidRDefault="00000000" w:rsidRPr="00000000" w14:paraId="0000000E">
      <w:pPr>
        <w:pStyle w:val="Heading2"/>
        <w:keepNext w:val="0"/>
        <w:keepLines w:val="0"/>
        <w:spacing w:after="0" w:before="200" w:lineRule="auto"/>
        <w:rPr>
          <w:b w:val="1"/>
          <w:color w:val="0e101a"/>
          <w:sz w:val="34"/>
          <w:szCs w:val="34"/>
        </w:rPr>
      </w:pPr>
      <w:bookmarkStart w:colFirst="0" w:colLast="0" w:name="_n2pd3nrkatg4" w:id="1"/>
      <w:bookmarkEnd w:id="1"/>
      <w:r w:rsidDel="00000000" w:rsidR="00000000" w:rsidRPr="00000000">
        <w:rPr>
          <w:b w:val="1"/>
          <w:color w:val="0e101a"/>
          <w:sz w:val="34"/>
          <w:szCs w:val="34"/>
          <w:rtl w:val="0"/>
        </w:rPr>
        <w:t xml:space="preserve">ETFSwap (ETFS): The Perfect Reflection of A Strong Ecosystem </w:t>
      </w:r>
    </w:p>
    <w:p w:rsidR="00000000" w:rsidDel="00000000" w:rsidP="00000000" w:rsidRDefault="00000000" w:rsidRPr="00000000" w14:paraId="0000000F">
      <w:pPr>
        <w:spacing w:before="200" w:lineRule="auto"/>
        <w:rPr>
          <w:color w:val="0e101a"/>
          <w:sz w:val="24"/>
          <w:szCs w:val="24"/>
        </w:rPr>
      </w:pPr>
      <w:hyperlink r:id="rId7">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is setting the stage for a major breakout with </w:t>
      </w:r>
      <w:r w:rsidDel="00000000" w:rsidR="00000000" w:rsidRPr="00000000">
        <w:rPr>
          <w:b w:val="1"/>
          <w:color w:val="0e101a"/>
          <w:sz w:val="24"/>
          <w:szCs w:val="24"/>
          <w:rtl w:val="0"/>
        </w:rPr>
        <w:t xml:space="preserve">its beta platform now live on testnet</w:t>
      </w:r>
      <w:r w:rsidDel="00000000" w:rsidR="00000000" w:rsidRPr="00000000">
        <w:rPr>
          <w:color w:val="0e101a"/>
          <w:sz w:val="24"/>
          <w:szCs w:val="24"/>
          <w:rtl w:val="0"/>
        </w:rPr>
        <w:t xml:space="preserve">, a development fueling excitement among early investors eager to maximize gains. With the crypto market building bullish momentum and ETFSwap’s second phase underway, the project is </w:t>
      </w:r>
      <w:r w:rsidDel="00000000" w:rsidR="00000000" w:rsidRPr="00000000">
        <w:rPr>
          <w:b w:val="1"/>
          <w:color w:val="0e101a"/>
          <w:sz w:val="24"/>
          <w:szCs w:val="24"/>
          <w:rtl w:val="0"/>
        </w:rPr>
        <w:t xml:space="preserve">poised for impressive growth</w:t>
      </w:r>
      <w:r w:rsidDel="00000000" w:rsidR="00000000" w:rsidRPr="00000000">
        <w:rPr>
          <w:color w:val="0e101a"/>
          <w:sz w:val="24"/>
          <w:szCs w:val="24"/>
          <w:rtl w:val="0"/>
        </w:rPr>
        <w:t xml:space="preserve">.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The ongoing presale nearing a $6 million inflow, reflects strong community confidence in ETFSwap (ETFS). Beyond staking, traders can maximize features like the </w:t>
      </w:r>
      <w:r w:rsidDel="00000000" w:rsidR="00000000" w:rsidRPr="00000000">
        <w:rPr>
          <w:b w:val="1"/>
          <w:color w:val="0e101a"/>
          <w:sz w:val="24"/>
          <w:szCs w:val="24"/>
          <w:rtl w:val="0"/>
        </w:rPr>
        <w:t xml:space="preserve">ETF price Tracker</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ETF Filter</w:t>
      </w:r>
      <w:r w:rsidDel="00000000" w:rsidR="00000000" w:rsidRPr="00000000">
        <w:rPr>
          <w:color w:val="0e101a"/>
          <w:sz w:val="24"/>
          <w:szCs w:val="24"/>
          <w:rtl w:val="0"/>
        </w:rPr>
        <w:t xml:space="preserve"> to participate in </w:t>
      </w:r>
      <w:r w:rsidDel="00000000" w:rsidR="00000000" w:rsidRPr="00000000">
        <w:rPr>
          <w:b w:val="1"/>
          <w:color w:val="0e101a"/>
          <w:sz w:val="24"/>
          <w:szCs w:val="24"/>
          <w:rtl w:val="0"/>
        </w:rPr>
        <w:t xml:space="preserve">ETF Staking</w:t>
      </w:r>
      <w:r w:rsidDel="00000000" w:rsidR="00000000" w:rsidRPr="00000000">
        <w:rPr>
          <w:color w:val="0e101a"/>
          <w:sz w:val="24"/>
          <w:szCs w:val="24"/>
          <w:rtl w:val="0"/>
        </w:rPr>
        <w:t xml:space="preserve"> and make maximum gains.</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ETFS token offers holders </w:t>
      </w:r>
      <w:r w:rsidDel="00000000" w:rsidR="00000000" w:rsidRPr="00000000">
        <w:rPr>
          <w:b w:val="1"/>
          <w:color w:val="0e101a"/>
          <w:sz w:val="24"/>
          <w:szCs w:val="24"/>
          <w:rtl w:val="0"/>
        </w:rPr>
        <w:t xml:space="preserve">an 87% APR yield</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access to 50x marginal capital trading</w:t>
      </w:r>
      <w:r w:rsidDel="00000000" w:rsidR="00000000" w:rsidRPr="00000000">
        <w:rPr>
          <w:color w:val="0e101a"/>
          <w:sz w:val="24"/>
          <w:szCs w:val="24"/>
          <w:rtl w:val="0"/>
        </w:rPr>
        <w:t xml:space="preserve">. For those joining the newly launched beta platform, staking rewards and multiple liquidity pools present the chance to </w:t>
      </w:r>
      <w:r w:rsidDel="00000000" w:rsidR="00000000" w:rsidRPr="00000000">
        <w:rPr>
          <w:b w:val="1"/>
          <w:color w:val="0e101a"/>
          <w:sz w:val="24"/>
          <w:szCs w:val="24"/>
          <w:rtl w:val="0"/>
        </w:rPr>
        <w:t xml:space="preserve">achieve returns as high as 550x rally</w:t>
      </w:r>
      <w:r w:rsidDel="00000000" w:rsidR="00000000" w:rsidRPr="00000000">
        <w:rPr>
          <w:color w:val="0e101a"/>
          <w:sz w:val="24"/>
          <w:szCs w:val="24"/>
          <w:rtl w:val="0"/>
        </w:rPr>
        <w:t xml:space="preserve">—unprecedented in today’s market.</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ETFSwap (ETFS) prioritizes investor security. This is evident by its </w:t>
      </w:r>
      <w:hyperlink r:id="rId8">
        <w:r w:rsidDel="00000000" w:rsidR="00000000" w:rsidRPr="00000000">
          <w:rPr>
            <w:b w:val="1"/>
            <w:color w:val="1155cc"/>
            <w:sz w:val="24"/>
            <w:szCs w:val="24"/>
            <w:u w:val="single"/>
            <w:rtl w:val="0"/>
          </w:rPr>
          <w:t xml:space="preserve">smart contract audit</w:t>
        </w:r>
      </w:hyperlink>
      <w:r w:rsidDel="00000000" w:rsidR="00000000" w:rsidRPr="00000000">
        <w:rPr>
          <w:color w:val="0e101a"/>
          <w:sz w:val="24"/>
          <w:szCs w:val="24"/>
          <w:rtl w:val="0"/>
        </w:rPr>
        <w:t xml:space="preserve"> and </w:t>
      </w:r>
      <w:hyperlink r:id="rId9">
        <w:r w:rsidDel="00000000" w:rsidR="00000000" w:rsidRPr="00000000">
          <w:rPr>
            <w:b w:val="1"/>
            <w:color w:val="1155cc"/>
            <w:sz w:val="24"/>
            <w:szCs w:val="24"/>
            <w:u w:val="single"/>
            <w:rtl w:val="0"/>
          </w:rPr>
          <w:t xml:space="preserve">KYC verification audit</w:t>
        </w:r>
      </w:hyperlink>
      <w:r w:rsidDel="00000000" w:rsidR="00000000" w:rsidRPr="00000000">
        <w:rPr>
          <w:color w:val="0e101a"/>
          <w:sz w:val="24"/>
          <w:szCs w:val="24"/>
          <w:rtl w:val="0"/>
        </w:rPr>
        <w:t xml:space="preserve"> completion. Both processes were executed by CyberScope and SolidProof respectively. This act eliminates the fear of scam attacks, bugs, and hackers. Also, new investors can join as the network provides unrestricted access to its network by </w:t>
      </w:r>
      <w:r w:rsidDel="00000000" w:rsidR="00000000" w:rsidRPr="00000000">
        <w:rPr>
          <w:b w:val="1"/>
          <w:color w:val="0e101a"/>
          <w:sz w:val="24"/>
          <w:szCs w:val="24"/>
          <w:rtl w:val="0"/>
        </w:rPr>
        <w:t xml:space="preserve">removing the need for KYC</w:t>
      </w:r>
      <w:r w:rsidDel="00000000" w:rsidR="00000000" w:rsidRPr="00000000">
        <w:rPr>
          <w:color w:val="0e101a"/>
          <w:sz w:val="24"/>
          <w:szCs w:val="24"/>
          <w:rtl w:val="0"/>
        </w:rPr>
        <w:t xml:space="preserve"> before registration.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As the XRP price targets a breakout at $2, ETFSwap (ETFS) is ready to be the major beneficiary of this potential increment. The launch of </w:t>
      </w:r>
      <w:r w:rsidDel="00000000" w:rsidR="00000000" w:rsidRPr="00000000">
        <w:rPr>
          <w:b w:val="1"/>
          <w:color w:val="0e101a"/>
          <w:sz w:val="24"/>
          <w:szCs w:val="24"/>
          <w:rtl w:val="0"/>
        </w:rPr>
        <w:t xml:space="preserve">the beta platform</w:t>
      </w:r>
      <w:r w:rsidDel="00000000" w:rsidR="00000000" w:rsidRPr="00000000">
        <w:rPr>
          <w:color w:val="0e101a"/>
          <w:sz w:val="24"/>
          <w:szCs w:val="24"/>
          <w:rtl w:val="0"/>
        </w:rPr>
        <w:t xml:space="preserve"> has increased investors' faith in ETFSwap (ETFS). The new phase offers more rewards,</w:t>
      </w:r>
      <w:r w:rsidDel="00000000" w:rsidR="00000000" w:rsidRPr="00000000">
        <w:rPr>
          <w:color w:val="0e101a"/>
          <w:sz w:val="24"/>
          <w:szCs w:val="24"/>
          <w:rtl w:val="0"/>
        </w:rPr>
        <w:t xml:space="preserve"> such as </w:t>
      </w:r>
      <w:r w:rsidDel="00000000" w:rsidR="00000000" w:rsidRPr="00000000">
        <w:rPr>
          <w:b w:val="1"/>
          <w:color w:val="0e101a"/>
          <w:sz w:val="24"/>
          <w:szCs w:val="24"/>
          <w:rtl w:val="0"/>
        </w:rPr>
        <w:t xml:space="preserve">access to more liquidity pools</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reward-based staking</w:t>
      </w:r>
      <w:r w:rsidDel="00000000" w:rsidR="00000000" w:rsidRPr="00000000">
        <w:rPr>
          <w:color w:val="0e101a"/>
          <w:sz w:val="24"/>
          <w:szCs w:val="24"/>
          <w:rtl w:val="0"/>
        </w:rPr>
        <w:t xml:space="preserve">, and </w:t>
      </w:r>
      <w:r w:rsidDel="00000000" w:rsidR="00000000" w:rsidRPr="00000000">
        <w:rPr>
          <w:b w:val="1"/>
          <w:color w:val="0e101a"/>
          <w:sz w:val="24"/>
          <w:szCs w:val="24"/>
          <w:rtl w:val="0"/>
        </w:rPr>
        <w:t xml:space="preserve">exclusive access to different ETF options</w:t>
      </w:r>
      <w:r w:rsidDel="00000000" w:rsidR="00000000" w:rsidRPr="00000000">
        <w:rPr>
          <w:color w:val="0e101a"/>
          <w:sz w:val="24"/>
          <w:szCs w:val="24"/>
          <w:rtl w:val="0"/>
        </w:rPr>
        <w:t xml:space="preserve">.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ETFS token is currently available at an affordable </w:t>
      </w:r>
      <w:hyperlink r:id="rId10">
        <w:r w:rsidDel="00000000" w:rsidR="00000000" w:rsidRPr="00000000">
          <w:rPr>
            <w:color w:val="1155cc"/>
            <w:sz w:val="24"/>
            <w:szCs w:val="24"/>
            <w:u w:val="single"/>
            <w:rtl w:val="0"/>
          </w:rPr>
          <w:t xml:space="preserve">$0.03846</w:t>
        </w:r>
      </w:hyperlink>
      <w:r w:rsidDel="00000000" w:rsidR="00000000" w:rsidRPr="00000000">
        <w:rPr>
          <w:color w:val="0e101a"/>
          <w:sz w:val="24"/>
          <w:szCs w:val="24"/>
          <w:rtl w:val="0"/>
        </w:rPr>
        <w:t xml:space="preserve">. Now is the perfect time to join the ride to the upcoming 550x rally. </w:t>
      </w:r>
    </w:p>
    <w:p w:rsidR="00000000" w:rsidDel="00000000" w:rsidP="00000000" w:rsidRDefault="00000000" w:rsidRPr="00000000" w14:paraId="00000015">
      <w:pPr>
        <w:pStyle w:val="Heading2"/>
        <w:keepNext w:val="0"/>
        <w:keepLines w:val="0"/>
        <w:spacing w:after="0" w:before="200" w:lineRule="auto"/>
        <w:rPr>
          <w:b w:val="1"/>
          <w:color w:val="0e101a"/>
          <w:sz w:val="34"/>
          <w:szCs w:val="34"/>
        </w:rPr>
      </w:pPr>
      <w:bookmarkStart w:colFirst="0" w:colLast="0" w:name="_z213knlb8l5q" w:id="2"/>
      <w:bookmarkEnd w:id="2"/>
      <w:r w:rsidDel="00000000" w:rsidR="00000000" w:rsidRPr="00000000">
        <w:rPr>
          <w:b w:val="1"/>
          <w:color w:val="0e101a"/>
          <w:sz w:val="34"/>
          <w:szCs w:val="34"/>
          <w:rtl w:val="0"/>
        </w:rPr>
        <w:t xml:space="preserve">XRP Price Sets To Reach $2 After Recent Partnership </w:t>
      </w:r>
    </w:p>
    <w:p w:rsidR="00000000" w:rsidDel="00000000" w:rsidP="00000000" w:rsidRDefault="00000000" w:rsidRPr="00000000" w14:paraId="00000016">
      <w:pPr>
        <w:spacing w:before="200" w:lineRule="auto"/>
        <w:rPr>
          <w:color w:val="0e101a"/>
          <w:sz w:val="24"/>
          <w:szCs w:val="24"/>
        </w:rPr>
      </w:pPr>
      <w:hyperlink r:id="rId11">
        <w:r w:rsidDel="00000000" w:rsidR="00000000" w:rsidRPr="00000000">
          <w:rPr>
            <w:color w:val="1155cc"/>
            <w:sz w:val="24"/>
            <w:szCs w:val="24"/>
            <w:u w:val="single"/>
            <w:rtl w:val="0"/>
          </w:rPr>
          <w:t xml:space="preserve">Ripple (XRP)</w:t>
        </w:r>
      </w:hyperlink>
      <w:r w:rsidDel="00000000" w:rsidR="00000000" w:rsidRPr="00000000">
        <w:rPr>
          <w:color w:val="0e101a"/>
          <w:sz w:val="24"/>
          <w:szCs w:val="24"/>
          <w:rtl w:val="0"/>
        </w:rPr>
        <w:t xml:space="preserve"> has announced a partnership with MoonPay to strengthen the crypto token network further. The timing is so perfect considering the ongoing SEC lawsuit the network is facing. However, the recent partnership with MoonPay will increase the number of Ripple (XRP) use cases. MoonPay allows traders to trade on their app with Ripple (XRP). </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This development will increase the demand for the crypto token, as the XRP price is currently at $0.5569. Despite the tight nature of the market, Ripple (XRP) increased after a short period of consolidation. Crypto pundits believe the XRP price might increase to $2 in the coming days since the lawsuit may continue until 2025. Investors are focusing on short-term gains before the legal verdict. </w:t>
      </w:r>
    </w:p>
    <w:p w:rsidR="00000000" w:rsidDel="00000000" w:rsidP="00000000" w:rsidRDefault="00000000" w:rsidRPr="00000000" w14:paraId="00000018">
      <w:pPr>
        <w:pStyle w:val="Heading2"/>
        <w:keepNext w:val="0"/>
        <w:keepLines w:val="0"/>
        <w:spacing w:after="0" w:before="200" w:lineRule="auto"/>
        <w:rPr>
          <w:b w:val="1"/>
          <w:color w:val="0e101a"/>
          <w:sz w:val="34"/>
          <w:szCs w:val="34"/>
        </w:rPr>
      </w:pPr>
      <w:bookmarkStart w:colFirst="0" w:colLast="0" w:name="_sykf3yp5jrd6" w:id="3"/>
      <w:bookmarkEnd w:id="3"/>
      <w:r w:rsidDel="00000000" w:rsidR="00000000" w:rsidRPr="00000000">
        <w:rPr>
          <w:b w:val="1"/>
          <w:color w:val="0e101a"/>
          <w:sz w:val="34"/>
          <w:szCs w:val="34"/>
          <w:rtl w:val="0"/>
        </w:rPr>
        <w:t xml:space="preserve">Pepe (PEPE) Gains Steady Momentum </w:t>
      </w:r>
    </w:p>
    <w:p w:rsidR="00000000" w:rsidDel="00000000" w:rsidP="00000000" w:rsidRDefault="00000000" w:rsidRPr="00000000" w14:paraId="00000019">
      <w:pPr>
        <w:spacing w:before="200" w:lineRule="auto"/>
        <w:rPr>
          <w:color w:val="0e101a"/>
          <w:sz w:val="24"/>
          <w:szCs w:val="24"/>
        </w:rPr>
      </w:pPr>
      <w:hyperlink r:id="rId12">
        <w:r w:rsidDel="00000000" w:rsidR="00000000" w:rsidRPr="00000000">
          <w:rPr>
            <w:color w:val="1155cc"/>
            <w:sz w:val="24"/>
            <w:szCs w:val="24"/>
            <w:u w:val="single"/>
            <w:rtl w:val="0"/>
          </w:rPr>
          <w:t xml:space="preserve">Pepe (PEPE)</w:t>
        </w:r>
      </w:hyperlink>
      <w:r w:rsidDel="00000000" w:rsidR="00000000" w:rsidRPr="00000000">
        <w:rPr>
          <w:color w:val="0e101a"/>
          <w:sz w:val="24"/>
          <w:szCs w:val="24"/>
          <w:rtl w:val="0"/>
        </w:rPr>
        <w:t xml:space="preserve"> is currently one of the most impressive crypto tokens. The past six months have been a positive period for its holders, who have experienced an outstanding price surge of 112.96%. Pepe (PEPE) has continued this momentum and recorded a 34.36% gain last month. The rise of Pepe (PEPE) by 6.21% in the past seven days has signaled increasing interest in this crypto token.</w:t>
      </w:r>
    </w:p>
    <w:p w:rsidR="00000000" w:rsidDel="00000000" w:rsidP="00000000" w:rsidRDefault="00000000" w:rsidRPr="00000000" w14:paraId="0000001A">
      <w:pPr>
        <w:spacing w:before="200" w:lineRule="auto"/>
        <w:rPr>
          <w:color w:val="0e101a"/>
          <w:sz w:val="24"/>
          <w:szCs w:val="24"/>
        </w:rPr>
      </w:pPr>
      <w:r w:rsidDel="00000000" w:rsidR="00000000" w:rsidRPr="00000000">
        <w:rPr>
          <w:color w:val="0e101a"/>
          <w:sz w:val="24"/>
          <w:szCs w:val="24"/>
          <w:rtl w:val="0"/>
        </w:rPr>
        <w:t xml:space="preserve">As of the time of writing, Pepe (PEPE) is trading at $0.00001006. With a bullish sentiment, crypto pundits believe Pepe (PEPE) will continue its uptrend with a Relative Strength Index of 48.84. The rise of the XRP price to a new ATH will pave the way for a major move and a continued bullish run. Veterans believe Pepe (PEPE) and ETFSwap (ETFS) will outperform by 550x. </w:t>
      </w:r>
    </w:p>
    <w:p w:rsidR="00000000" w:rsidDel="00000000" w:rsidP="00000000" w:rsidRDefault="00000000" w:rsidRPr="00000000" w14:paraId="0000001B">
      <w:pPr>
        <w:pStyle w:val="Heading2"/>
        <w:keepNext w:val="0"/>
        <w:keepLines w:val="0"/>
        <w:spacing w:after="0" w:before="200" w:lineRule="auto"/>
        <w:rPr>
          <w:b w:val="1"/>
          <w:color w:val="0e101a"/>
          <w:sz w:val="34"/>
          <w:szCs w:val="34"/>
        </w:rPr>
      </w:pPr>
      <w:bookmarkStart w:colFirst="0" w:colLast="0" w:name="_ip8nc8d1ojb8" w:id="4"/>
      <w:bookmarkEnd w:id="4"/>
      <w:r w:rsidDel="00000000" w:rsidR="00000000" w:rsidRPr="00000000">
        <w:rPr>
          <w:b w:val="1"/>
          <w:color w:val="0e101a"/>
          <w:sz w:val="34"/>
          <w:szCs w:val="34"/>
          <w:rtl w:val="0"/>
        </w:rPr>
        <w:t xml:space="preserve">Conclusion </w:t>
      </w:r>
    </w:p>
    <w:p w:rsidR="00000000" w:rsidDel="00000000" w:rsidP="00000000" w:rsidRDefault="00000000" w:rsidRPr="00000000" w14:paraId="0000001C">
      <w:pPr>
        <w:spacing w:before="200" w:lineRule="auto"/>
        <w:rPr>
          <w:sz w:val="24"/>
          <w:szCs w:val="24"/>
        </w:rPr>
      </w:pPr>
      <w:r w:rsidDel="00000000" w:rsidR="00000000" w:rsidRPr="00000000">
        <w:rPr>
          <w:color w:val="0e101a"/>
          <w:sz w:val="24"/>
          <w:szCs w:val="24"/>
          <w:rtl w:val="0"/>
        </w:rPr>
        <w:t xml:space="preserve">Crypto enthusiasts are eyeing a new XRP price of $2. They are hopeful Ripple (XRP) will break out to spark a bull run after a recent partnership with MoonPay. On the other hand, ETFSwap (ETFS) and Pepe (PEPE) are stealing the spotlight with impressive projections. With </w:t>
      </w:r>
      <w:hyperlink r:id="rId13">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positioned for a potential 550x rally, it’s leading the pack and promising substantial returns for investors. Buy the $0.03846 token now. </w:t>
      </w:r>
      <w:r w:rsidDel="00000000" w:rsidR="00000000" w:rsidRPr="00000000">
        <w:rPr>
          <w:rtl w:val="0"/>
        </w:rPr>
      </w:r>
    </w:p>
    <w:p w:rsidR="00000000" w:rsidDel="00000000" w:rsidP="00000000" w:rsidRDefault="00000000" w:rsidRPr="00000000" w14:paraId="0000001D">
      <w:pPr>
        <w:spacing w:before="200" w:line="276" w:lineRule="auto"/>
        <w:rPr>
          <w:b w:val="1"/>
          <w:color w:val="0e101a"/>
          <w:sz w:val="24"/>
          <w:szCs w:val="24"/>
        </w:rPr>
      </w:pPr>
      <w:r w:rsidDel="00000000" w:rsidR="00000000" w:rsidRPr="00000000">
        <w:rPr>
          <w:b w:val="1"/>
          <w:color w:val="0e101a"/>
          <w:sz w:val="24"/>
          <w:szCs w:val="24"/>
          <w:rtl w:val="0"/>
        </w:rPr>
        <w:t xml:space="preserve">For more information about the ETFS Presale:</w:t>
      </w:r>
    </w:p>
    <w:p w:rsidR="00000000" w:rsidDel="00000000" w:rsidP="00000000" w:rsidRDefault="00000000" w:rsidRPr="00000000" w14:paraId="0000001E">
      <w:pPr>
        <w:spacing w:before="200" w:line="276" w:lineRule="auto"/>
        <w:rPr>
          <w:color w:val="4a6ee0"/>
          <w:sz w:val="24"/>
          <w:szCs w:val="24"/>
          <w:u w:val="single"/>
        </w:rPr>
      </w:pPr>
      <w:hyperlink r:id="rId14">
        <w:r w:rsidDel="00000000" w:rsidR="00000000" w:rsidRPr="00000000">
          <w:rPr>
            <w:color w:val="4a6ee0"/>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F">
      <w:pPr>
        <w:spacing w:before="200" w:line="276" w:lineRule="auto"/>
        <w:rPr>
          <w:color w:val="4a6ee0"/>
          <w:sz w:val="24"/>
          <w:szCs w:val="24"/>
          <w:u w:val="single"/>
        </w:rPr>
      </w:pPr>
      <w:hyperlink r:id="rId15">
        <w:r w:rsidDel="00000000" w:rsidR="00000000" w:rsidRPr="00000000">
          <w:rPr>
            <w:color w:val="4a6ee0"/>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2797820"/>
            <wp:effectExtent b="0" l="0" r="0" t="0"/>
            <wp:docPr id="3" name="image3.png"/>
            <a:graphic>
              <a:graphicData uri="http://schemas.openxmlformats.org/drawingml/2006/picture">
                <pic:pic>
                  <pic:nvPicPr>
                    <pic:cNvPr id="0" name="image3.png"/>
                    <pic:cNvPicPr preferRelativeResize="0"/>
                  </pic:nvPicPr>
                  <pic:blipFill>
                    <a:blip r:embed="rId16"/>
                    <a:srcRect b="5493" l="0" r="0" t="10750"/>
                    <a:stretch>
                      <a:fillRect/>
                    </a:stretch>
                  </pic:blipFill>
                  <pic:spPr>
                    <a:xfrm>
                      <a:off x="0" y="0"/>
                      <a:ext cx="5943600" cy="27978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2701137"/>
            <wp:effectExtent b="0" l="0" r="0" t="0"/>
            <wp:docPr id="1" name="image4.png"/>
            <a:graphic>
              <a:graphicData uri="http://schemas.openxmlformats.org/drawingml/2006/picture">
                <pic:pic>
                  <pic:nvPicPr>
                    <pic:cNvPr id="0" name="image4.png"/>
                    <pic:cNvPicPr preferRelativeResize="0"/>
                  </pic:nvPicPr>
                  <pic:blipFill>
                    <a:blip r:embed="rId17"/>
                    <a:srcRect b="6386" l="0" r="0" t="12820"/>
                    <a:stretch>
                      <a:fillRect/>
                    </a:stretch>
                  </pic:blipFill>
                  <pic:spPr>
                    <a:xfrm>
                      <a:off x="0" y="0"/>
                      <a:ext cx="5943600" cy="270113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838825" cy="2743200"/>
            <wp:effectExtent b="0" l="0" r="0" t="0"/>
            <wp:docPr id="2" name="image1.png"/>
            <a:graphic>
              <a:graphicData uri="http://schemas.openxmlformats.org/drawingml/2006/picture">
                <pic:pic>
                  <pic:nvPicPr>
                    <pic:cNvPr id="0" name="image1.png"/>
                    <pic:cNvPicPr preferRelativeResize="0"/>
                  </pic:nvPicPr>
                  <pic:blipFill>
                    <a:blip r:embed="rId18"/>
                    <a:srcRect b="6101" l="0" r="1762" t="11965"/>
                    <a:stretch>
                      <a:fillRect/>
                    </a:stretch>
                  </pic:blipFill>
                  <pic:spPr>
                    <a:xfrm>
                      <a:off x="0" y="0"/>
                      <a:ext cx="58388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848350" cy="2743200"/>
            <wp:effectExtent b="0" l="0" r="0" t="0"/>
            <wp:docPr id="4" name="image2.png"/>
            <a:graphic>
              <a:graphicData uri="http://schemas.openxmlformats.org/drawingml/2006/picture">
                <pic:pic>
                  <pic:nvPicPr>
                    <pic:cNvPr id="0" name="image2.png"/>
                    <pic:cNvPicPr preferRelativeResize="0"/>
                  </pic:nvPicPr>
                  <pic:blipFill>
                    <a:blip r:embed="rId19"/>
                    <a:srcRect b="6267" l="0" r="1602" t="11680"/>
                    <a:stretch>
                      <a:fillRect/>
                    </a:stretch>
                  </pic:blipFill>
                  <pic:spPr>
                    <a:xfrm>
                      <a:off x="0" y="0"/>
                      <a:ext cx="58483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inmarketcap.com/currencies/xrp/" TargetMode="External"/><Relationship Id="rId10" Type="http://schemas.openxmlformats.org/officeDocument/2006/relationships/hyperlink" Target="https://etfswappresale.com/" TargetMode="External"/><Relationship Id="rId13" Type="http://schemas.openxmlformats.org/officeDocument/2006/relationships/hyperlink" Target="https://etfswappresale.com/" TargetMode="External"/><Relationship Id="rId12" Type="http://schemas.openxmlformats.org/officeDocument/2006/relationships/hyperlink" Target="https://coinmarketcap.com/currencies/pe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lidproof/projects/tree/main/2024/ETFSwap" TargetMode="External"/><Relationship Id="rId15" Type="http://schemas.openxmlformats.org/officeDocument/2006/relationships/hyperlink" Target="https://linktr.ee/etfswap" TargetMode="External"/><Relationship Id="rId14" Type="http://schemas.openxmlformats.org/officeDocument/2006/relationships/hyperlink" Target="https://etfswappresale.com/"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etfswappresale.com/" TargetMode="External"/><Relationship Id="rId18" Type="http://schemas.openxmlformats.org/officeDocument/2006/relationships/image" Target="media/image1.png"/><Relationship Id="rId7" Type="http://schemas.openxmlformats.org/officeDocument/2006/relationships/hyperlink" Target="https://etfswappresale.com/" TargetMode="External"/><Relationship Id="rId8" Type="http://schemas.openxmlformats.org/officeDocument/2006/relationships/hyperlink" Target="https://www.cyberscope.io/audits/etfsw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