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240" w:lineRule="auto"/>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XRP price receives a sour prediction from experts as ETFSwap (ETFS) outperforms Dogecoin (DOGE) and Shiba Inu (SHIB). </w:t>
      </w:r>
    </w:p>
    <w:p w:rsidR="00000000" w:rsidDel="00000000" w:rsidP="00000000" w:rsidRDefault="00000000" w:rsidRPr="00000000" w14:paraId="00000002">
      <w:pPr>
        <w:spacing w:before="0" w:line="276" w:lineRule="auto"/>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w:t>
      </w:r>
    </w:p>
    <w:p w:rsidR="00000000" w:rsidDel="00000000" w:rsidP="00000000" w:rsidRDefault="00000000" w:rsidRPr="00000000" w14:paraId="00000003">
      <w:pPr>
        <w:spacing w:before="0" w:line="276" w:lineRule="auto"/>
        <w:rPr>
          <w:sz w:val="24"/>
          <w:szCs w:val="24"/>
        </w:rPr>
      </w:pPr>
      <w:r w:rsidDel="00000000" w:rsidR="00000000" w:rsidRPr="00000000">
        <w:rPr>
          <w:sz w:val="24"/>
          <w:szCs w:val="24"/>
          <w:rtl w:val="0"/>
        </w:rPr>
        <w:t xml:space="preserve">XRP Price </w:t>
      </w:r>
    </w:p>
    <w:p w:rsidR="00000000" w:rsidDel="00000000" w:rsidP="00000000" w:rsidRDefault="00000000" w:rsidRPr="00000000" w14:paraId="00000004">
      <w:pPr>
        <w:spacing w:before="0" w:line="276" w:lineRule="auto"/>
        <w:rPr>
          <w:sz w:val="24"/>
          <w:szCs w:val="24"/>
        </w:rPr>
      </w:pPr>
      <w:r w:rsidDel="00000000" w:rsidR="00000000" w:rsidRPr="00000000">
        <w:rPr>
          <w:sz w:val="24"/>
          <w:szCs w:val="24"/>
          <w:rtl w:val="0"/>
        </w:rPr>
        <w:t xml:space="preserve">Dogecoin </w:t>
      </w:r>
    </w:p>
    <w:p w:rsidR="00000000" w:rsidDel="00000000" w:rsidP="00000000" w:rsidRDefault="00000000" w:rsidRPr="00000000" w14:paraId="00000005">
      <w:pPr>
        <w:spacing w:before="0" w:line="276" w:lineRule="auto"/>
        <w:rPr>
          <w:sz w:val="24"/>
          <w:szCs w:val="24"/>
        </w:rPr>
      </w:pPr>
      <w:r w:rsidDel="00000000" w:rsidR="00000000" w:rsidRPr="00000000">
        <w:rPr>
          <w:sz w:val="24"/>
          <w:szCs w:val="24"/>
          <w:rtl w:val="0"/>
        </w:rPr>
        <w:t xml:space="preserve">DOGE </w:t>
      </w:r>
    </w:p>
    <w:p w:rsidR="00000000" w:rsidDel="00000000" w:rsidP="00000000" w:rsidRDefault="00000000" w:rsidRPr="00000000" w14:paraId="00000006">
      <w:pPr>
        <w:spacing w:before="0" w:line="276" w:lineRule="auto"/>
        <w:rPr>
          <w:sz w:val="24"/>
          <w:szCs w:val="24"/>
        </w:rPr>
      </w:pPr>
      <w:r w:rsidDel="00000000" w:rsidR="00000000" w:rsidRPr="00000000">
        <w:rPr>
          <w:sz w:val="24"/>
          <w:szCs w:val="24"/>
          <w:rtl w:val="0"/>
        </w:rPr>
        <w:t xml:space="preserve">Shiba Inu </w:t>
      </w:r>
    </w:p>
    <w:p w:rsidR="00000000" w:rsidDel="00000000" w:rsidP="00000000" w:rsidRDefault="00000000" w:rsidRPr="00000000" w14:paraId="00000007">
      <w:pPr>
        <w:spacing w:before="0" w:line="276" w:lineRule="auto"/>
        <w:rPr>
          <w:sz w:val="24"/>
          <w:szCs w:val="24"/>
        </w:rPr>
      </w:pPr>
      <w:r w:rsidDel="00000000" w:rsidR="00000000" w:rsidRPr="00000000">
        <w:rPr>
          <w:sz w:val="24"/>
          <w:szCs w:val="24"/>
          <w:rtl w:val="0"/>
        </w:rPr>
        <w:t xml:space="preserve">SHIB</w:t>
      </w:r>
    </w:p>
    <w:p w:rsidR="00000000" w:rsidDel="00000000" w:rsidP="00000000" w:rsidRDefault="00000000" w:rsidRPr="00000000" w14:paraId="00000008">
      <w:pPr>
        <w:spacing w:before="0" w:line="276" w:lineRule="auto"/>
        <w:rPr>
          <w:sz w:val="24"/>
          <w:szCs w:val="24"/>
        </w:rPr>
      </w:pPr>
      <w:r w:rsidDel="00000000" w:rsidR="00000000" w:rsidRPr="00000000">
        <w:rPr>
          <w:sz w:val="24"/>
          <w:szCs w:val="24"/>
          <w:rtl w:val="0"/>
        </w:rPr>
        <w:t xml:space="preserve">Crypto </w:t>
      </w:r>
    </w:p>
    <w:p w:rsidR="00000000" w:rsidDel="00000000" w:rsidP="00000000" w:rsidRDefault="00000000" w:rsidRPr="00000000" w14:paraId="00000009">
      <w:pPr>
        <w:spacing w:before="0" w:line="276" w:lineRule="auto"/>
        <w:rPr>
          <w:sz w:val="24"/>
          <w:szCs w:val="24"/>
        </w:rPr>
      </w:pPr>
      <w:r w:rsidDel="00000000" w:rsidR="00000000" w:rsidRPr="00000000">
        <w:rPr>
          <w:sz w:val="24"/>
          <w:szCs w:val="24"/>
          <w:rtl w:val="0"/>
        </w:rPr>
        <w:t xml:space="preserve">ETFSwap </w:t>
      </w:r>
    </w:p>
    <w:p w:rsidR="00000000" w:rsidDel="00000000" w:rsidP="00000000" w:rsidRDefault="00000000" w:rsidRPr="00000000" w14:paraId="0000000A">
      <w:pPr>
        <w:spacing w:before="0" w:line="276" w:lineRule="auto"/>
        <w:rPr>
          <w:sz w:val="24"/>
          <w:szCs w:val="24"/>
        </w:rPr>
      </w:pPr>
      <w:r w:rsidDel="00000000" w:rsidR="00000000" w:rsidRPr="00000000">
        <w:rPr>
          <w:sz w:val="24"/>
          <w:szCs w:val="24"/>
          <w:rtl w:val="0"/>
        </w:rPr>
        <w:t xml:space="preserve">ETFS</w:t>
      </w:r>
    </w:p>
    <w:p w:rsidR="00000000" w:rsidDel="00000000" w:rsidP="00000000" w:rsidRDefault="00000000" w:rsidRPr="00000000" w14:paraId="0000000B">
      <w:pPr>
        <w:spacing w:before="0" w:line="276" w:lineRule="auto"/>
        <w:rPr>
          <w:sz w:val="24"/>
          <w:szCs w:val="24"/>
        </w:rPr>
      </w:pPr>
      <w:r w:rsidDel="00000000" w:rsidR="00000000" w:rsidRPr="00000000">
        <w:rPr>
          <w:sz w:val="24"/>
          <w:szCs w:val="24"/>
          <w:rtl w:val="0"/>
        </w:rPr>
        <w:t xml:space="preserve">ETF </w:t>
      </w:r>
    </w:p>
    <w:p w:rsidR="00000000" w:rsidDel="00000000" w:rsidP="00000000" w:rsidRDefault="00000000" w:rsidRPr="00000000" w14:paraId="0000000C">
      <w:pPr>
        <w:pStyle w:val="Heading1"/>
        <w:keepNext w:val="0"/>
        <w:keepLines w:val="0"/>
        <w:spacing w:after="0" w:before="200" w:lineRule="auto"/>
        <w:rPr>
          <w:b w:val="1"/>
          <w:color w:val="0e101a"/>
          <w:sz w:val="46"/>
          <w:szCs w:val="46"/>
        </w:rPr>
      </w:pPr>
      <w:bookmarkStart w:colFirst="0" w:colLast="0" w:name="_ekpbe5n3vd75" w:id="0"/>
      <w:bookmarkEnd w:id="0"/>
      <w:r w:rsidDel="00000000" w:rsidR="00000000" w:rsidRPr="00000000">
        <w:rPr>
          <w:b w:val="1"/>
          <w:color w:val="0e101a"/>
          <w:sz w:val="46"/>
          <w:szCs w:val="46"/>
          <w:rtl w:val="0"/>
        </w:rPr>
        <w:t xml:space="preserve">XRP Price Gets Gloomy Prediction From Experts, While Dogecoin, Shiba Inu Fall Behind This 1000x Token.</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XRP price has looked gloomy since the Securities and Exchange Commission (SEC) issued an appeal notice. While this has raised more concerns for XRP investors, Dogecoin (DOGE) and Shiba Inu (SHIB) also fall behind</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Crypto pundits have predicted a 1000x gain for this high-yielding token this October. Keep reading to know why they are certain about this bold projection. </w:t>
      </w:r>
    </w:p>
    <w:p w:rsidR="00000000" w:rsidDel="00000000" w:rsidP="00000000" w:rsidRDefault="00000000" w:rsidRPr="00000000" w14:paraId="0000000E">
      <w:pPr>
        <w:pStyle w:val="Heading2"/>
        <w:keepNext w:val="0"/>
        <w:keepLines w:val="0"/>
        <w:spacing w:after="0" w:before="200" w:lineRule="auto"/>
        <w:rPr>
          <w:b w:val="1"/>
          <w:color w:val="0e101a"/>
          <w:sz w:val="34"/>
          <w:szCs w:val="34"/>
        </w:rPr>
      </w:pPr>
      <w:bookmarkStart w:colFirst="0" w:colLast="0" w:name="_kd8iprbwo6dl" w:id="1"/>
      <w:bookmarkEnd w:id="1"/>
      <w:r w:rsidDel="00000000" w:rsidR="00000000" w:rsidRPr="00000000">
        <w:rPr>
          <w:b w:val="1"/>
          <w:color w:val="0e101a"/>
          <w:sz w:val="34"/>
          <w:szCs w:val="34"/>
          <w:rtl w:val="0"/>
        </w:rPr>
        <w:t xml:space="preserve">Crypto Analysts Believe ETFSwap (EFTS) Is Set For A 1000x Rally.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Despite its recent menial gain, XRP price has had a disturbing run for long-term investors. As the pessimism continues for XRP price, </w:t>
      </w:r>
      <w:hyperlink r:id="rId8">
        <w:r w:rsidDel="00000000" w:rsidR="00000000" w:rsidRPr="00000000">
          <w:rPr>
            <w:color w:val="1155cc"/>
            <w:sz w:val="24"/>
            <w:szCs w:val="24"/>
            <w:u w:val="single"/>
            <w:rtl w:val="0"/>
          </w:rPr>
          <w:t xml:space="preserve">ETFSwap (ETFS)</w:t>
        </w:r>
      </w:hyperlink>
      <w:r w:rsidDel="00000000" w:rsidR="00000000" w:rsidRPr="00000000">
        <w:rPr>
          <w:color w:val="0e101a"/>
          <w:sz w:val="24"/>
          <w:szCs w:val="24"/>
          <w:rtl w:val="0"/>
        </w:rPr>
        <w:t xml:space="preserve"> provides a good investment ground for crypto enthusiasts to enjoy massive rewards. Hence, it is centered around providing numerous trading opportunities and strengthening the network for more rewards.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Phase 1 of EFSwap's (ETFS) mainnet launch offers investors several opportunities, like an 87% APR yield on all investments, participation in ETF staking, and 50x marginal capital trading. Also, you can use AI trading tools like the ETF Filter, Tracker, and Screener to enjoy a top-notch trading experience. Investors will also be able to determine how much profit they want as they are the sole traders. </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As ETF investments gain more ground, ETFSwap (ETFS) provides access for current investors to be familiar with their prices and potential gains. ETFSwap supports permissionless trading, which means interested investors don’t need to complete their KYC verification before trading begins. To safeguard all investments, ETFSwap has completed a</w:t>
      </w:r>
      <w:hyperlink r:id="rId9">
        <w:r w:rsidDel="00000000" w:rsidR="00000000" w:rsidRPr="00000000">
          <w:rPr>
            <w:color w:val="4a6ee0"/>
            <w:sz w:val="24"/>
            <w:szCs w:val="24"/>
            <w:u w:val="single"/>
            <w:rtl w:val="0"/>
          </w:rPr>
          <w:t xml:space="preserve"> KYC verification audit</w:t>
        </w:r>
      </w:hyperlink>
      <w:r w:rsidDel="00000000" w:rsidR="00000000" w:rsidRPr="00000000">
        <w:rPr>
          <w:color w:val="0e101a"/>
          <w:sz w:val="24"/>
          <w:szCs w:val="24"/>
          <w:rtl w:val="0"/>
        </w:rPr>
        <w:t xml:space="preserve"> from SolidProof and a</w:t>
      </w:r>
      <w:hyperlink r:id="rId10">
        <w:r w:rsidDel="00000000" w:rsidR="00000000" w:rsidRPr="00000000">
          <w:rPr>
            <w:color w:val="4a6ee0"/>
            <w:sz w:val="24"/>
            <w:szCs w:val="24"/>
            <w:u w:val="single"/>
            <w:rtl w:val="0"/>
          </w:rPr>
          <w:t xml:space="preserve"> detailed smart contract audit</w:t>
        </w:r>
      </w:hyperlink>
      <w:r w:rsidDel="00000000" w:rsidR="00000000" w:rsidRPr="00000000">
        <w:rPr>
          <w:color w:val="0e101a"/>
          <w:sz w:val="24"/>
          <w:szCs w:val="24"/>
          <w:rtl w:val="0"/>
        </w:rPr>
        <w:t xml:space="preserve"> by Cyberscope. Hence, there is no worry about scams, bugs, or cyber-attacks.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As the anticipation for the beta launch builds, the network is set to begin Phase 2. The backend development and testing have been completed, and rigorous testing and optimization are underway. These efforts will ensure the network's smooth operation and provide more rewards for early investors.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This 1000x crypto token is ready to improve several investor wallets. However, you need to buy the ETFS token at</w:t>
      </w:r>
      <w:hyperlink r:id="rId11">
        <w:r w:rsidDel="00000000" w:rsidR="00000000" w:rsidRPr="00000000">
          <w:rPr>
            <w:color w:val="4a6ee0"/>
            <w:sz w:val="24"/>
            <w:szCs w:val="24"/>
            <w:u w:val="single"/>
            <w:rtl w:val="0"/>
          </w:rPr>
          <w:t xml:space="preserve"> $0.03846</w:t>
        </w:r>
      </w:hyperlink>
      <w:r w:rsidDel="00000000" w:rsidR="00000000" w:rsidRPr="00000000">
        <w:rPr>
          <w:color w:val="0e101a"/>
          <w:sz w:val="24"/>
          <w:szCs w:val="24"/>
          <w:rtl w:val="0"/>
        </w:rPr>
        <w:t xml:space="preserve"> to be an early investor. The earlier you buy, the more your potential profits. </w:t>
      </w:r>
    </w:p>
    <w:p w:rsidR="00000000" w:rsidDel="00000000" w:rsidP="00000000" w:rsidRDefault="00000000" w:rsidRPr="00000000" w14:paraId="00000014">
      <w:pPr>
        <w:pStyle w:val="Heading2"/>
        <w:keepNext w:val="0"/>
        <w:keepLines w:val="0"/>
        <w:spacing w:after="0" w:before="200" w:lineRule="auto"/>
        <w:rPr>
          <w:b w:val="1"/>
          <w:color w:val="0e101a"/>
          <w:sz w:val="34"/>
          <w:szCs w:val="34"/>
        </w:rPr>
      </w:pPr>
      <w:bookmarkStart w:colFirst="0" w:colLast="0" w:name="_2d2iicz6gwaw" w:id="2"/>
      <w:bookmarkEnd w:id="2"/>
      <w:r w:rsidDel="00000000" w:rsidR="00000000" w:rsidRPr="00000000">
        <w:rPr>
          <w:b w:val="1"/>
          <w:color w:val="0e101a"/>
          <w:sz w:val="34"/>
          <w:szCs w:val="34"/>
          <w:rtl w:val="0"/>
        </w:rPr>
        <w:t xml:space="preserve">XRP Price: Death Cross Creates Panic </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According to a recent market analysis, the XRP price gets a gloomy prediction. The reason is that the technical indicator signals the death cross. This popular crypto sign expresses a bearish market for </w:t>
      </w:r>
      <w:hyperlink r:id="rId12">
        <w:r w:rsidDel="00000000" w:rsidR="00000000" w:rsidRPr="00000000">
          <w:rPr>
            <w:color w:val="1155cc"/>
            <w:sz w:val="24"/>
            <w:szCs w:val="24"/>
            <w:u w:val="single"/>
            <w:rtl w:val="0"/>
          </w:rPr>
          <w:t xml:space="preserve">Ripple (XRP)</w:t>
        </w:r>
      </w:hyperlink>
      <w:r w:rsidDel="00000000" w:rsidR="00000000" w:rsidRPr="00000000">
        <w:rPr>
          <w:color w:val="0e101a"/>
          <w:sz w:val="24"/>
          <w:szCs w:val="24"/>
          <w:rtl w:val="0"/>
        </w:rPr>
        <w:t xml:space="preserve">. However, the ongoing lawsuit supports the worry about a notable decline. While the XRP price beams with hopelessness, ETFSwap (ETFS) investors eat well. </w:t>
      </w:r>
    </w:p>
    <w:p w:rsidR="00000000" w:rsidDel="00000000" w:rsidP="00000000" w:rsidRDefault="00000000" w:rsidRPr="00000000" w14:paraId="00000016">
      <w:pPr>
        <w:pStyle w:val="Heading2"/>
        <w:keepNext w:val="0"/>
        <w:keepLines w:val="0"/>
        <w:spacing w:after="0" w:before="200" w:lineRule="auto"/>
        <w:rPr>
          <w:b w:val="1"/>
          <w:color w:val="0e101a"/>
          <w:sz w:val="34"/>
          <w:szCs w:val="34"/>
        </w:rPr>
      </w:pPr>
      <w:bookmarkStart w:colFirst="0" w:colLast="0" w:name="_arsgn757ru75" w:id="3"/>
      <w:bookmarkEnd w:id="3"/>
      <w:r w:rsidDel="00000000" w:rsidR="00000000" w:rsidRPr="00000000">
        <w:rPr>
          <w:b w:val="1"/>
          <w:color w:val="0e101a"/>
          <w:sz w:val="34"/>
          <w:szCs w:val="34"/>
          <w:rtl w:val="0"/>
        </w:rPr>
        <w:t xml:space="preserve">Dogecoin (DOGE) Faces More Market Resistance Despite Breakout Signs </w:t>
      </w:r>
    </w:p>
    <w:p w:rsidR="00000000" w:rsidDel="00000000" w:rsidP="00000000" w:rsidRDefault="00000000" w:rsidRPr="00000000" w14:paraId="00000017">
      <w:pPr>
        <w:spacing w:before="200" w:lineRule="auto"/>
        <w:rPr>
          <w:color w:val="0e101a"/>
          <w:sz w:val="24"/>
          <w:szCs w:val="24"/>
        </w:rPr>
      </w:pPr>
      <w:r w:rsidDel="00000000" w:rsidR="00000000" w:rsidRPr="00000000">
        <w:rPr>
          <w:color w:val="0e101a"/>
          <w:sz w:val="24"/>
          <w:szCs w:val="24"/>
          <w:rtl w:val="0"/>
        </w:rPr>
        <w:t xml:space="preserve">In addition to the XRP Price prediction, Dogecoin's (DOGE) recent performance adds more salt to the wound. The giant meme coin has struggled to break the $0.16 resistance level for a while. The 10-day and 100-day moving averages signal indecision as</w:t>
      </w:r>
      <w:hyperlink r:id="rId13">
        <w:r w:rsidDel="00000000" w:rsidR="00000000" w:rsidRPr="00000000">
          <w:rPr>
            <w:color w:val="0e101a"/>
            <w:sz w:val="24"/>
            <w:szCs w:val="24"/>
            <w:rtl w:val="0"/>
          </w:rPr>
          <w:t xml:space="preserve"> </w:t>
        </w:r>
      </w:hyperlink>
      <w:hyperlink r:id="rId14">
        <w:r w:rsidDel="00000000" w:rsidR="00000000" w:rsidRPr="00000000">
          <w:rPr>
            <w:color w:val="4a6ee0"/>
            <w:sz w:val="24"/>
            <w:szCs w:val="24"/>
            <w:u w:val="single"/>
            <w:rtl w:val="0"/>
          </w:rPr>
          <w:t xml:space="preserve">Dogecoin (DOGE)</w:t>
        </w:r>
      </w:hyperlink>
      <w:r w:rsidDel="00000000" w:rsidR="00000000" w:rsidRPr="00000000">
        <w:rPr>
          <w:color w:val="0e101a"/>
          <w:sz w:val="24"/>
          <w:szCs w:val="24"/>
          <w:rtl w:val="0"/>
        </w:rPr>
        <w:t xml:space="preserve"> sits at $0.11. </w:t>
      </w:r>
    </w:p>
    <w:p w:rsidR="00000000" w:rsidDel="00000000" w:rsidP="00000000" w:rsidRDefault="00000000" w:rsidRPr="00000000" w14:paraId="00000018">
      <w:pPr>
        <w:spacing w:before="200" w:lineRule="auto"/>
        <w:rPr>
          <w:color w:val="0e101a"/>
          <w:sz w:val="24"/>
          <w:szCs w:val="24"/>
        </w:rPr>
      </w:pPr>
      <w:r w:rsidDel="00000000" w:rsidR="00000000" w:rsidRPr="00000000">
        <w:rPr>
          <w:color w:val="0e101a"/>
          <w:sz w:val="24"/>
          <w:szCs w:val="24"/>
          <w:rtl w:val="0"/>
        </w:rPr>
        <w:t xml:space="preserve">The Relative Strength Index (RSI), on the other hand, shows that Dogecoin (DOGE) has the potential for a bullish run. However, it also expresses caution due to significant market volatility. With a short-term gain of 13% in the past month and a 46% drop in over six months, crypto enthusiasts have shifted attention to ETFSwap (ETFS). </w:t>
      </w:r>
    </w:p>
    <w:p w:rsidR="00000000" w:rsidDel="00000000" w:rsidP="00000000" w:rsidRDefault="00000000" w:rsidRPr="00000000" w14:paraId="00000019">
      <w:pPr>
        <w:pStyle w:val="Heading2"/>
        <w:keepNext w:val="0"/>
        <w:keepLines w:val="0"/>
        <w:spacing w:after="0" w:before="200" w:lineRule="auto"/>
        <w:rPr>
          <w:b w:val="1"/>
          <w:color w:val="0e101a"/>
          <w:sz w:val="34"/>
          <w:szCs w:val="34"/>
        </w:rPr>
      </w:pPr>
      <w:bookmarkStart w:colFirst="0" w:colLast="0" w:name="_a353gi94glqs" w:id="4"/>
      <w:bookmarkEnd w:id="4"/>
      <w:r w:rsidDel="00000000" w:rsidR="00000000" w:rsidRPr="00000000">
        <w:rPr>
          <w:b w:val="1"/>
          <w:color w:val="0e101a"/>
          <w:sz w:val="34"/>
          <w:szCs w:val="34"/>
          <w:rtl w:val="0"/>
        </w:rPr>
        <w:t xml:space="preserve">Shiba Inu (SHIB) Struggles to Maintain Stability Despite Mini Bull Run</w:t>
      </w:r>
    </w:p>
    <w:p w:rsidR="00000000" w:rsidDel="00000000" w:rsidP="00000000" w:rsidRDefault="00000000" w:rsidRPr="00000000" w14:paraId="0000001A">
      <w:pPr>
        <w:spacing w:before="200" w:lineRule="auto"/>
        <w:rPr>
          <w:color w:val="0e101a"/>
          <w:sz w:val="24"/>
          <w:szCs w:val="24"/>
        </w:rPr>
      </w:pPr>
      <w:r w:rsidDel="00000000" w:rsidR="00000000" w:rsidRPr="00000000">
        <w:rPr>
          <w:color w:val="0e101a"/>
          <w:sz w:val="24"/>
          <w:szCs w:val="24"/>
          <w:rtl w:val="0"/>
        </w:rPr>
        <w:t xml:space="preserve">The story is the same for</w:t>
      </w:r>
      <w:hyperlink r:id="rId15">
        <w:r w:rsidDel="00000000" w:rsidR="00000000" w:rsidRPr="00000000">
          <w:rPr>
            <w:color w:val="0e101a"/>
            <w:sz w:val="24"/>
            <w:szCs w:val="24"/>
            <w:rtl w:val="0"/>
          </w:rPr>
          <w:t xml:space="preserve"> </w:t>
        </w:r>
      </w:hyperlink>
      <w:hyperlink r:id="rId16">
        <w:r w:rsidDel="00000000" w:rsidR="00000000" w:rsidRPr="00000000">
          <w:rPr>
            <w:color w:val="4a6ee0"/>
            <w:sz w:val="24"/>
            <w:szCs w:val="24"/>
            <w:u w:val="single"/>
            <w:rtl w:val="0"/>
          </w:rPr>
          <w:t xml:space="preserve">Shiba Inu (SHIB)</w:t>
        </w:r>
      </w:hyperlink>
      <w:r w:rsidDel="00000000" w:rsidR="00000000" w:rsidRPr="00000000">
        <w:rPr>
          <w:color w:val="0e101a"/>
          <w:sz w:val="24"/>
          <w:szCs w:val="24"/>
          <w:rtl w:val="0"/>
        </w:rPr>
        <w:t xml:space="preserve">, which is barely surviving at this point. The exchange reserves keep declining despite its recent 4% gain. Shiba Inu (SHIB) is one of the top performers today, but traders want significant rewards. </w:t>
      </w:r>
    </w:p>
    <w:p w:rsidR="00000000" w:rsidDel="00000000" w:rsidP="00000000" w:rsidRDefault="00000000" w:rsidRPr="00000000" w14:paraId="0000001B">
      <w:pPr>
        <w:spacing w:before="200" w:lineRule="auto"/>
        <w:rPr>
          <w:color w:val="0e101a"/>
          <w:sz w:val="24"/>
          <w:szCs w:val="24"/>
        </w:rPr>
      </w:pPr>
      <w:r w:rsidDel="00000000" w:rsidR="00000000" w:rsidRPr="00000000">
        <w:rPr>
          <w:color w:val="0e101a"/>
          <w:sz w:val="24"/>
          <w:szCs w:val="24"/>
          <w:rtl w:val="0"/>
        </w:rPr>
        <w:t xml:space="preserve">Shiba Inu (SHIB) had a mini bull run in September, which improved its valuation. However, Shiba Inu (SHIB) exchange reserves have been experiencing a downfall since last year. While some analysts believe this reduces selling pressure, the price performance is similar to the predicted XPR price. </w:t>
      </w:r>
    </w:p>
    <w:p w:rsidR="00000000" w:rsidDel="00000000" w:rsidP="00000000" w:rsidRDefault="00000000" w:rsidRPr="00000000" w14:paraId="0000001C">
      <w:pPr>
        <w:pStyle w:val="Heading2"/>
        <w:keepNext w:val="0"/>
        <w:keepLines w:val="0"/>
        <w:spacing w:after="0" w:before="200" w:lineRule="auto"/>
        <w:rPr>
          <w:b w:val="1"/>
          <w:color w:val="0e101a"/>
          <w:sz w:val="34"/>
          <w:szCs w:val="34"/>
        </w:rPr>
      </w:pPr>
      <w:bookmarkStart w:colFirst="0" w:colLast="0" w:name="_yohez635yger" w:id="5"/>
      <w:bookmarkEnd w:id="5"/>
      <w:r w:rsidDel="00000000" w:rsidR="00000000" w:rsidRPr="00000000">
        <w:rPr>
          <w:b w:val="1"/>
          <w:color w:val="0e101a"/>
          <w:sz w:val="34"/>
          <w:szCs w:val="34"/>
          <w:rtl w:val="0"/>
        </w:rPr>
        <w:t xml:space="preserve">Conclusion </w:t>
      </w:r>
    </w:p>
    <w:p w:rsidR="00000000" w:rsidDel="00000000" w:rsidP="00000000" w:rsidRDefault="00000000" w:rsidRPr="00000000" w14:paraId="0000001D">
      <w:pPr>
        <w:spacing w:before="200" w:lineRule="auto"/>
        <w:rPr>
          <w:sz w:val="24"/>
          <w:szCs w:val="24"/>
        </w:rPr>
      </w:pPr>
      <w:r w:rsidDel="00000000" w:rsidR="00000000" w:rsidRPr="00000000">
        <w:rPr>
          <w:color w:val="0e101a"/>
          <w:sz w:val="24"/>
          <w:szCs w:val="24"/>
          <w:rtl w:val="0"/>
        </w:rPr>
        <w:t xml:space="preserve">The recent XRP price prediction is discouraging to its community. Meanwhile, crypto veterans dump Dogecoin (DOGE) and Shiba Inu (SHIB) for a better alternative,</w:t>
      </w:r>
      <w:hyperlink r:id="rId17">
        <w:r w:rsidDel="00000000" w:rsidR="00000000" w:rsidRPr="00000000">
          <w:rPr>
            <w:color w:val="0e101a"/>
            <w:sz w:val="24"/>
            <w:szCs w:val="24"/>
            <w:rtl w:val="0"/>
          </w:rPr>
          <w:t xml:space="preserve"> </w:t>
        </w:r>
      </w:hyperlink>
      <w:hyperlink r:id="rId18">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With a looming 1000x gain, several investors are rushing to buy the ETFS token for $0.03846. They say ETFSwap (ETFS) is the best token for the current bearish market. </w:t>
      </w:r>
      <w:r w:rsidDel="00000000" w:rsidR="00000000" w:rsidRPr="00000000">
        <w:rPr>
          <w:rtl w:val="0"/>
        </w:rPr>
      </w:r>
    </w:p>
    <w:p w:rsidR="00000000" w:rsidDel="00000000" w:rsidP="00000000" w:rsidRDefault="00000000" w:rsidRPr="00000000" w14:paraId="0000001E">
      <w:pPr>
        <w:spacing w:before="200" w:line="276" w:lineRule="auto"/>
        <w:rPr>
          <w:b w:val="1"/>
          <w:sz w:val="24"/>
          <w:szCs w:val="24"/>
        </w:rPr>
      </w:pPr>
      <w:r w:rsidDel="00000000" w:rsidR="00000000" w:rsidRPr="00000000">
        <w:rPr>
          <w:b w:val="1"/>
          <w:sz w:val="24"/>
          <w:szCs w:val="24"/>
          <w:rtl w:val="0"/>
        </w:rPr>
        <w:t xml:space="preserve">For more information about the ETFS Presale:</w:t>
      </w:r>
    </w:p>
    <w:p w:rsidR="00000000" w:rsidDel="00000000" w:rsidP="00000000" w:rsidRDefault="00000000" w:rsidRPr="00000000" w14:paraId="0000001F">
      <w:pPr>
        <w:spacing w:before="200" w:line="276" w:lineRule="auto"/>
        <w:rPr>
          <w:sz w:val="24"/>
          <w:szCs w:val="24"/>
        </w:rPr>
      </w:pPr>
      <w:hyperlink r:id="rId19">
        <w:r w:rsidDel="00000000" w:rsidR="00000000" w:rsidRPr="00000000">
          <w:rPr>
            <w:color w:val="1155cc"/>
            <w:sz w:val="24"/>
            <w:szCs w:val="24"/>
            <w:u w:val="single"/>
            <w:rtl w:val="0"/>
          </w:rPr>
          <w:t xml:space="preserve">Visit ETFSwap Presale</w:t>
        </w:r>
      </w:hyperlink>
      <w:r w:rsidDel="00000000" w:rsidR="00000000" w:rsidRPr="00000000">
        <w:rPr>
          <w:rtl w:val="0"/>
        </w:rPr>
      </w:r>
    </w:p>
    <w:p w:rsidR="00000000" w:rsidDel="00000000" w:rsidP="00000000" w:rsidRDefault="00000000" w:rsidRPr="00000000" w14:paraId="00000020">
      <w:pPr>
        <w:spacing w:before="200" w:line="276" w:lineRule="auto"/>
        <w:rPr>
          <w:sz w:val="24"/>
          <w:szCs w:val="24"/>
        </w:rPr>
      </w:pPr>
      <w:hyperlink r:id="rId20">
        <w:r w:rsidDel="00000000" w:rsidR="00000000" w:rsidRPr="00000000">
          <w:rPr>
            <w:color w:val="1155cc"/>
            <w:sz w:val="24"/>
            <w:szCs w:val="24"/>
            <w:u w:val="single"/>
            <w:rtl w:val="0"/>
          </w:rPr>
          <w:t xml:space="preserve">Join The ETFSwap Community</w:t>
        </w:r>
      </w:hyperlink>
      <w:r w:rsidDel="00000000" w:rsidR="00000000" w:rsidRPr="00000000">
        <w:rPr>
          <w:rtl w:val="0"/>
        </w:rPr>
      </w:r>
    </w:p>
    <w:p w:rsidR="00000000" w:rsidDel="00000000" w:rsidP="00000000" w:rsidRDefault="00000000" w:rsidRPr="00000000" w14:paraId="00000021">
      <w:pPr>
        <w:spacing w:before="200" w:line="276" w:lineRule="auto"/>
        <w:rPr>
          <w:sz w:val="24"/>
          <w:szCs w:val="24"/>
        </w:rPr>
      </w:pPr>
      <w:r w:rsidDel="00000000" w:rsidR="00000000" w:rsidRPr="00000000">
        <w:rPr>
          <w:sz w:val="24"/>
          <w:szCs w:val="24"/>
        </w:rPr>
        <w:drawing>
          <wp:inline distB="114300" distT="114300" distL="114300" distR="114300">
            <wp:extent cx="5867400" cy="2723696"/>
            <wp:effectExtent b="0" l="0" r="0" t="0"/>
            <wp:docPr id="3" name="image3.png"/>
            <a:graphic>
              <a:graphicData uri="http://schemas.openxmlformats.org/drawingml/2006/picture">
                <pic:pic>
                  <pic:nvPicPr>
                    <pic:cNvPr id="0" name="image3.png"/>
                    <pic:cNvPicPr preferRelativeResize="0"/>
                  </pic:nvPicPr>
                  <pic:blipFill>
                    <a:blip r:embed="rId21"/>
                    <a:srcRect b="6852" l="0" r="1282" t="11667"/>
                    <a:stretch>
                      <a:fillRect/>
                    </a:stretch>
                  </pic:blipFill>
                  <pic:spPr>
                    <a:xfrm>
                      <a:off x="0" y="0"/>
                      <a:ext cx="5867400" cy="272369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00" w:lineRule="auto"/>
        <w:rPr/>
      </w:pPr>
      <w:r w:rsidDel="00000000" w:rsidR="00000000" w:rsidRPr="00000000">
        <w:rPr/>
        <w:drawing>
          <wp:inline distB="114300" distT="114300" distL="114300" distR="114300">
            <wp:extent cx="5857875" cy="2771775"/>
            <wp:effectExtent b="0" l="0" r="0" t="0"/>
            <wp:docPr id="1" name="image1.png"/>
            <a:graphic>
              <a:graphicData uri="http://schemas.openxmlformats.org/drawingml/2006/picture">
                <pic:pic>
                  <pic:nvPicPr>
                    <pic:cNvPr id="0" name="image1.png"/>
                    <pic:cNvPicPr preferRelativeResize="0"/>
                  </pic:nvPicPr>
                  <pic:blipFill>
                    <a:blip r:embed="rId22"/>
                    <a:srcRect b="6267" l="0" r="1442" t="10826"/>
                    <a:stretch>
                      <a:fillRect/>
                    </a:stretch>
                  </pic:blipFill>
                  <pic:spPr>
                    <a:xfrm>
                      <a:off x="0" y="0"/>
                      <a:ext cx="58578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before="200" w:lineRule="auto"/>
        <w:rPr/>
      </w:pPr>
      <w:r w:rsidDel="00000000" w:rsidR="00000000" w:rsidRPr="00000000">
        <w:rPr/>
        <w:drawing>
          <wp:inline distB="114300" distT="114300" distL="114300" distR="114300">
            <wp:extent cx="5943600" cy="2704826"/>
            <wp:effectExtent b="0" l="0" r="0" t="0"/>
            <wp:docPr id="2" name="image4.png"/>
            <a:graphic>
              <a:graphicData uri="http://schemas.openxmlformats.org/drawingml/2006/picture">
                <pic:pic>
                  <pic:nvPicPr>
                    <pic:cNvPr id="0" name="image4.png"/>
                    <pic:cNvPicPr preferRelativeResize="0"/>
                  </pic:nvPicPr>
                  <pic:blipFill>
                    <a:blip r:embed="rId23"/>
                    <a:srcRect b="6552" l="0" r="0" t="12543"/>
                    <a:stretch>
                      <a:fillRect/>
                    </a:stretch>
                  </pic:blipFill>
                  <pic:spPr>
                    <a:xfrm>
                      <a:off x="0" y="0"/>
                      <a:ext cx="5943600" cy="270482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00" w:lineRule="auto"/>
        <w:rPr/>
      </w:pPr>
      <w:r w:rsidDel="00000000" w:rsidR="00000000" w:rsidRPr="00000000">
        <w:rPr/>
        <w:drawing>
          <wp:inline distB="114300" distT="114300" distL="114300" distR="114300">
            <wp:extent cx="5857875" cy="2724150"/>
            <wp:effectExtent b="0" l="0" r="0" t="0"/>
            <wp:docPr id="4" name="image2.png"/>
            <a:graphic>
              <a:graphicData uri="http://schemas.openxmlformats.org/drawingml/2006/picture">
                <pic:pic>
                  <pic:nvPicPr>
                    <pic:cNvPr id="0" name="image2.png"/>
                    <pic:cNvPicPr preferRelativeResize="0"/>
                  </pic:nvPicPr>
                  <pic:blipFill>
                    <a:blip r:embed="rId24"/>
                    <a:srcRect b="6267" l="0" r="1442" t="12250"/>
                    <a:stretch>
                      <a:fillRect/>
                    </a:stretch>
                  </pic:blipFill>
                  <pic:spPr>
                    <a:xfrm>
                      <a:off x="0" y="0"/>
                      <a:ext cx="5857875" cy="27241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inktr.ee/etfswap" TargetMode="External"/><Relationship Id="rId11" Type="http://schemas.openxmlformats.org/officeDocument/2006/relationships/hyperlink" Target="https://etfswappresale.com/" TargetMode="External"/><Relationship Id="rId22" Type="http://schemas.openxmlformats.org/officeDocument/2006/relationships/image" Target="media/image1.png"/><Relationship Id="rId10" Type="http://schemas.openxmlformats.org/officeDocument/2006/relationships/hyperlink" Target="https://www.cyberscope.io/" TargetMode="External"/><Relationship Id="rId21" Type="http://schemas.openxmlformats.org/officeDocument/2006/relationships/image" Target="media/image3.png"/><Relationship Id="rId13" Type="http://schemas.openxmlformats.org/officeDocument/2006/relationships/hyperlink" Target="https://coinmarketcap.com/currencies/dogecoin/" TargetMode="External"/><Relationship Id="rId24" Type="http://schemas.openxmlformats.org/officeDocument/2006/relationships/image" Target="media/image2.png"/><Relationship Id="rId12" Type="http://schemas.openxmlformats.org/officeDocument/2006/relationships/hyperlink" Target="https://coinmarketcap.com/currencies/xrp/"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olidproof/projects/tree/main/2024/ETFSwap" TargetMode="External"/><Relationship Id="rId15" Type="http://schemas.openxmlformats.org/officeDocument/2006/relationships/hyperlink" Target="https://coinmarketcap.com/currencies/shiba-inu/" TargetMode="External"/><Relationship Id="rId14" Type="http://schemas.openxmlformats.org/officeDocument/2006/relationships/hyperlink" Target="https://coinmarketcap.com/currencies/dogecoin/" TargetMode="External"/><Relationship Id="rId17" Type="http://schemas.openxmlformats.org/officeDocument/2006/relationships/hyperlink" Target="https://etfswappresale.com/" TargetMode="External"/><Relationship Id="rId16" Type="http://schemas.openxmlformats.org/officeDocument/2006/relationships/hyperlink" Target="https://coinmarketcap.com/currencies/shiba-inu/" TargetMode="External"/><Relationship Id="rId5" Type="http://schemas.openxmlformats.org/officeDocument/2006/relationships/styles" Target="styles.xml"/><Relationship Id="rId19" Type="http://schemas.openxmlformats.org/officeDocument/2006/relationships/hyperlink" Target="https://etfswappresale.com/" TargetMode="External"/><Relationship Id="rId6" Type="http://schemas.openxmlformats.org/officeDocument/2006/relationships/hyperlink" Target="https://etfswappresale.com/" TargetMode="External"/><Relationship Id="rId18" Type="http://schemas.openxmlformats.org/officeDocument/2006/relationships/hyperlink" Target="https://etfswappresale.com/" TargetMode="External"/><Relationship Id="rId7" Type="http://schemas.openxmlformats.org/officeDocument/2006/relationships/hyperlink" Target="https://etfswappresale.com/" TargetMode="External"/><Relationship Id="rId8" Type="http://schemas.openxmlformats.org/officeDocument/2006/relationships/hyperlink" Target="https://etfswappresa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