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Ripple (XRP) eyes a potential surge to $1,000, but Dogecoin (DOGE) is expected to hit $2 first, while ETFSwap (ETFS) is set for an impressive rally from $0.03 to $5.</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XRP price </w:t>
      </w:r>
    </w:p>
    <w:p w:rsidR="00000000" w:rsidDel="00000000" w:rsidP="00000000" w:rsidRDefault="00000000" w:rsidRPr="00000000" w14:paraId="00000005">
      <w:pPr>
        <w:rPr>
          <w:sz w:val="24"/>
          <w:szCs w:val="24"/>
        </w:rPr>
      </w:pPr>
      <w:r w:rsidDel="00000000" w:rsidR="00000000" w:rsidRPr="00000000">
        <w:rPr>
          <w:sz w:val="24"/>
          <w:szCs w:val="24"/>
          <w:rtl w:val="0"/>
        </w:rPr>
        <w:t xml:space="preserve">Ripple </w:t>
      </w:r>
    </w:p>
    <w:p w:rsidR="00000000" w:rsidDel="00000000" w:rsidP="00000000" w:rsidRDefault="00000000" w:rsidRPr="00000000" w14:paraId="00000006">
      <w:pPr>
        <w:rPr>
          <w:sz w:val="24"/>
          <w:szCs w:val="24"/>
        </w:rPr>
      </w:pPr>
      <w:r w:rsidDel="00000000" w:rsidR="00000000" w:rsidRPr="00000000">
        <w:rPr>
          <w:sz w:val="24"/>
          <w:szCs w:val="24"/>
          <w:rtl w:val="0"/>
        </w:rPr>
        <w:t xml:space="preserve">XRP </w:t>
      </w:r>
    </w:p>
    <w:p w:rsidR="00000000" w:rsidDel="00000000" w:rsidP="00000000" w:rsidRDefault="00000000" w:rsidRPr="00000000" w14:paraId="00000007">
      <w:pPr>
        <w:rPr>
          <w:sz w:val="24"/>
          <w:szCs w:val="24"/>
        </w:rPr>
      </w:pPr>
      <w:r w:rsidDel="00000000" w:rsidR="00000000" w:rsidRPr="00000000">
        <w:rPr>
          <w:sz w:val="24"/>
          <w:szCs w:val="24"/>
          <w:rtl w:val="0"/>
        </w:rPr>
        <w:t xml:space="preserve">Dogecoin </w:t>
      </w:r>
    </w:p>
    <w:p w:rsidR="00000000" w:rsidDel="00000000" w:rsidP="00000000" w:rsidRDefault="00000000" w:rsidRPr="00000000" w14:paraId="00000008">
      <w:pPr>
        <w:rPr>
          <w:sz w:val="24"/>
          <w:szCs w:val="24"/>
        </w:rPr>
      </w:pPr>
      <w:r w:rsidDel="00000000" w:rsidR="00000000" w:rsidRPr="00000000">
        <w:rPr>
          <w:sz w:val="24"/>
          <w:szCs w:val="24"/>
          <w:rtl w:val="0"/>
        </w:rPr>
        <w:t xml:space="preserve">DOGE </w:t>
      </w:r>
    </w:p>
    <w:p w:rsidR="00000000" w:rsidDel="00000000" w:rsidP="00000000" w:rsidRDefault="00000000" w:rsidRPr="00000000" w14:paraId="00000009">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A">
      <w:pPr>
        <w:rPr>
          <w:sz w:val="24"/>
          <w:szCs w:val="24"/>
        </w:rPr>
      </w:pPr>
      <w:r w:rsidDel="00000000" w:rsidR="00000000" w:rsidRPr="00000000">
        <w:rPr>
          <w:sz w:val="24"/>
          <w:szCs w:val="24"/>
          <w:rtl w:val="0"/>
        </w:rPr>
        <w:t xml:space="preserve">ETFSwap </w:t>
      </w:r>
    </w:p>
    <w:p w:rsidR="00000000" w:rsidDel="00000000" w:rsidP="00000000" w:rsidRDefault="00000000" w:rsidRPr="00000000" w14:paraId="0000000B">
      <w:pPr>
        <w:rPr>
          <w:sz w:val="24"/>
          <w:szCs w:val="24"/>
        </w:rPr>
      </w:pPr>
      <w:r w:rsidDel="00000000" w:rsidR="00000000" w:rsidRPr="00000000">
        <w:rPr>
          <w:sz w:val="24"/>
          <w:szCs w:val="24"/>
          <w:rtl w:val="0"/>
        </w:rPr>
        <w:t xml:space="preserve">ETFS </w:t>
      </w:r>
    </w:p>
    <w:p w:rsidR="00000000" w:rsidDel="00000000" w:rsidP="00000000" w:rsidRDefault="00000000" w:rsidRPr="00000000" w14:paraId="0000000C">
      <w:pPr>
        <w:rPr>
          <w:sz w:val="24"/>
          <w:szCs w:val="24"/>
        </w:rPr>
      </w:pPr>
      <w:r w:rsidDel="00000000" w:rsidR="00000000" w:rsidRPr="00000000">
        <w:rPr>
          <w:sz w:val="24"/>
          <w:szCs w:val="24"/>
          <w:rtl w:val="0"/>
        </w:rPr>
        <w:t xml:space="preserve">ETF </w:t>
      </w:r>
    </w:p>
    <w:p w:rsidR="00000000" w:rsidDel="00000000" w:rsidP="00000000" w:rsidRDefault="00000000" w:rsidRPr="00000000" w14:paraId="0000000D">
      <w:pPr>
        <w:pStyle w:val="Heading1"/>
        <w:keepNext w:val="0"/>
        <w:keepLines w:val="0"/>
        <w:spacing w:after="0" w:before="200" w:lineRule="auto"/>
        <w:rPr>
          <w:b w:val="1"/>
          <w:color w:val="0e101a"/>
          <w:sz w:val="46"/>
          <w:szCs w:val="46"/>
        </w:rPr>
      </w:pPr>
      <w:bookmarkStart w:colFirst="0" w:colLast="0" w:name="_r7jvzv6n13pu" w:id="0"/>
      <w:bookmarkEnd w:id="0"/>
      <w:r w:rsidDel="00000000" w:rsidR="00000000" w:rsidRPr="00000000">
        <w:rPr>
          <w:b w:val="1"/>
          <w:color w:val="0e101a"/>
          <w:sz w:val="46"/>
          <w:szCs w:val="46"/>
          <w:rtl w:val="0"/>
        </w:rPr>
        <w:t xml:space="preserve">XRP Price To $1,000 Could Be Possible, But Dogecoin Will Reach $2 First And ETFSwap Will Rally From $0.03 To $5</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The crypto market is buzzing with exciting predictions, and three tokens are capturing attention: Ripple (XRP), Dogecoin (DOGE), and ETFSwap (ETFS). While Ripple (XRP) shows potential for a massive surge to $1,000, crypto experts believe Dogecoin (DOGE) is more likely to reach $2 first. However,</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is gearing up for an impressive rally, with predictions suggesting it could soar from $0.03 to $5. </w:t>
      </w:r>
    </w:p>
    <w:p w:rsidR="00000000" w:rsidDel="00000000" w:rsidP="00000000" w:rsidRDefault="00000000" w:rsidRPr="00000000" w14:paraId="0000000F">
      <w:pPr>
        <w:pStyle w:val="Heading2"/>
        <w:keepNext w:val="0"/>
        <w:keepLines w:val="0"/>
        <w:spacing w:after="0" w:before="200" w:lineRule="auto"/>
        <w:rPr>
          <w:b w:val="1"/>
          <w:color w:val="0e101a"/>
          <w:sz w:val="34"/>
          <w:szCs w:val="34"/>
        </w:rPr>
      </w:pPr>
      <w:bookmarkStart w:colFirst="0" w:colLast="0" w:name="_jx8nw3hwojws" w:id="1"/>
      <w:bookmarkEnd w:id="1"/>
      <w:r w:rsidDel="00000000" w:rsidR="00000000" w:rsidRPr="00000000">
        <w:rPr>
          <w:b w:val="1"/>
          <w:color w:val="0e101a"/>
          <w:sz w:val="34"/>
          <w:szCs w:val="34"/>
          <w:rtl w:val="0"/>
        </w:rPr>
        <w:t xml:space="preserve">ETFSwap (ETFS) Steals The Spotlight Among Other High-performing Tokens.</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Investors are divided on whether the XRP price could reach $1,000, or it’s an ambitious prediction. On the other hand, investors believe that</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will jump from $0.03 to $5 after its </w:t>
      </w:r>
      <w:r w:rsidDel="00000000" w:rsidR="00000000" w:rsidRPr="00000000">
        <w:rPr>
          <w:b w:val="1"/>
          <w:color w:val="0e101a"/>
          <w:sz w:val="24"/>
          <w:szCs w:val="24"/>
          <w:rtl w:val="0"/>
        </w:rPr>
        <w:t xml:space="preserve">beta platform launch on the main net</w:t>
      </w:r>
      <w:r w:rsidDel="00000000" w:rsidR="00000000" w:rsidRPr="00000000">
        <w:rPr>
          <w:color w:val="0e101a"/>
          <w:sz w:val="24"/>
          <w:szCs w:val="24"/>
          <w:rtl w:val="0"/>
        </w:rPr>
        <w:t xml:space="preserve">. Before this, the network completed extensive backend development and testing to ensure optimal performance for crypto enthusiasts. This prediction for ETFSwap (ETFS) is beyond the market buzz, as it has been drawing more attention since its presale kicked off. </w:t>
      </w:r>
    </w:p>
    <w:p w:rsidR="00000000" w:rsidDel="00000000" w:rsidP="00000000" w:rsidRDefault="00000000" w:rsidRPr="00000000" w14:paraId="00000011">
      <w:pPr>
        <w:spacing w:before="200" w:lineRule="auto"/>
        <w:rPr>
          <w:b w:val="1"/>
          <w:color w:val="0e101a"/>
          <w:sz w:val="24"/>
          <w:szCs w:val="24"/>
        </w:rPr>
      </w:pPr>
      <w:r w:rsidDel="00000000" w:rsidR="00000000" w:rsidRPr="00000000">
        <w:rPr>
          <w:color w:val="0e101a"/>
          <w:sz w:val="24"/>
          <w:szCs w:val="24"/>
          <w:rtl w:val="0"/>
        </w:rPr>
        <w:t xml:space="preserve">The profit-driven ecosystem has been a major positive for crypto enthusiasts in the bearish 2024. It provides several trading opportunities for investors to multiply their income. Notable features include </w:t>
      </w:r>
      <w:r w:rsidDel="00000000" w:rsidR="00000000" w:rsidRPr="00000000">
        <w:rPr>
          <w:b w:val="1"/>
          <w:color w:val="0e101a"/>
          <w:sz w:val="24"/>
          <w:szCs w:val="24"/>
          <w:rtl w:val="0"/>
        </w:rPr>
        <w:t xml:space="preserve">ETF staking to a lucrative 87% APR yield, 50x margin trading</w:t>
      </w:r>
      <w:r w:rsidDel="00000000" w:rsidR="00000000" w:rsidRPr="00000000">
        <w:rPr>
          <w:color w:val="0e101a"/>
          <w:sz w:val="24"/>
          <w:szCs w:val="24"/>
          <w:rtl w:val="0"/>
        </w:rPr>
        <w:t xml:space="preserve">, </w:t>
      </w:r>
      <w:r w:rsidDel="00000000" w:rsidR="00000000" w:rsidRPr="00000000">
        <w:rPr>
          <w:b w:val="1"/>
          <w:color w:val="0e101a"/>
          <w:sz w:val="24"/>
          <w:szCs w:val="24"/>
          <w:rtl w:val="0"/>
        </w:rPr>
        <w:t xml:space="preserve">real-time access to ETF prices</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live tracking with the ETF price Tracker and Filter.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The crypto token is available at</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$0.03846</w:t>
        </w:r>
      </w:hyperlink>
      <w:r w:rsidDel="00000000" w:rsidR="00000000" w:rsidRPr="00000000">
        <w:rPr>
          <w:color w:val="0e101a"/>
          <w:sz w:val="24"/>
          <w:szCs w:val="24"/>
          <w:rtl w:val="0"/>
        </w:rPr>
        <w:t xml:space="preserve"> but is pushing to</w:t>
      </w:r>
      <w:r w:rsidDel="00000000" w:rsidR="00000000" w:rsidRPr="00000000">
        <w:rPr>
          <w:b w:val="1"/>
          <w:color w:val="0e101a"/>
          <w:sz w:val="24"/>
          <w:szCs w:val="24"/>
          <w:rtl w:val="0"/>
        </w:rPr>
        <w:t xml:space="preserve"> $5, as pundits have predicted. </w:t>
      </w:r>
      <w:r w:rsidDel="00000000" w:rsidR="00000000" w:rsidRPr="00000000">
        <w:rPr>
          <w:color w:val="0e101a"/>
          <w:sz w:val="24"/>
          <w:szCs w:val="24"/>
          <w:rtl w:val="0"/>
        </w:rPr>
        <w:t xml:space="preserve">ETFSwap (ETFS) is ahead of other presale and established projects because of its impressive features and trading benefits. Investors can </w:t>
      </w:r>
      <w:r w:rsidDel="00000000" w:rsidR="00000000" w:rsidRPr="00000000">
        <w:rPr>
          <w:b w:val="1"/>
          <w:color w:val="0e101a"/>
          <w:sz w:val="24"/>
          <w:szCs w:val="24"/>
          <w:rtl w:val="0"/>
        </w:rPr>
        <w:t xml:space="preserve">tokenize their ETFs </w:t>
      </w:r>
      <w:r w:rsidDel="00000000" w:rsidR="00000000" w:rsidRPr="00000000">
        <w:rPr>
          <w:color w:val="0e101a"/>
          <w:sz w:val="24"/>
          <w:szCs w:val="24"/>
          <w:rtl w:val="0"/>
        </w:rPr>
        <w:t xml:space="preserve">to improve their profit margin.</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You </w:t>
      </w:r>
      <w:r w:rsidDel="00000000" w:rsidR="00000000" w:rsidRPr="00000000">
        <w:rPr>
          <w:b w:val="1"/>
          <w:color w:val="0e101a"/>
          <w:sz w:val="24"/>
          <w:szCs w:val="24"/>
          <w:rtl w:val="0"/>
        </w:rPr>
        <w:t xml:space="preserve">don’t need KYC verification to join</w:t>
      </w:r>
      <w:r w:rsidDel="00000000" w:rsidR="00000000" w:rsidRPr="00000000">
        <w:rPr>
          <w:color w:val="0e101a"/>
          <w:sz w:val="24"/>
          <w:szCs w:val="24"/>
          <w:rtl w:val="0"/>
        </w:rPr>
        <w:t xml:space="preserve"> ETFSwap (ETFS), as the platform supports </w:t>
      </w:r>
      <w:r w:rsidDel="00000000" w:rsidR="00000000" w:rsidRPr="00000000">
        <w:rPr>
          <w:b w:val="1"/>
          <w:color w:val="0e101a"/>
          <w:sz w:val="24"/>
          <w:szCs w:val="24"/>
          <w:rtl w:val="0"/>
        </w:rPr>
        <w:t xml:space="preserve">permissionless trading</w:t>
      </w:r>
      <w:r w:rsidDel="00000000" w:rsidR="00000000" w:rsidRPr="00000000">
        <w:rPr>
          <w:color w:val="0e101a"/>
          <w:sz w:val="24"/>
          <w:szCs w:val="24"/>
          <w:rtl w:val="0"/>
        </w:rPr>
        <w:t xml:space="preserve">. Hence, this allows investors to </w:t>
      </w:r>
      <w:r w:rsidDel="00000000" w:rsidR="00000000" w:rsidRPr="00000000">
        <w:rPr>
          <w:b w:val="1"/>
          <w:color w:val="0e101a"/>
          <w:sz w:val="24"/>
          <w:szCs w:val="24"/>
          <w:rtl w:val="0"/>
        </w:rPr>
        <w:t xml:space="preserve">trade without any restrictions</w:t>
      </w:r>
      <w:r w:rsidDel="00000000" w:rsidR="00000000" w:rsidRPr="00000000">
        <w:rPr>
          <w:color w:val="0e101a"/>
          <w:sz w:val="24"/>
          <w:szCs w:val="24"/>
          <w:rtl w:val="0"/>
        </w:rPr>
        <w:t xml:space="preserve">. The platform also offers </w:t>
      </w:r>
      <w:r w:rsidDel="00000000" w:rsidR="00000000" w:rsidRPr="00000000">
        <w:rPr>
          <w:b w:val="1"/>
          <w:color w:val="0e101a"/>
          <w:sz w:val="24"/>
          <w:szCs w:val="24"/>
          <w:rtl w:val="0"/>
        </w:rPr>
        <w:t xml:space="preserve">access to liquidity pools</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popular ETFs</w:t>
      </w:r>
      <w:r w:rsidDel="00000000" w:rsidR="00000000" w:rsidRPr="00000000">
        <w:rPr>
          <w:color w:val="0e101a"/>
          <w:sz w:val="24"/>
          <w:szCs w:val="24"/>
          <w:rtl w:val="0"/>
        </w:rPr>
        <w:t xml:space="preserve">. Little wonder, ETFSwap (ETFS) is nearing </w:t>
      </w:r>
      <w:r w:rsidDel="00000000" w:rsidR="00000000" w:rsidRPr="00000000">
        <w:rPr>
          <w:b w:val="1"/>
          <w:color w:val="0e101a"/>
          <w:sz w:val="24"/>
          <w:szCs w:val="24"/>
          <w:rtl w:val="0"/>
        </w:rPr>
        <w:t xml:space="preserve">almost $8 million inflow</w:t>
      </w:r>
      <w:r w:rsidDel="00000000" w:rsidR="00000000" w:rsidRPr="00000000">
        <w:rPr>
          <w:color w:val="0e101a"/>
          <w:sz w:val="24"/>
          <w:szCs w:val="24"/>
          <w:rtl w:val="0"/>
        </w:rPr>
        <w:t xml:space="preserve"> already. </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Despite being at the presale stage, ETFSwap (ETFS) followed the path of top crypto platforms like Ripple (XRP) and Dogecoin (DOGE) to create a safe environment for all investors. It has undergone a comprehensive</w:t>
      </w:r>
      <w:hyperlink r:id="rId12">
        <w:r w:rsidDel="00000000" w:rsidR="00000000" w:rsidRPr="00000000">
          <w:rPr>
            <w:color w:val="4a6ee0"/>
            <w:sz w:val="24"/>
            <w:szCs w:val="24"/>
            <w:u w:val="single"/>
            <w:rtl w:val="0"/>
          </w:rPr>
          <w:t xml:space="preserve"> </w:t>
        </w:r>
      </w:hyperlink>
      <w:hyperlink r:id="rId13">
        <w:r w:rsidDel="00000000" w:rsidR="00000000" w:rsidRPr="00000000">
          <w:rPr>
            <w:b w:val="1"/>
            <w:color w:val="4a6ee0"/>
            <w:sz w:val="24"/>
            <w:szCs w:val="24"/>
            <w:u w:val="single"/>
            <w:rtl w:val="0"/>
          </w:rPr>
          <w:t xml:space="preserve">KYC verification</w:t>
        </w:r>
      </w:hyperlink>
      <w:r w:rsidDel="00000000" w:rsidR="00000000" w:rsidRPr="00000000">
        <w:rPr>
          <w:b w:val="1"/>
          <w:color w:val="0e101a"/>
          <w:sz w:val="24"/>
          <w:szCs w:val="24"/>
          <w:rtl w:val="0"/>
        </w:rPr>
        <w:t xml:space="preserve"> by "SolidProof"</w:t>
      </w:r>
      <w:r w:rsidDel="00000000" w:rsidR="00000000" w:rsidRPr="00000000">
        <w:rPr>
          <w:color w:val="0e101a"/>
          <w:sz w:val="24"/>
          <w:szCs w:val="24"/>
          <w:rtl w:val="0"/>
        </w:rPr>
        <w:t xml:space="preserve"> and a </w:t>
      </w:r>
      <w:r w:rsidDel="00000000" w:rsidR="00000000" w:rsidRPr="00000000">
        <w:rPr>
          <w:b w:val="1"/>
          <w:color w:val="0e101a"/>
          <w:sz w:val="24"/>
          <w:szCs w:val="24"/>
          <w:rtl w:val="0"/>
        </w:rPr>
        <w:t xml:space="preserve">thorough</w:t>
      </w:r>
      <w:hyperlink r:id="rId14">
        <w:r w:rsidDel="00000000" w:rsidR="00000000" w:rsidRPr="00000000">
          <w:rPr>
            <w:b w:val="1"/>
            <w:color w:val="4a6ee0"/>
            <w:sz w:val="24"/>
            <w:szCs w:val="24"/>
            <w:u w:val="single"/>
            <w:rtl w:val="0"/>
          </w:rPr>
          <w:t xml:space="preserve"> smart contract audit</w:t>
        </w:r>
      </w:hyperlink>
      <w:r w:rsidDel="00000000" w:rsidR="00000000" w:rsidRPr="00000000">
        <w:rPr>
          <w:color w:val="0e101a"/>
          <w:sz w:val="24"/>
          <w:szCs w:val="24"/>
          <w:rtl w:val="0"/>
        </w:rPr>
        <w:t xml:space="preserve"> by Cyberscope. With the recent Beta launch, there are more rewards and incoming new features of ETFSwap (ETFS).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If you are a crypto veteran, you would agree it’s better to join ETFSwap (ETFS) before the price surge. That way, your token's value has increased, and you have made profits.  </w:t>
      </w:r>
    </w:p>
    <w:p w:rsidR="00000000" w:rsidDel="00000000" w:rsidP="00000000" w:rsidRDefault="00000000" w:rsidRPr="00000000" w14:paraId="00000016">
      <w:pPr>
        <w:pStyle w:val="Heading2"/>
        <w:keepNext w:val="0"/>
        <w:keepLines w:val="0"/>
        <w:spacing w:after="0" w:before="200" w:lineRule="auto"/>
        <w:rPr>
          <w:b w:val="1"/>
          <w:color w:val="0e101a"/>
          <w:sz w:val="34"/>
          <w:szCs w:val="34"/>
        </w:rPr>
      </w:pPr>
      <w:bookmarkStart w:colFirst="0" w:colLast="0" w:name="_k4iqdk5i2f2v" w:id="2"/>
      <w:bookmarkEnd w:id="2"/>
      <w:r w:rsidDel="00000000" w:rsidR="00000000" w:rsidRPr="00000000">
        <w:rPr>
          <w:b w:val="1"/>
          <w:color w:val="0e101a"/>
          <w:sz w:val="34"/>
          <w:szCs w:val="34"/>
          <w:rtl w:val="0"/>
        </w:rPr>
        <w:t xml:space="preserve">XRP Price Prediction: Why Investors Believe XRP Price Can Reach $1,000. </w:t>
      </w:r>
    </w:p>
    <w:p w:rsidR="00000000" w:rsidDel="00000000" w:rsidP="00000000" w:rsidRDefault="00000000" w:rsidRPr="00000000" w14:paraId="00000017">
      <w:pPr>
        <w:spacing w:before="200" w:lineRule="auto"/>
        <w:rPr>
          <w:color w:val="0e101a"/>
          <w:sz w:val="24"/>
          <w:szCs w:val="24"/>
        </w:rPr>
      </w:pPr>
      <w:hyperlink r:id="rId15">
        <w:r w:rsidDel="00000000" w:rsidR="00000000" w:rsidRPr="00000000">
          <w:rPr>
            <w:color w:val="1155cc"/>
            <w:sz w:val="24"/>
            <w:szCs w:val="24"/>
            <w:u w:val="single"/>
            <w:rtl w:val="0"/>
          </w:rPr>
          <w:t xml:space="preserve">Ripple (XRP)</w:t>
        </w:r>
      </w:hyperlink>
      <w:r w:rsidDel="00000000" w:rsidR="00000000" w:rsidRPr="00000000">
        <w:rPr>
          <w:color w:val="0e101a"/>
          <w:sz w:val="24"/>
          <w:szCs w:val="24"/>
          <w:rtl w:val="0"/>
        </w:rPr>
        <w:t xml:space="preserve"> is fighting beyond legal battles at the moment. Due to recent price movements, crypto investors are curious if Ripple (XRP) is on the verge of a massive breakout as the crypto token battles for a long price. Historical data has also indicated that the XRP price may reach a new height after repeating past patterns. </w:t>
      </w:r>
    </w:p>
    <w:p w:rsidR="00000000" w:rsidDel="00000000" w:rsidP="00000000" w:rsidRDefault="00000000" w:rsidRPr="00000000" w14:paraId="00000018">
      <w:pPr>
        <w:spacing w:before="200" w:lineRule="auto"/>
        <w:rPr>
          <w:color w:val="0e101a"/>
          <w:sz w:val="24"/>
          <w:szCs w:val="24"/>
        </w:rPr>
      </w:pPr>
      <w:r w:rsidDel="00000000" w:rsidR="00000000" w:rsidRPr="00000000">
        <w:rPr>
          <w:color w:val="0e101a"/>
          <w:sz w:val="24"/>
          <w:szCs w:val="24"/>
          <w:rtl w:val="0"/>
        </w:rPr>
        <w:t xml:space="preserve">According to analysis, the inflow of liquidity is one factor that has consistently impacted the XRP price. While the ongoing SEC lawsuit casts shadows on Ripple's (XRP) performance, veterans believe the XRP price may surge exponentially. While $1,000 is an ambitious price for Ripple (XRP), a breakout is all the XRP price needs to reach a new all-time high. </w:t>
      </w:r>
    </w:p>
    <w:p w:rsidR="00000000" w:rsidDel="00000000" w:rsidP="00000000" w:rsidRDefault="00000000" w:rsidRPr="00000000" w14:paraId="00000019">
      <w:pPr>
        <w:pStyle w:val="Heading2"/>
        <w:keepNext w:val="0"/>
        <w:keepLines w:val="0"/>
        <w:spacing w:after="0" w:before="200" w:lineRule="auto"/>
        <w:rPr>
          <w:b w:val="1"/>
          <w:color w:val="0e101a"/>
          <w:sz w:val="34"/>
          <w:szCs w:val="34"/>
        </w:rPr>
      </w:pPr>
      <w:bookmarkStart w:colFirst="0" w:colLast="0" w:name="_p40904duca36" w:id="3"/>
      <w:bookmarkEnd w:id="3"/>
      <w:r w:rsidDel="00000000" w:rsidR="00000000" w:rsidRPr="00000000">
        <w:rPr>
          <w:b w:val="1"/>
          <w:color w:val="0e101a"/>
          <w:sz w:val="34"/>
          <w:szCs w:val="34"/>
          <w:rtl w:val="0"/>
        </w:rPr>
        <w:t xml:space="preserve">Dogecoin (DOGE) Whale Activity Raises Hopes For A Big Price Increase.</w:t>
      </w:r>
    </w:p>
    <w:p w:rsidR="00000000" w:rsidDel="00000000" w:rsidP="00000000" w:rsidRDefault="00000000" w:rsidRPr="00000000" w14:paraId="0000001A">
      <w:pPr>
        <w:spacing w:before="200" w:lineRule="auto"/>
        <w:rPr>
          <w:color w:val="0e101a"/>
          <w:sz w:val="24"/>
          <w:szCs w:val="24"/>
        </w:rPr>
      </w:pPr>
      <w:hyperlink r:id="rId16">
        <w:r w:rsidDel="00000000" w:rsidR="00000000" w:rsidRPr="00000000">
          <w:rPr>
            <w:color w:val="1155cc"/>
            <w:sz w:val="24"/>
            <w:szCs w:val="24"/>
            <w:u w:val="single"/>
            <w:rtl w:val="0"/>
          </w:rPr>
          <w:t xml:space="preserve">Dogecoin (DOGE)</w:t>
        </w:r>
      </w:hyperlink>
      <w:r w:rsidDel="00000000" w:rsidR="00000000" w:rsidRPr="00000000">
        <w:rPr>
          <w:color w:val="0e101a"/>
          <w:sz w:val="24"/>
          <w:szCs w:val="24"/>
          <w:rtl w:val="0"/>
        </w:rPr>
        <w:t xml:space="preserve"> is becoming a go-to token for investors due to recent market activity. Dogecoin (DOGE) has recorded an impressive 22% increment in the last week and a 3% increment in the previous 24 hours. Right now, Dogecoin (DOGE) is about $0.14, and technical indicators show investors’ confidence in this meme-coin. With the Recent Whale Activity, they are sure the DOGE token will trade at $2 in the coming months. </w:t>
      </w:r>
    </w:p>
    <w:p w:rsidR="00000000" w:rsidDel="00000000" w:rsidP="00000000" w:rsidRDefault="00000000" w:rsidRPr="00000000" w14:paraId="0000001B">
      <w:pPr>
        <w:pStyle w:val="Heading2"/>
        <w:keepNext w:val="0"/>
        <w:keepLines w:val="0"/>
        <w:spacing w:after="0" w:before="200" w:lineRule="auto"/>
        <w:rPr>
          <w:b w:val="1"/>
          <w:color w:val="0e101a"/>
          <w:sz w:val="34"/>
          <w:szCs w:val="34"/>
        </w:rPr>
      </w:pPr>
      <w:bookmarkStart w:colFirst="0" w:colLast="0" w:name="_ng0iy1sh695m" w:id="4"/>
      <w:bookmarkEnd w:id="4"/>
      <w:r w:rsidDel="00000000" w:rsidR="00000000" w:rsidRPr="00000000">
        <w:rPr>
          <w:b w:val="1"/>
          <w:color w:val="0e101a"/>
          <w:sz w:val="34"/>
          <w:szCs w:val="34"/>
          <w:rtl w:val="0"/>
        </w:rPr>
        <w:t xml:space="preserve">Conclusion </w:t>
      </w:r>
    </w:p>
    <w:p w:rsidR="00000000" w:rsidDel="00000000" w:rsidP="00000000" w:rsidRDefault="00000000" w:rsidRPr="00000000" w14:paraId="0000001C">
      <w:pPr>
        <w:spacing w:before="200" w:lineRule="auto"/>
        <w:rPr>
          <w:sz w:val="24"/>
          <w:szCs w:val="24"/>
        </w:rPr>
      </w:pPr>
      <w:r w:rsidDel="00000000" w:rsidR="00000000" w:rsidRPr="00000000">
        <w:rPr>
          <w:color w:val="0e101a"/>
          <w:sz w:val="24"/>
          <w:szCs w:val="24"/>
          <w:rtl w:val="0"/>
        </w:rPr>
        <w:t xml:space="preserve">It is the end of the year, and the market is filled with bold predictions. Crypto pundits believe the XRP price journey to $1,000 is ambitious, while Dogecoin (DOGE) can reach $2 soon. However, ETFSwap (ETFS) is making waves with its potential rally from $0.03 to $5. This substantial return is the reason many are adding</w:t>
      </w:r>
      <w:hyperlink r:id="rId17">
        <w:r w:rsidDel="00000000" w:rsidR="00000000" w:rsidRPr="00000000">
          <w:rPr>
            <w:color w:val="0e101a"/>
            <w:sz w:val="24"/>
            <w:szCs w:val="24"/>
            <w:rtl w:val="0"/>
          </w:rPr>
          <w:t xml:space="preserve"> </w:t>
        </w:r>
      </w:hyperlink>
      <w:hyperlink r:id="rId18">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to their portfolios. Ride the bullish train today.</w:t>
      </w:r>
      <w:r w:rsidDel="00000000" w:rsidR="00000000" w:rsidRPr="00000000">
        <w:rPr>
          <w:rtl w:val="0"/>
        </w:rPr>
      </w:r>
    </w:p>
    <w:p w:rsidR="00000000" w:rsidDel="00000000" w:rsidP="00000000" w:rsidRDefault="00000000" w:rsidRPr="00000000" w14:paraId="0000001D">
      <w:pPr>
        <w:spacing w:before="200" w:line="276" w:lineRule="auto"/>
        <w:rPr>
          <w:b w:val="1"/>
          <w:sz w:val="24"/>
          <w:szCs w:val="24"/>
        </w:rPr>
      </w:pPr>
      <w:r w:rsidDel="00000000" w:rsidR="00000000" w:rsidRPr="00000000">
        <w:rPr>
          <w:b w:val="1"/>
          <w:sz w:val="24"/>
          <w:szCs w:val="24"/>
          <w:rtl w:val="0"/>
        </w:rPr>
        <w:t xml:space="preserve">For more information about the ETFS Presale:</w:t>
      </w:r>
    </w:p>
    <w:p w:rsidR="00000000" w:rsidDel="00000000" w:rsidP="00000000" w:rsidRDefault="00000000" w:rsidRPr="00000000" w14:paraId="0000001E">
      <w:pPr>
        <w:spacing w:before="200" w:line="276" w:lineRule="auto"/>
        <w:rPr>
          <w:sz w:val="24"/>
          <w:szCs w:val="24"/>
        </w:rPr>
      </w:pPr>
      <w:hyperlink r:id="rId19">
        <w:r w:rsidDel="00000000" w:rsidR="00000000" w:rsidRPr="00000000">
          <w:rPr>
            <w:color w:val="1155cc"/>
            <w:sz w:val="24"/>
            <w:szCs w:val="24"/>
            <w:u w:val="single"/>
            <w:rtl w:val="0"/>
          </w:rPr>
          <w:t xml:space="preserve">Visit ETFSwap Presale</w:t>
        </w:r>
      </w:hyperlink>
      <w:r w:rsidDel="00000000" w:rsidR="00000000" w:rsidRPr="00000000">
        <w:rPr>
          <w:rtl w:val="0"/>
        </w:rPr>
      </w:r>
    </w:p>
    <w:p w:rsidR="00000000" w:rsidDel="00000000" w:rsidP="00000000" w:rsidRDefault="00000000" w:rsidRPr="00000000" w14:paraId="0000001F">
      <w:pPr>
        <w:spacing w:before="200" w:line="276" w:lineRule="auto"/>
        <w:rPr>
          <w:sz w:val="24"/>
          <w:szCs w:val="24"/>
        </w:rPr>
      </w:pPr>
      <w:hyperlink r:id="rId20">
        <w:r w:rsidDel="00000000" w:rsidR="00000000" w:rsidRPr="00000000">
          <w:rPr>
            <w:color w:val="1155cc"/>
            <w:sz w:val="24"/>
            <w:szCs w:val="24"/>
            <w:u w:val="single"/>
            <w:rtl w:val="0"/>
          </w:rPr>
          <w:t xml:space="preserve">Join The ETFSwap Community</w:t>
        </w:r>
      </w:hyperlink>
      <w:r w:rsidDel="00000000" w:rsidR="00000000" w:rsidRPr="00000000">
        <w:rPr>
          <w:rtl w:val="0"/>
        </w:rPr>
      </w:r>
    </w:p>
    <w:p w:rsidR="00000000" w:rsidDel="00000000" w:rsidP="00000000" w:rsidRDefault="00000000" w:rsidRPr="00000000" w14:paraId="00000020">
      <w:pPr>
        <w:spacing w:before="200" w:line="276" w:lineRule="auto"/>
        <w:rPr>
          <w:sz w:val="24"/>
          <w:szCs w:val="24"/>
        </w:rPr>
      </w:pPr>
      <w:r w:rsidDel="00000000" w:rsidR="00000000" w:rsidRPr="00000000">
        <w:rPr>
          <w:sz w:val="24"/>
          <w:szCs w:val="24"/>
        </w:rPr>
        <w:drawing>
          <wp:inline distB="114300" distT="114300" distL="114300" distR="114300">
            <wp:extent cx="5943600" cy="2747428"/>
            <wp:effectExtent b="0" l="0" r="0" t="0"/>
            <wp:docPr id="2" name="image4.png"/>
            <a:graphic>
              <a:graphicData uri="http://schemas.openxmlformats.org/drawingml/2006/picture">
                <pic:pic>
                  <pic:nvPicPr>
                    <pic:cNvPr id="0" name="image4.png"/>
                    <pic:cNvPicPr preferRelativeResize="0"/>
                  </pic:nvPicPr>
                  <pic:blipFill>
                    <a:blip r:embed="rId21"/>
                    <a:srcRect b="6986" l="0" r="0" t="10952"/>
                    <a:stretch>
                      <a:fillRect/>
                    </a:stretch>
                  </pic:blipFill>
                  <pic:spPr>
                    <a:xfrm>
                      <a:off x="0" y="0"/>
                      <a:ext cx="5943600" cy="274742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00" w:line="276" w:lineRule="auto"/>
        <w:rPr>
          <w:sz w:val="24"/>
          <w:szCs w:val="24"/>
        </w:rPr>
      </w:pPr>
      <w:r w:rsidDel="00000000" w:rsidR="00000000" w:rsidRPr="00000000">
        <w:rPr>
          <w:sz w:val="24"/>
          <w:szCs w:val="24"/>
        </w:rPr>
        <w:drawing>
          <wp:inline distB="114300" distT="114300" distL="114300" distR="114300">
            <wp:extent cx="5876925" cy="2724150"/>
            <wp:effectExtent b="0" l="0" r="0" t="0"/>
            <wp:docPr id="1" name="image1.png"/>
            <a:graphic>
              <a:graphicData uri="http://schemas.openxmlformats.org/drawingml/2006/picture">
                <pic:pic>
                  <pic:nvPicPr>
                    <pic:cNvPr id="0" name="image1.png"/>
                    <pic:cNvPicPr preferRelativeResize="0"/>
                  </pic:nvPicPr>
                  <pic:blipFill>
                    <a:blip r:embed="rId22"/>
                    <a:srcRect b="6837" l="0" r="1121" t="11680"/>
                    <a:stretch>
                      <a:fillRect/>
                    </a:stretch>
                  </pic:blipFill>
                  <pic:spPr>
                    <a:xfrm>
                      <a:off x="0" y="0"/>
                      <a:ext cx="58769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00" w:line="276" w:lineRule="auto"/>
        <w:rPr>
          <w:sz w:val="24"/>
          <w:szCs w:val="24"/>
        </w:rPr>
      </w:pPr>
      <w:r w:rsidDel="00000000" w:rsidR="00000000" w:rsidRPr="00000000">
        <w:rPr>
          <w:sz w:val="24"/>
          <w:szCs w:val="24"/>
        </w:rPr>
        <w:drawing>
          <wp:inline distB="114300" distT="114300" distL="114300" distR="114300">
            <wp:extent cx="5857875" cy="2743200"/>
            <wp:effectExtent b="0" l="0" r="0" t="0"/>
            <wp:docPr id="3" name="image3.png"/>
            <a:graphic>
              <a:graphicData uri="http://schemas.openxmlformats.org/drawingml/2006/picture">
                <pic:pic>
                  <pic:nvPicPr>
                    <pic:cNvPr id="0" name="image3.png"/>
                    <pic:cNvPicPr preferRelativeResize="0"/>
                  </pic:nvPicPr>
                  <pic:blipFill>
                    <a:blip r:embed="rId23"/>
                    <a:srcRect b="6130" l="0" r="1442" t="11827"/>
                    <a:stretch>
                      <a:fillRect/>
                    </a:stretch>
                  </pic:blipFill>
                  <pic:spPr>
                    <a:xfrm>
                      <a:off x="0" y="0"/>
                      <a:ext cx="58578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200" w:line="276" w:lineRule="auto"/>
        <w:rPr>
          <w:sz w:val="24"/>
          <w:szCs w:val="24"/>
        </w:rPr>
      </w:pPr>
      <w:r w:rsidDel="00000000" w:rsidR="00000000" w:rsidRPr="00000000">
        <w:rPr>
          <w:sz w:val="24"/>
          <w:szCs w:val="24"/>
        </w:rPr>
        <w:drawing>
          <wp:inline distB="114300" distT="114300" distL="114300" distR="114300">
            <wp:extent cx="5857875" cy="2695575"/>
            <wp:effectExtent b="0" l="0" r="0" t="0"/>
            <wp:docPr id="4" name="image2.png"/>
            <a:graphic>
              <a:graphicData uri="http://schemas.openxmlformats.org/drawingml/2006/picture">
                <pic:pic>
                  <pic:nvPicPr>
                    <pic:cNvPr id="0" name="image2.png"/>
                    <pic:cNvPicPr preferRelativeResize="0"/>
                  </pic:nvPicPr>
                  <pic:blipFill>
                    <a:blip r:embed="rId24"/>
                    <a:srcRect b="6267" l="0" r="1442" t="13105"/>
                    <a:stretch>
                      <a:fillRect/>
                    </a:stretch>
                  </pic:blipFill>
                  <pic:spPr>
                    <a:xfrm>
                      <a:off x="0" y="0"/>
                      <a:ext cx="58578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276"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inktr.ee/etfswap" TargetMode="External"/><Relationship Id="rId11" Type="http://schemas.openxmlformats.org/officeDocument/2006/relationships/hyperlink" Target="https://etfswappresale.com/" TargetMode="External"/><Relationship Id="rId22" Type="http://schemas.openxmlformats.org/officeDocument/2006/relationships/image" Target="media/image1.png"/><Relationship Id="rId10" Type="http://schemas.openxmlformats.org/officeDocument/2006/relationships/hyperlink" Target="https://etfswappresale.com/" TargetMode="External"/><Relationship Id="rId21" Type="http://schemas.openxmlformats.org/officeDocument/2006/relationships/image" Target="media/image4.png"/><Relationship Id="rId13" Type="http://schemas.openxmlformats.org/officeDocument/2006/relationships/hyperlink" Target="https://github.com/solidproof/projects/tree/main/2024/ETFSwap" TargetMode="External"/><Relationship Id="rId24" Type="http://schemas.openxmlformats.org/officeDocument/2006/relationships/image" Target="media/image2.png"/><Relationship Id="rId12" Type="http://schemas.openxmlformats.org/officeDocument/2006/relationships/hyperlink" Target="https://github.com/solidproof/projects/tree/main/2024/ETFSwap"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tfswappresale.com/" TargetMode="External"/><Relationship Id="rId15" Type="http://schemas.openxmlformats.org/officeDocument/2006/relationships/hyperlink" Target="https://coinmarketcap.com/currencies/xrp/" TargetMode="External"/><Relationship Id="rId14" Type="http://schemas.openxmlformats.org/officeDocument/2006/relationships/hyperlink" Target="https://www.cyberscope.io/audits/etfswap" TargetMode="External"/><Relationship Id="rId17" Type="http://schemas.openxmlformats.org/officeDocument/2006/relationships/hyperlink" Target="https://etfswappresale.com/" TargetMode="External"/><Relationship Id="rId16" Type="http://schemas.openxmlformats.org/officeDocument/2006/relationships/hyperlink" Target="https://coinmarketcap.com/currencies/dogecoin/" TargetMode="External"/><Relationship Id="rId5" Type="http://schemas.openxmlformats.org/officeDocument/2006/relationships/styles" Target="styles.xml"/><Relationship Id="rId19" Type="http://schemas.openxmlformats.org/officeDocument/2006/relationships/hyperlink" Target="https://etfswappresale.com/" TargetMode="External"/><Relationship Id="rId6" Type="http://schemas.openxmlformats.org/officeDocument/2006/relationships/hyperlink" Target="https://etfswappresale.com/" TargetMode="External"/><Relationship Id="rId18" Type="http://schemas.openxmlformats.org/officeDocument/2006/relationships/hyperlink" Target="https://etfswappresale.com/" TargetMode="External"/><Relationship Id="rId7" Type="http://schemas.openxmlformats.org/officeDocument/2006/relationships/hyperlink" Target="https://etfswappresale.com/" TargetMode="External"/><Relationship Id="rId8" Type="http://schemas.openxmlformats.org/officeDocument/2006/relationships/hyperlink" Target="https://etfswappresa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