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w:t>
      </w:r>
      <w:r w:rsidDel="00000000" w:rsidR="00000000" w:rsidRPr="00000000">
        <w:rPr>
          <w:sz w:val="24"/>
          <w:szCs w:val="24"/>
          <w:rtl w:val="0"/>
        </w:rPr>
        <w:t xml:space="preserve">Ripple (XRP) and Cardano (ADA) lag while WallitIQ (WLTQ) at $0.04 promises 500,000% returns by 2026.</w:t>
      </w:r>
      <w:r w:rsidDel="00000000" w:rsidR="00000000" w:rsidRPr="00000000">
        <w:rPr>
          <w:sz w:val="24"/>
          <w:szCs w:val="24"/>
          <w:rtl w:val="0"/>
        </w:rPr>
        <w:br w:type="textWrapping"/>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Keywords:</w:t>
      </w:r>
    </w:p>
    <w:p w:rsidR="00000000" w:rsidDel="00000000" w:rsidP="00000000" w:rsidRDefault="00000000" w:rsidRPr="00000000" w14:paraId="00000003">
      <w:pPr>
        <w:rPr>
          <w:sz w:val="24"/>
          <w:szCs w:val="24"/>
        </w:rPr>
      </w:pPr>
      <w:r w:rsidDel="00000000" w:rsidR="00000000" w:rsidRPr="00000000">
        <w:rPr>
          <w:sz w:val="24"/>
          <w:szCs w:val="24"/>
          <w:rtl w:val="0"/>
        </w:rPr>
        <w:t xml:space="preserve">Ripple </w:t>
      </w:r>
    </w:p>
    <w:p w:rsidR="00000000" w:rsidDel="00000000" w:rsidP="00000000" w:rsidRDefault="00000000" w:rsidRPr="00000000" w14:paraId="00000004">
      <w:pPr>
        <w:rPr>
          <w:sz w:val="24"/>
          <w:szCs w:val="24"/>
        </w:rPr>
      </w:pPr>
      <w:r w:rsidDel="00000000" w:rsidR="00000000" w:rsidRPr="00000000">
        <w:rPr>
          <w:sz w:val="24"/>
          <w:szCs w:val="24"/>
          <w:rtl w:val="0"/>
        </w:rPr>
        <w:t xml:space="preserve">XRP</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Cardano</w:t>
      </w:r>
    </w:p>
    <w:p w:rsidR="00000000" w:rsidDel="00000000" w:rsidP="00000000" w:rsidRDefault="00000000" w:rsidRPr="00000000" w14:paraId="00000006">
      <w:pPr>
        <w:rPr>
          <w:sz w:val="24"/>
          <w:szCs w:val="24"/>
        </w:rPr>
      </w:pPr>
      <w:r w:rsidDel="00000000" w:rsidR="00000000" w:rsidRPr="00000000">
        <w:rPr>
          <w:sz w:val="24"/>
          <w:szCs w:val="24"/>
          <w:rtl w:val="0"/>
        </w:rPr>
        <w:t xml:space="preserve">ADA </w:t>
      </w:r>
    </w:p>
    <w:p w:rsidR="00000000" w:rsidDel="00000000" w:rsidP="00000000" w:rsidRDefault="00000000" w:rsidRPr="00000000" w14:paraId="00000007">
      <w:pPr>
        <w:rPr>
          <w:sz w:val="24"/>
          <w:szCs w:val="24"/>
        </w:rPr>
      </w:pPr>
      <w:r w:rsidDel="00000000" w:rsidR="00000000" w:rsidRPr="00000000">
        <w:rPr>
          <w:sz w:val="24"/>
          <w:szCs w:val="24"/>
          <w:rtl w:val="0"/>
        </w:rPr>
        <w:t xml:space="preserve">WallitIQ</w:t>
      </w:r>
    </w:p>
    <w:p w:rsidR="00000000" w:rsidDel="00000000" w:rsidP="00000000" w:rsidRDefault="00000000" w:rsidRPr="00000000" w14:paraId="00000008">
      <w:pPr>
        <w:rPr/>
      </w:pPr>
      <w:r w:rsidDel="00000000" w:rsidR="00000000" w:rsidRPr="00000000">
        <w:rPr>
          <w:sz w:val="24"/>
          <w:szCs w:val="24"/>
          <w:rtl w:val="0"/>
        </w:rPr>
        <w:t xml:space="preserve">WLTQ</w:t>
      </w:r>
      <w:r w:rsidDel="00000000" w:rsidR="00000000" w:rsidRPr="00000000">
        <w:rPr>
          <w:rtl w:val="0"/>
        </w:rPr>
      </w:r>
    </w:p>
    <w:p w:rsidR="00000000" w:rsidDel="00000000" w:rsidP="00000000" w:rsidRDefault="00000000" w:rsidRPr="00000000" w14:paraId="00000009">
      <w:pPr>
        <w:pStyle w:val="Heading1"/>
        <w:keepNext w:val="0"/>
        <w:keepLines w:val="0"/>
        <w:spacing w:after="0" w:before="200" w:lineRule="auto"/>
        <w:rPr>
          <w:b w:val="1"/>
          <w:color w:val="0e101a"/>
        </w:rPr>
      </w:pPr>
      <w:bookmarkStart w:colFirst="0" w:colLast="0" w:name="_xfw1ionr6x5t" w:id="0"/>
      <w:bookmarkEnd w:id="0"/>
      <w:r w:rsidDel="00000000" w:rsidR="00000000" w:rsidRPr="00000000">
        <w:rPr>
          <w:b w:val="1"/>
          <w:color w:val="0e101a"/>
          <w:rtl w:val="0"/>
        </w:rPr>
        <w:t xml:space="preserve">Retire In 2026: WallitIQ (WLTQ) At $0.04 Offers 500,000% Returns – XRP, ADA Can’t Touch This!</w:t>
      </w:r>
    </w:p>
    <w:p w:rsidR="00000000" w:rsidDel="00000000" w:rsidP="00000000" w:rsidRDefault="00000000" w:rsidRPr="00000000" w14:paraId="0000000A">
      <w:pPr>
        <w:spacing w:before="200" w:lineRule="auto"/>
        <w:rPr>
          <w:color w:val="0e101a"/>
          <w:sz w:val="24"/>
          <w:szCs w:val="24"/>
        </w:rPr>
      </w:pPr>
      <w:r w:rsidDel="00000000" w:rsidR="00000000" w:rsidRPr="00000000">
        <w:rPr>
          <w:color w:val="0e101a"/>
          <w:sz w:val="24"/>
          <w:szCs w:val="24"/>
          <w:rtl w:val="0"/>
        </w:rPr>
        <w:t xml:space="preserve">Imagine retiring in 2026. It sounds like a distant dream for most, but what if it were within reach? While established cryptocurrencies like Ripple (XRP) and Cardano (ADA) have seen their share of gains, they pale in comparison to the explosive potential of WallitIQ (WLTQ). At a current price of just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WallitIQ (WLTQ) promises a staggering</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500,000% return by 2026</w:t>
        </w:r>
      </w:hyperlink>
      <w:r w:rsidDel="00000000" w:rsidR="00000000" w:rsidRPr="00000000">
        <w:rPr>
          <w:color w:val="0e101a"/>
          <w:sz w:val="24"/>
          <w:szCs w:val="24"/>
          <w:rtl w:val="0"/>
        </w:rPr>
        <w:t xml:space="preserve">. This predicted figure leaves Ripple (XRP) and Cardano (ADA) in the dust.</w:t>
      </w:r>
    </w:p>
    <w:p w:rsidR="00000000" w:rsidDel="00000000" w:rsidP="00000000" w:rsidRDefault="00000000" w:rsidRPr="00000000" w14:paraId="0000000B">
      <w:pPr>
        <w:pStyle w:val="Heading2"/>
        <w:keepNext w:val="0"/>
        <w:keepLines w:val="0"/>
        <w:spacing w:after="0" w:before="200" w:lineRule="auto"/>
        <w:rPr>
          <w:b w:val="1"/>
          <w:color w:val="0e101a"/>
        </w:rPr>
      </w:pPr>
      <w:bookmarkStart w:colFirst="0" w:colLast="0" w:name="_a8yqfcdqqh23" w:id="1"/>
      <w:bookmarkEnd w:id="1"/>
      <w:r w:rsidDel="00000000" w:rsidR="00000000" w:rsidRPr="00000000">
        <w:rPr>
          <w:b w:val="1"/>
          <w:color w:val="0e101a"/>
          <w:rtl w:val="0"/>
        </w:rPr>
        <w:t xml:space="preserve">WallitIQ (WLTQ) Enters The Final Presale Stage With A Potential 500,000% ROI In 2026.</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WallitIQ (WLTQ) is beyond another presale event. It is the ultimate wealth-generation opportunity of this bull cycle. WallitIQ (WLTQ) is skyrocketing with a bold mission to deliver a</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staggering 500,000% return by 2026</w:t>
        </w:r>
      </w:hyperlink>
      <w:r w:rsidDel="00000000" w:rsidR="00000000" w:rsidRPr="00000000">
        <w:rPr>
          <w:color w:val="0e101a"/>
          <w:sz w:val="24"/>
          <w:szCs w:val="24"/>
          <w:rtl w:val="0"/>
        </w:rPr>
        <w:t xml:space="preserve">. With its current presale price of just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investors have a once-in-a-lifetime chance to enter at ground level before it explodes onto the market. The projection means the digital token will trade at $210 by 2026.</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WallitIQ (WLTQ) possesses cutting-edge AI technology and real-world applications. As such, institutional interests have set this altcoin apart from the rest. It has already gained traction among crypto elites and high-net-worth investors, who recognize its massive potential. Early adopters are likely to reap the greatest rewards. As its final presale stage approaches, the window for early adoption is narrowing. </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Having announced the </w:t>
      </w:r>
      <w:r w:rsidDel="00000000" w:rsidR="00000000" w:rsidRPr="00000000">
        <w:rPr>
          <w:b w:val="1"/>
          <w:color w:val="0e101a"/>
          <w:sz w:val="24"/>
          <w:szCs w:val="24"/>
          <w:rtl w:val="0"/>
        </w:rPr>
        <w:t xml:space="preserve">launch of its Beta Platform</w:t>
      </w:r>
      <w:r w:rsidDel="00000000" w:rsidR="00000000" w:rsidRPr="00000000">
        <w:rPr>
          <w:color w:val="0e101a"/>
          <w:sz w:val="24"/>
          <w:szCs w:val="24"/>
          <w:rtl w:val="0"/>
        </w:rPr>
        <w:t xml:space="preserve">, crypto investors are becoming a part of WallitIQ's (WLTQ) rapid presale activity. Traders can utilize the predictive model to amplify their investments, while the AI fraud detector can detect suspicious activities. The </w:t>
      </w:r>
      <w:r w:rsidDel="00000000" w:rsidR="00000000" w:rsidRPr="00000000">
        <w:rPr>
          <w:b w:val="1"/>
          <w:color w:val="0e101a"/>
          <w:sz w:val="24"/>
          <w:szCs w:val="24"/>
          <w:rtl w:val="0"/>
        </w:rPr>
        <w:t xml:space="preserve">Crypto Wallet Management Mobile App</w:t>
      </w:r>
      <w:r w:rsidDel="00000000" w:rsidR="00000000" w:rsidRPr="00000000">
        <w:rPr>
          <w:color w:val="0e101a"/>
          <w:sz w:val="24"/>
          <w:szCs w:val="24"/>
          <w:rtl w:val="0"/>
        </w:rPr>
        <w:t xml:space="preserve"> provides a wholesome trading experience for investors to manage their transactions, track real-time price changes, and view their transaction history. Crypto beginners can access over </w:t>
      </w:r>
      <w:r w:rsidDel="00000000" w:rsidR="00000000" w:rsidRPr="00000000">
        <w:rPr>
          <w:b w:val="1"/>
          <w:color w:val="0e101a"/>
          <w:sz w:val="24"/>
          <w:szCs w:val="24"/>
          <w:rtl w:val="0"/>
        </w:rPr>
        <w:t xml:space="preserve">1,000 cryptocurrencies,</w:t>
      </w:r>
      <w:r w:rsidDel="00000000" w:rsidR="00000000" w:rsidRPr="00000000">
        <w:rPr>
          <w:color w:val="0e101a"/>
          <w:sz w:val="24"/>
          <w:szCs w:val="24"/>
          <w:rtl w:val="0"/>
        </w:rPr>
        <w:t xml:space="preserve"> while enthusiasts seeking higher returns can stake this digital altcoin for up to </w:t>
      </w:r>
      <w:r w:rsidDel="00000000" w:rsidR="00000000" w:rsidRPr="00000000">
        <w:rPr>
          <w:b w:val="1"/>
          <w:color w:val="0e101a"/>
          <w:sz w:val="24"/>
          <w:szCs w:val="24"/>
          <w:rtl w:val="0"/>
        </w:rPr>
        <w:t xml:space="preserve">180% APY.</w:t>
      </w:r>
      <w:r w:rsidDel="00000000" w:rsidR="00000000" w:rsidRPr="00000000">
        <w:rPr>
          <w:color w:val="0e101a"/>
          <w:sz w:val="24"/>
          <w:szCs w:val="24"/>
          <w:rtl w:val="0"/>
        </w:rPr>
        <w:t xml:space="preserve">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Having completed</w:t>
      </w:r>
      <w:hyperlink r:id="rId10">
        <w:r w:rsidDel="00000000" w:rsidR="00000000" w:rsidRPr="00000000">
          <w:rPr>
            <w:color w:val="1155cc"/>
            <w:sz w:val="24"/>
            <w:szCs w:val="24"/>
            <w:u w:val="single"/>
            <w:rtl w:val="0"/>
          </w:rPr>
          <w:t xml:space="preserve"> </w:t>
        </w:r>
      </w:hyperlink>
      <w:hyperlink r:id="rId11">
        <w:r w:rsidDel="00000000" w:rsidR="00000000" w:rsidRPr="00000000">
          <w:rPr>
            <w:color w:val="4a6ee0"/>
            <w:sz w:val="24"/>
            <w:szCs w:val="24"/>
            <w:u w:val="single"/>
            <w:rtl w:val="0"/>
          </w:rPr>
          <w:t xml:space="preserve">a smart contract audit</w:t>
        </w:r>
      </w:hyperlink>
      <w:r w:rsidDel="00000000" w:rsidR="00000000" w:rsidRPr="00000000">
        <w:rPr>
          <w:color w:val="0e101a"/>
          <w:sz w:val="24"/>
          <w:szCs w:val="24"/>
          <w:rtl w:val="0"/>
        </w:rPr>
        <w:t xml:space="preserve"> with SolidProof, all investments are now secured on the network. Hence, investors can focus on trading before WallitIQ (WLTQ) reaches its full market potential. The 2026 projection has created a frenzy for interested investors. The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entry point is expected to surge in the coming weeks. Hence, veterans have advised the crypto community to invest before the tokens are sold out.</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The numbers don’t lie. You would agree that a 500,000% growth would turn a modest investment into generational wealth. However, opportunities like this are not forever. Buy the WallitIQ (WLTQ) today before it enters the mainstream market, where its explosive rise will no longer be a secret. Leave the sidelines and secure your financial future. The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WallitIQ (WLTQ) is your ticket to an early retirement.</w:t>
      </w:r>
    </w:p>
    <w:p w:rsidR="00000000" w:rsidDel="00000000" w:rsidP="00000000" w:rsidRDefault="00000000" w:rsidRPr="00000000" w14:paraId="00000011">
      <w:pPr>
        <w:pStyle w:val="Heading2"/>
        <w:keepNext w:val="0"/>
        <w:keepLines w:val="0"/>
        <w:spacing w:after="0" w:before="200" w:lineRule="auto"/>
        <w:rPr>
          <w:b w:val="1"/>
          <w:color w:val="0e101a"/>
        </w:rPr>
      </w:pPr>
      <w:bookmarkStart w:colFirst="0" w:colLast="0" w:name="_clr9kbxjtkt5" w:id="2"/>
      <w:bookmarkEnd w:id="2"/>
      <w:r w:rsidDel="00000000" w:rsidR="00000000" w:rsidRPr="00000000">
        <w:rPr>
          <w:b w:val="1"/>
          <w:color w:val="0e101a"/>
          <w:rtl w:val="0"/>
        </w:rPr>
        <w:t xml:space="preserve">Cardano (ADA) Shows Recovery Signs After A 12% Decline.</w:t>
      </w:r>
    </w:p>
    <w:p w:rsidR="00000000" w:rsidDel="00000000" w:rsidP="00000000" w:rsidRDefault="00000000" w:rsidRPr="00000000" w14:paraId="00000012">
      <w:pPr>
        <w:spacing w:before="200" w:lineRule="auto"/>
        <w:rPr>
          <w:color w:val="0e101a"/>
          <w:sz w:val="24"/>
          <w:szCs w:val="24"/>
        </w:rPr>
      </w:pPr>
      <w:hyperlink r:id="rId12">
        <w:r w:rsidDel="00000000" w:rsidR="00000000" w:rsidRPr="00000000">
          <w:rPr>
            <w:color w:val="1155cc"/>
            <w:sz w:val="24"/>
            <w:szCs w:val="24"/>
            <w:u w:val="single"/>
            <w:rtl w:val="0"/>
          </w:rPr>
          <w:t xml:space="preserve">Cardano (ADA)</w:t>
        </w:r>
      </w:hyperlink>
      <w:r w:rsidDel="00000000" w:rsidR="00000000" w:rsidRPr="00000000">
        <w:rPr>
          <w:color w:val="0e101a"/>
          <w:sz w:val="24"/>
          <w:szCs w:val="24"/>
          <w:rtl w:val="0"/>
        </w:rPr>
        <w:t xml:space="preserve"> declined by 12% in the past few days. This price performance discouraged Cardano (ADA) enthusiasts who wanted a bullish start to February. However, Cardano (ADA) has shown signs of recovery, recording a 481.87% growth in trading volume. This increase in trading volume has pushed Cardano (ADA) to a new support level, potentially paving the way for further uptrends. </w:t>
      </w:r>
    </w:p>
    <w:p w:rsidR="00000000" w:rsidDel="00000000" w:rsidP="00000000" w:rsidRDefault="00000000" w:rsidRPr="00000000" w14:paraId="00000013">
      <w:pPr>
        <w:pStyle w:val="Heading2"/>
        <w:keepNext w:val="0"/>
        <w:keepLines w:val="0"/>
        <w:spacing w:after="0" w:before="200" w:lineRule="auto"/>
        <w:rPr>
          <w:b w:val="1"/>
          <w:color w:val="0e101a"/>
        </w:rPr>
      </w:pPr>
      <w:bookmarkStart w:colFirst="0" w:colLast="0" w:name="_j5pfne1myb7j" w:id="3"/>
      <w:bookmarkEnd w:id="3"/>
      <w:r w:rsidDel="00000000" w:rsidR="00000000" w:rsidRPr="00000000">
        <w:rPr>
          <w:b w:val="1"/>
          <w:color w:val="0e101a"/>
          <w:rtl w:val="0"/>
        </w:rPr>
        <w:t xml:space="preserve">Ongoing Lawsuit Casts Shadow Over Ripple’s (XRP) Future</w:t>
      </w:r>
    </w:p>
    <w:p w:rsidR="00000000" w:rsidDel="00000000" w:rsidP="00000000" w:rsidRDefault="00000000" w:rsidRPr="00000000" w14:paraId="00000014">
      <w:pPr>
        <w:spacing w:before="200" w:lineRule="auto"/>
        <w:rPr>
          <w:color w:val="0e101a"/>
          <w:sz w:val="24"/>
          <w:szCs w:val="24"/>
        </w:rPr>
      </w:pPr>
      <w:hyperlink r:id="rId13">
        <w:r w:rsidDel="00000000" w:rsidR="00000000" w:rsidRPr="00000000">
          <w:rPr>
            <w:color w:val="1155cc"/>
            <w:sz w:val="24"/>
            <w:szCs w:val="24"/>
            <w:u w:val="single"/>
            <w:rtl w:val="0"/>
          </w:rPr>
          <w:t xml:space="preserve">Ripple (XRP)</w:t>
        </w:r>
      </w:hyperlink>
      <w:r w:rsidDel="00000000" w:rsidR="00000000" w:rsidRPr="00000000">
        <w:rPr>
          <w:color w:val="0e101a"/>
          <w:sz w:val="24"/>
          <w:szCs w:val="24"/>
          <w:rtl w:val="0"/>
        </w:rPr>
        <w:t xml:space="preserve"> has been embroiled in legal battles for some time. While the token community hoped for a breakthrough in 2025, crypto investors believe Ripple (XRP) is in for a long ride due to the ongoing lawsuits. The response of the Ripple (XRP) whale network has worsened the situation. They have transitioned from the low-performing token to WallitIQ (WLTQ), which is projected to yield returns of 500,000% by 2026. </w:t>
      </w:r>
    </w:p>
    <w:p w:rsidR="00000000" w:rsidDel="00000000" w:rsidP="00000000" w:rsidRDefault="00000000" w:rsidRPr="00000000" w14:paraId="00000015">
      <w:pPr>
        <w:pStyle w:val="Heading2"/>
        <w:keepNext w:val="0"/>
        <w:keepLines w:val="0"/>
        <w:spacing w:after="0" w:before="200" w:lineRule="auto"/>
        <w:rPr>
          <w:b w:val="1"/>
          <w:color w:val="0e101a"/>
        </w:rPr>
      </w:pPr>
      <w:bookmarkStart w:colFirst="0" w:colLast="0" w:name="_y4yoao3e1mas" w:id="4"/>
      <w:bookmarkEnd w:id="4"/>
      <w:r w:rsidDel="00000000" w:rsidR="00000000" w:rsidRPr="00000000">
        <w:rPr>
          <w:b w:val="1"/>
          <w:color w:val="0e101a"/>
          <w:rtl w:val="0"/>
        </w:rPr>
        <w:t xml:space="preserve">WallitIQ’s (WLTQ) Presale Is Your Ticket To Retirement </w:t>
      </w:r>
    </w:p>
    <w:p w:rsidR="00000000" w:rsidDel="00000000" w:rsidP="00000000" w:rsidRDefault="00000000" w:rsidRPr="00000000" w14:paraId="00000016">
      <w:pPr>
        <w:spacing w:before="200" w:lineRule="auto"/>
        <w:rPr>
          <w:color w:val="0e101a"/>
          <w:sz w:val="24"/>
          <w:szCs w:val="24"/>
        </w:rPr>
      </w:pPr>
      <w:r w:rsidDel="00000000" w:rsidR="00000000" w:rsidRPr="00000000">
        <w:rPr>
          <w:color w:val="0e101a"/>
          <w:sz w:val="24"/>
          <w:szCs w:val="24"/>
          <w:rtl w:val="0"/>
        </w:rPr>
        <w:t xml:space="preserve">The opportunity to retire by 2026 may seem ambitious, but for those who recognize the potential of WallitIQ (WLTQ) early, it could become a reality. While Ripple (XRP) and Cardano (ADA) continue to lag, WallitIQ’s (WLTQ) projected 500,000% returns make it a once-in-a-lifetime investment opportunity. With its low entry price of</w:t>
      </w:r>
      <w:r w:rsidDel="00000000" w:rsidR="00000000" w:rsidRPr="00000000">
        <w:rPr>
          <w:b w:val="1"/>
          <w:color w:val="0e101a"/>
          <w:sz w:val="24"/>
          <w:szCs w:val="24"/>
          <w:rtl w:val="0"/>
        </w:rPr>
        <w:t xml:space="preserve"> $0.0420</w:t>
      </w:r>
      <w:r w:rsidDel="00000000" w:rsidR="00000000" w:rsidRPr="00000000">
        <w:rPr>
          <w:color w:val="0e101a"/>
          <w:sz w:val="24"/>
          <w:szCs w:val="24"/>
          <w:rtl w:val="0"/>
        </w:rPr>
        <w:t xml:space="preserve"> and an upward trajectory that far surpasses traditional altcoins, WallitIQ (WLTQ) is setting the stage for unprecedented wealth creation.</w:t>
      </w:r>
    </w:p>
    <w:p w:rsidR="00000000" w:rsidDel="00000000" w:rsidP="00000000" w:rsidRDefault="00000000" w:rsidRPr="00000000" w14:paraId="00000017">
      <w:pPr>
        <w:spacing w:before="200" w:lineRule="auto"/>
        <w:rPr>
          <w:color w:val="0e101a"/>
          <w:sz w:val="24"/>
          <w:szCs w:val="24"/>
        </w:rPr>
      </w:pPr>
      <w:r w:rsidDel="00000000" w:rsidR="00000000" w:rsidRPr="00000000">
        <w:rPr>
          <w:color w:val="0e101a"/>
          <w:sz w:val="24"/>
          <w:szCs w:val="24"/>
          <w:rtl w:val="0"/>
        </w:rPr>
        <w:t xml:space="preserve">The crypto market moves fast, and those who hesitate risk missing out on life-changing gains. With 2026 on the horizon, the time to act is now. Don’t get left behind—secure your position in WallitIQ (WLTQ) today and take the</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first step toward financial freedom</w:t>
        </w:r>
      </w:hyperlink>
      <w:r w:rsidDel="00000000" w:rsidR="00000000" w:rsidRPr="00000000">
        <w:rPr>
          <w:color w:val="0e101a"/>
          <w:sz w:val="24"/>
          <w:szCs w:val="24"/>
          <w:rtl w:val="0"/>
        </w:rPr>
        <w:t xml:space="preserve">.</w:t>
      </w:r>
    </w:p>
    <w:p w:rsidR="00000000" w:rsidDel="00000000" w:rsidP="00000000" w:rsidRDefault="00000000" w:rsidRPr="00000000" w14:paraId="00000018">
      <w:pPr>
        <w:spacing w:before="200" w:lineRule="auto"/>
        <w:rPr>
          <w:color w:val="0e101a"/>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rtl w:val="0"/>
        </w:rPr>
      </w:r>
    </w:p>
    <w:p w:rsidR="00000000" w:rsidDel="00000000" w:rsidP="00000000" w:rsidRDefault="00000000" w:rsidRPr="00000000" w14:paraId="00000019">
      <w:pPr>
        <w:spacing w:before="200" w:lineRule="auto"/>
        <w:rPr/>
      </w:pPr>
      <w:hyperlink r:id="rId16">
        <w:r w:rsidDel="00000000" w:rsidR="00000000" w:rsidRPr="00000000">
          <w:rPr>
            <w:b w:val="1"/>
            <w:color w:val="4a6ee0"/>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A">
      <w:pPr>
        <w:spacing w:before="200" w:lineRule="auto"/>
        <w:rPr/>
      </w:pPr>
      <w:hyperlink r:id="rId17">
        <w:r w:rsidDel="00000000" w:rsidR="00000000" w:rsidRPr="00000000">
          <w:rPr>
            <w:b w:val="1"/>
            <w:color w:val="4a6ee0"/>
            <w:sz w:val="24"/>
            <w:szCs w:val="24"/>
            <w:u w:val="single"/>
            <w:rtl w:val="0"/>
          </w:rPr>
          <w:t xml:space="preserve">Join the WallitIQ (WLTQ) Community</w:t>
        </w:r>
      </w:hyperlink>
      <w:r w:rsidDel="00000000" w:rsidR="00000000" w:rsidRPr="00000000">
        <w:rPr>
          <w:rtl w:val="0"/>
        </w:rPr>
      </w:r>
    </w:p>
    <w:p w:rsidR="00000000" w:rsidDel="00000000" w:rsidP="00000000" w:rsidRDefault="00000000" w:rsidRPr="00000000" w14:paraId="0000001B">
      <w:pPr>
        <w:spacing w:before="200" w:lineRule="auto"/>
        <w:rPr/>
      </w:pPr>
      <w:r w:rsidDel="00000000" w:rsidR="00000000" w:rsidRPr="00000000">
        <w:rPr>
          <w:rtl w:val="0"/>
        </w:rPr>
        <w:br w:type="textWrapping"/>
      </w:r>
      <w:r w:rsidDel="00000000" w:rsidR="00000000" w:rsidRPr="00000000">
        <w:rPr/>
        <w:drawing>
          <wp:inline distB="114300" distT="114300" distL="114300" distR="114300">
            <wp:extent cx="5943600" cy="2912442"/>
            <wp:effectExtent b="0" l="0" r="0" t="0"/>
            <wp:docPr id="3" name="image2.png"/>
            <a:graphic>
              <a:graphicData uri="http://schemas.openxmlformats.org/drawingml/2006/picture">
                <pic:pic>
                  <pic:nvPicPr>
                    <pic:cNvPr id="0" name="image2.png"/>
                    <pic:cNvPicPr preferRelativeResize="0"/>
                  </pic:nvPicPr>
                  <pic:blipFill>
                    <a:blip r:embed="rId18"/>
                    <a:srcRect b="7478" l="0" r="0" t="5347"/>
                    <a:stretch>
                      <a:fillRect/>
                    </a:stretch>
                  </pic:blipFill>
                  <pic:spPr>
                    <a:xfrm>
                      <a:off x="0" y="0"/>
                      <a:ext cx="5943600" cy="2912442"/>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935643"/>
            <wp:effectExtent b="0" l="0" r="0" t="0"/>
            <wp:docPr id="1" name="image1.png"/>
            <a:graphic>
              <a:graphicData uri="http://schemas.openxmlformats.org/drawingml/2006/picture">
                <pic:pic>
                  <pic:nvPicPr>
                    <pic:cNvPr id="0" name="image1.png"/>
                    <pic:cNvPicPr preferRelativeResize="0"/>
                  </pic:nvPicPr>
                  <pic:blipFill>
                    <a:blip r:embed="rId19"/>
                    <a:srcRect b="6490" l="0" r="0" t="5756"/>
                    <a:stretch>
                      <a:fillRect/>
                    </a:stretch>
                  </pic:blipFill>
                  <pic:spPr>
                    <a:xfrm>
                      <a:off x="0" y="0"/>
                      <a:ext cx="5943600" cy="293564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778931"/>
            <wp:effectExtent b="0" l="0" r="0" t="0"/>
            <wp:docPr id="2" name="image3.png"/>
            <a:graphic>
              <a:graphicData uri="http://schemas.openxmlformats.org/drawingml/2006/picture">
                <pic:pic>
                  <pic:nvPicPr>
                    <pic:cNvPr id="0" name="image3.png"/>
                    <pic:cNvPicPr preferRelativeResize="0"/>
                  </pic:nvPicPr>
                  <pic:blipFill>
                    <a:blip r:embed="rId20"/>
                    <a:srcRect b="5773" l="0" r="0" t="11040"/>
                    <a:stretch>
                      <a:fillRect/>
                    </a:stretch>
                  </pic:blipFill>
                  <pic:spPr>
                    <a:xfrm>
                      <a:off x="0" y="0"/>
                      <a:ext cx="5943600" cy="277893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br w:type="textWrapping"/>
      </w:r>
      <w:r w:rsidDel="00000000" w:rsidR="00000000" w:rsidRPr="00000000">
        <w:rPr/>
        <w:drawing>
          <wp:inline distB="114300" distT="114300" distL="114300" distR="114300">
            <wp:extent cx="5943600" cy="2758487"/>
            <wp:effectExtent b="0" l="0" r="0" t="0"/>
            <wp:docPr id="4" name="image4.png"/>
            <a:graphic>
              <a:graphicData uri="http://schemas.openxmlformats.org/drawingml/2006/picture">
                <pic:pic>
                  <pic:nvPicPr>
                    <pic:cNvPr id="0" name="image4.png"/>
                    <pic:cNvPicPr preferRelativeResize="0"/>
                  </pic:nvPicPr>
                  <pic:blipFill>
                    <a:blip r:embed="rId21"/>
                    <a:srcRect b="7244" l="0" r="0" t="10143"/>
                    <a:stretch>
                      <a:fillRect/>
                    </a:stretch>
                  </pic:blipFill>
                  <pic:spPr>
                    <a:xfrm>
                      <a:off x="0" y="0"/>
                      <a:ext cx="5943600" cy="275848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github.com/solidproof/Projects/blob/main/2024/WallitIQ/Smartcontract_Audit_Solidproof_WallitIQ.pdf" TargetMode="External"/><Relationship Id="rId10" Type="http://schemas.openxmlformats.org/officeDocument/2006/relationships/hyperlink" Target="https://github.com/solidproof/Projects/blob/main/2024/WallitIQ/Smartcontract_Audit_Solidproof_WallitIQ.pdf" TargetMode="External"/><Relationship Id="rId21" Type="http://schemas.openxmlformats.org/officeDocument/2006/relationships/image" Target="media/image4.png"/><Relationship Id="rId13" Type="http://schemas.openxmlformats.org/officeDocument/2006/relationships/hyperlink" Target="https://coinmarketcap.com/currencies/xrp/" TargetMode="External"/><Relationship Id="rId12" Type="http://schemas.openxmlformats.org/officeDocument/2006/relationships/hyperlink" Target="https://coinmarketcap.com/currencies/cardan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allitiq.io/" TargetMode="External"/><Relationship Id="rId15" Type="http://schemas.openxmlformats.org/officeDocument/2006/relationships/hyperlink" Target="https://wallitiq.io/" TargetMode="External"/><Relationship Id="rId14" Type="http://schemas.openxmlformats.org/officeDocument/2006/relationships/hyperlink" Target="https://wallitiq.io/" TargetMode="External"/><Relationship Id="rId17" Type="http://schemas.openxmlformats.org/officeDocument/2006/relationships/hyperlink" Target="https://linktr.ee/wallitiq" TargetMode="External"/><Relationship Id="rId16" Type="http://schemas.openxmlformats.org/officeDocument/2006/relationships/hyperlink" Target="https://wallitiq.io/?utm_source=techpoint&amp;utm_medium=20&amp;utm_campaign=1005sat"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allitiq.io/" TargetMode="External"/><Relationship Id="rId18" Type="http://schemas.openxmlformats.org/officeDocument/2006/relationships/image" Target="media/image2.png"/><Relationship Id="rId7" Type="http://schemas.openxmlformats.org/officeDocument/2006/relationships/hyperlink" Target="https://wallitiq.io/" TargetMode="External"/><Relationship Id="rId8" Type="http://schemas.openxmlformats.org/officeDocument/2006/relationships/hyperlink" Target="https://wallitiq.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