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Calibri" w:cs="Calibri" w:eastAsia="Calibri" w:hAnsi="Calibri"/>
          <w:b/>
          <w:bCs/>
          <w:sz w:val="44"/>
          <w:szCs w:val="44"/>
        </w:rPr>
        <w:t xml:space="preserve">INTELLIGENT HEALTHCARE</w:t>
      </w:r>
    </w:p>
    <w:p>
      <w:pPr>
        <w:spacing w:after="600"/>
        <w:jc w:val="center"/>
      </w:pPr>
      <w:r>
        <w:rPr>
          <w:rFonts w:ascii="Calibri" w:cs="Calibri" w:eastAsia="Calibri" w:hAnsi="Calibri"/>
          <w:b/>
          <w:bCs/>
          <w:sz w:val="44"/>
          <w:szCs w:val="44"/>
        </w:rPr>
        <w:t xml:space="preserve">DIAGNOSTIC ASSISTANT</w:t>
      </w:r>
    </w:p>
    <w:p>
      <w:pPr>
        <w:spacing w:after="200"/>
        <w:jc w:val="center"/>
      </w:pPr>
      <w:r>
        <w:rPr>
          <w:rFonts w:ascii="Calibri" w:cs="Calibri" w:eastAsia="Calibri" w:hAnsi="Calibri"/>
          <w:i/>
          <w:iCs/>
          <w:sz w:val="26"/>
          <w:szCs w:val="26"/>
        </w:rPr>
        <w:t xml:space="preserve">Introduction to Artificial Intelligence — Capstone Project</w:t>
      </w:r>
    </w:p>
    <w:p>
      <w:pPr>
        <w:spacing w:after="100" w:before="800"/>
        <w:jc w:val="center"/>
      </w:pPr>
      <w:r>
        <w:rPr>
          <w:rFonts w:ascii="Calibri" w:cs="Calibri" w:eastAsia="Calibri" w:hAnsi="Calibri"/>
          <w:sz w:val="24"/>
          <w:szCs w:val="24"/>
        </w:rPr>
        <w:t xml:space="preserve">Final Report</w:t>
      </w:r>
    </w:p>
    <w:p>
      <w:pPr>
        <w:pBdr>
          <w:top w:val="single" w:color="1F4E78" w:sz="6"/>
        </w:pBdr>
        <w:spacing w:before="1200"/>
      </w:pPr>
    </w:p>
    <w:p>
      <w:pPr>
        <w:spacing w:after="100" w:before="300"/>
      </w:pPr>
      <w:r>
        <w:rPr>
          <w:rFonts w:ascii="Calibri" w:cs="Calibri" w:eastAsia="Calibri" w:hAnsi="Calibri"/>
          <w:b/>
          <w:bCs/>
          <w:sz w:val="22"/>
          <w:szCs w:val="22"/>
        </w:rPr>
        <w:t xml:space="preserve">AI Techniques: </w:t>
      </w:r>
      <w:r>
        <w:rPr>
          <w:rFonts w:ascii="Calibri" w:cs="Calibri" w:eastAsia="Calibri" w:hAnsi="Calibri"/>
          <w:sz w:val="22"/>
          <w:szCs w:val="22"/>
        </w:rPr>
        <w:t xml:space="preserve">Intelligent Agents, Logic, Bayesian Diagnosis, Machine Learning, Deep Neural Networks, Fuzzy Logic, AI Planning</w:t>
      </w:r>
    </w:p>
    <w:p>
      <w:pPr>
        <w:spacing w:after="100"/>
      </w:pPr>
      <w:r>
        <w:rPr>
          <w:rFonts w:ascii="Calibri" w:cs="Calibri" w:eastAsia="Calibri" w:hAnsi="Calibri"/>
          <w:b/>
          <w:bCs/>
          <w:sz w:val="22"/>
          <w:szCs w:val="22"/>
        </w:rPr>
        <w:t xml:space="preserve">System Modules: </w:t>
      </w:r>
      <w:r>
        <w:rPr>
          <w:rFonts w:ascii="Calibri" w:cs="Calibri" w:eastAsia="Calibri" w:hAnsi="Calibri"/>
          <w:sz w:val="22"/>
          <w:szCs w:val="22"/>
        </w:rPr>
        <w:t xml:space="preserve">Modules 1–7</w:t>
      </w:r>
    </w:p>
    <w:p>
      <w:pPr>
        <w:spacing w:after="100"/>
      </w:pPr>
      <w:r>
        <w:rPr>
          <w:rFonts w:ascii="Calibri" w:cs="Calibri" w:eastAsia="Calibri" w:hAnsi="Calibri"/>
          <w:b/>
          <w:bCs/>
          <w:sz w:val="22"/>
          <w:szCs w:val="22"/>
        </w:rPr>
        <w:t xml:space="preserve">Full-System Test: </w:t>
      </w:r>
      <w:r>
        <w:rPr>
          <w:rFonts w:ascii="Calibri" w:cs="Calibri" w:eastAsia="Calibri" w:hAnsi="Calibri"/>
          <w:sz w:val="22"/>
          <w:szCs w:val="22"/>
        </w:rPr>
        <w:t xml:space="preserve">5 patients</w:t>
      </w:r>
    </w:p>
    <w:p>
      <w:pPr>
        <w:spacing w:after="400"/>
      </w:pPr>
      <w:r>
        <w:rPr>
          <w:rFonts w:ascii="Calibri" w:cs="Calibri" w:eastAsia="Calibri" w:hAnsi="Calibri"/>
          <w:b/>
          <w:bCs/>
          <w:sz w:val="22"/>
          <w:szCs w:val="22"/>
        </w:rPr>
        <w:t xml:space="preserve">Model Evaluation: </w:t>
      </w:r>
      <w:r>
        <w:rPr>
          <w:rFonts w:ascii="Calibri" w:cs="Calibri" w:eastAsia="Calibri" w:hAnsi="Calibri"/>
          <w:sz w:val="22"/>
          <w:szCs w:val="22"/>
        </w:rPr>
        <w:t xml:space="preserve">8 test patients</w:t>
      </w:r>
    </w:p>
    <w:p>
      <w:pPr>
        <w:pBdr>
          <w:top w:val="single" w:color="BF8F00" w:sz="4"/>
          <w:bottom w:val="single" w:color="BF8F00" w:sz="4"/>
          <w:left w:val="single" w:color="BF8F00" w:sz="4"/>
          <w:right w:val="single" w:color="BF8F00" w:sz="4"/>
        </w:pBdr>
        <w:shd w:fill="FFF2CC" w:val="clear"/>
        <w:spacing w:after="200"/>
      </w:pPr>
      <w:r>
        <w:rPr>
          <w:rFonts w:ascii="Calibri" w:cs="Calibri" w:eastAsia="Calibri" w:hAnsi="Calibri"/>
          <w:i/>
          <w:iCs/>
          <w:sz w:val="20"/>
          <w:szCs w:val="20"/>
        </w:rPr>
        <w:t xml:space="preserve">Important: This is an academic AI prototype and is not a substitute for professional medical diagnosis, triage, or treatment.</w:t>
      </w:r>
    </w:p>
    <w:p>
      <w:r>
        <w:br w:type="page"/>
      </w:r>
    </w:p>
    <w:p>
      <w:pPr>
        <w:pStyle w:val="Heading1"/>
        <w:spacing w:after="180" w:before="360"/>
      </w:pPr>
      <w:r>
        <w:rPr>
          <w:rFonts w:ascii="Calibri" w:cs="Calibri" w:eastAsia="Calibri" w:hAnsi="Calibri"/>
        </w:rPr>
        <w:t xml:space="preserve">Executive Summary</w:t>
      </w:r>
    </w:p>
    <w:p>
      <w:pPr>
        <w:spacing w:after="200" w:line="300"/>
      </w:pPr>
      <w:r>
        <w:rPr>
          <w:rFonts w:ascii="Calibri" w:cs="Calibri" w:eastAsia="Calibri" w:hAnsi="Calibri"/>
          <w:sz w:val="22"/>
          <w:szCs w:val="22"/>
        </w:rPr>
        <w:t xml:space="preserve">The Intelligent Healthcare Diagnostic Assistant is a multi-technique artificial intelligence capstone system designed to demonstrate how different AI approaches can work together in a healthcare diagnostic workflow. The system combines an intelligent agent with a knowledge base, Bayesian diagnostics, a machine-learning classifier, a deep neural network, fuzzy severity assessment, and STRIPS-style treatment planning.</w:t>
      </w:r>
    </w:p>
    <w:p>
      <w:pPr>
        <w:spacing w:after="200" w:line="300"/>
      </w:pPr>
      <w:r>
        <w:rPr>
          <w:rFonts w:ascii="Calibri" w:cs="Calibri" w:eastAsia="Calibri" w:hAnsi="Calibri"/>
          <w:sz w:val="22"/>
          <w:szCs w:val="22"/>
        </w:rPr>
        <w:t xml:space="preserve">The complete system was integrated through app.py and successfully tested with five patient cases. A separate evaluation pipeline evaluated the two learned diagnostic models using eight test patients and generated classification metrics, confusion matrices, a model comparison chart, and a CSV results file.</w:t>
      </w:r>
    </w:p>
    <w:p>
      <w:pPr>
        <w:pStyle w:val="Heading1"/>
        <w:spacing w:after="180" w:before="360"/>
      </w:pPr>
      <w:r>
        <w:rPr>
          <w:rFonts w:ascii="Calibri" w:cs="Calibri" w:eastAsia="Calibri" w:hAnsi="Calibri"/>
        </w:rPr>
        <w:t xml:space="preserve">1. Introduction</w:t>
      </w:r>
    </w:p>
    <w:p>
      <w:pPr>
        <w:spacing w:after="200" w:line="300"/>
      </w:pPr>
      <w:r>
        <w:rPr>
          <w:rFonts w:ascii="Calibri" w:cs="Calibri" w:eastAsia="Calibri" w:hAnsi="Calibri"/>
          <w:sz w:val="22"/>
          <w:szCs w:val="22"/>
        </w:rPr>
        <w:t xml:space="preserve">Healthcare diagnosis is a domain where multiple reasoning styles are useful at once: symbolic rules capture established medical knowledge, probabilistic reasoning handles uncertainty, learned models detect patterns across many cases, fuzzy logic expresses graded severity rather than sharp categories, and automated planning sequences the resulting actions. This capstone project was undertaken to explore how these distinct branches of artificial intelligence can be combined into a single, coherent decision-support pipeline rather than studied in isolation.</w:t>
      </w:r>
    </w:p>
    <w:p>
      <w:pPr>
        <w:spacing w:after="200" w:line="300"/>
      </w:pPr>
      <w:r>
        <w:rPr>
          <w:rFonts w:ascii="Calibri" w:cs="Calibri" w:eastAsia="Calibri" w:hAnsi="Calibri"/>
          <w:sz w:val="22"/>
          <w:szCs w:val="22"/>
        </w:rPr>
        <w:t xml:space="preserve">The system takes patient information — symptoms, vital signs, and history — and processes it through seven cooperating modules coordinated by an intelligent agent. The goal is not to produce a clinically deployable tool, but to demonstrate, end to end, how intelligent-agent design, knowledge representation, Bayesian inference, machine learning, deep learning, fuzzy logic, and AI planning can be integrated and evaluated within one application.</w:t>
      </w:r>
    </w:p>
    <w:p>
      <w:pPr>
        <w:pStyle w:val="Heading2"/>
        <w:spacing w:after="120" w:before="240"/>
      </w:pPr>
      <w:r>
        <w:rPr>
          <w:rFonts w:ascii="Calibri" w:cs="Calibri" w:eastAsia="Calibri" w:hAnsi="Calibri"/>
        </w:rPr>
        <w:t xml:space="preserve">1.1 Objectives</w:t>
      </w:r>
    </w:p>
    <w:p>
      <w:pPr>
        <w:spacing w:after="200" w:line="300"/>
      </w:pPr>
      <w:r>
        <w:rPr>
          <w:rFonts w:ascii="Calibri" w:cs="Calibri" w:eastAsia="Calibri" w:hAnsi="Calibri"/>
          <w:sz w:val="22"/>
          <w:szCs w:val="22"/>
        </w:rPr>
        <w:t xml:space="preserve">The project set out to:</w:t>
      </w:r>
    </w:p>
    <w:p>
      <w:pPr>
        <w:pStyle w:val="ListParagraph"/>
        <w:numPr>
          <w:ilvl w:val="0"/>
          <w:numId w:val="2"/>
        </w:numPr>
        <w:spacing w:after="100"/>
      </w:pPr>
      <w:r>
        <w:rPr>
          <w:rFonts w:ascii="Calibri" w:cs="Calibri" w:eastAsia="Calibri" w:hAnsi="Calibri"/>
          <w:sz w:val="22"/>
          <w:szCs w:val="22"/>
        </w:rPr>
        <w:t xml:space="preserve">Demonstrate intelligent-agent operation using a Perceive → Think → Act architecture.</w:t>
      </w:r>
    </w:p>
    <w:p>
      <w:pPr>
        <w:pStyle w:val="ListParagraph"/>
        <w:numPr>
          <w:ilvl w:val="0"/>
          <w:numId w:val="2"/>
        </w:numPr>
        <w:spacing w:after="100"/>
      </w:pPr>
      <w:r>
        <w:rPr>
          <w:rFonts w:ascii="Calibri" w:cs="Calibri" w:eastAsia="Calibri" w:hAnsi="Calibri"/>
          <w:sz w:val="22"/>
          <w:szCs w:val="22"/>
        </w:rPr>
        <w:t xml:space="preserve">Represent medical knowledge in a structured, queryable knowledge base.</w:t>
      </w:r>
    </w:p>
    <w:p>
      <w:pPr>
        <w:pStyle w:val="ListParagraph"/>
        <w:numPr>
          <w:ilvl w:val="0"/>
          <w:numId w:val="2"/>
        </w:numPr>
        <w:spacing w:after="100"/>
      </w:pPr>
      <w:r>
        <w:rPr>
          <w:rFonts w:ascii="Calibri" w:cs="Calibri" w:eastAsia="Calibri" w:hAnsi="Calibri"/>
          <w:sz w:val="22"/>
          <w:szCs w:val="22"/>
        </w:rPr>
        <w:t xml:space="preserve">Apply Bayesian reasoning to diagnostic inference under uncertainty.</w:t>
      </w:r>
    </w:p>
    <w:p>
      <w:pPr>
        <w:pStyle w:val="ListParagraph"/>
        <w:numPr>
          <w:ilvl w:val="0"/>
          <w:numId w:val="2"/>
        </w:numPr>
        <w:spacing w:after="100"/>
      </w:pPr>
      <w:r>
        <w:rPr>
          <w:rFonts w:ascii="Calibri" w:cs="Calibri" w:eastAsia="Calibri" w:hAnsi="Calibri"/>
          <w:sz w:val="22"/>
          <w:szCs w:val="22"/>
        </w:rPr>
        <w:t xml:space="preserve">Train and evaluate a machine-learning diagnostic classifier.</w:t>
      </w:r>
    </w:p>
    <w:p>
      <w:pPr>
        <w:pStyle w:val="ListParagraph"/>
        <w:numPr>
          <w:ilvl w:val="0"/>
          <w:numId w:val="2"/>
        </w:numPr>
        <w:spacing w:after="100"/>
      </w:pPr>
      <w:r>
        <w:rPr>
          <w:rFonts w:ascii="Calibri" w:cs="Calibri" w:eastAsia="Calibri" w:hAnsi="Calibri"/>
          <w:sz w:val="22"/>
          <w:szCs w:val="22"/>
        </w:rPr>
        <w:t xml:space="preserve">Train and evaluate a deep neural network diagnostic model.</w:t>
      </w:r>
    </w:p>
    <w:p>
      <w:pPr>
        <w:pStyle w:val="ListParagraph"/>
        <w:numPr>
          <w:ilvl w:val="0"/>
          <w:numId w:val="2"/>
        </w:numPr>
        <w:spacing w:after="100"/>
      </w:pPr>
      <w:r>
        <w:rPr>
          <w:rFonts w:ascii="Calibri" w:cs="Calibri" w:eastAsia="Calibri" w:hAnsi="Calibri"/>
          <w:sz w:val="22"/>
          <w:szCs w:val="22"/>
        </w:rPr>
        <w:t xml:space="preserve">Assess patient severity using fuzzy logic over vital signs and symptom counts.</w:t>
      </w:r>
    </w:p>
    <w:p>
      <w:pPr>
        <w:pStyle w:val="ListParagraph"/>
        <w:numPr>
          <w:ilvl w:val="0"/>
          <w:numId w:val="2"/>
        </w:numPr>
        <w:spacing w:after="100"/>
      </w:pPr>
      <w:r>
        <w:rPr>
          <w:rFonts w:ascii="Calibri" w:cs="Calibri" w:eastAsia="Calibri" w:hAnsi="Calibri"/>
          <w:sz w:val="22"/>
          <w:szCs w:val="22"/>
        </w:rPr>
        <w:t xml:space="preserve">Generate treatment-action sequences using STRIPS-style AI planning.</w:t>
      </w:r>
    </w:p>
    <w:p>
      <w:pPr>
        <w:pStyle w:val="ListParagraph"/>
        <w:numPr>
          <w:ilvl w:val="0"/>
          <w:numId w:val="2"/>
        </w:numPr>
        <w:spacing w:after="100"/>
      </w:pPr>
      <w:r>
        <w:rPr>
          <w:rFonts w:ascii="Calibri" w:cs="Calibri" w:eastAsia="Calibri" w:hAnsi="Calibri"/>
          <w:sz w:val="22"/>
          <w:szCs w:val="22"/>
        </w:rPr>
        <w:t xml:space="preserve">Integrate all seven modules into a single end-to-end application and evaluate the learned models against held-out test data.</w:t>
      </w:r>
    </w:p>
    <w:p>
      <w:pPr>
        <w:pStyle w:val="Heading2"/>
        <w:spacing w:after="120" w:before="240"/>
      </w:pPr>
      <w:r>
        <w:rPr>
          <w:rFonts w:ascii="Calibri" w:cs="Calibri" w:eastAsia="Calibri" w:hAnsi="Calibri"/>
        </w:rPr>
        <w:t xml:space="preserve">1.2 Report Structure</w:t>
      </w:r>
    </w:p>
    <w:p>
      <w:pPr>
        <w:spacing w:after="200" w:line="300"/>
      </w:pPr>
      <w:r>
        <w:rPr>
          <w:rFonts w:ascii="Calibri" w:cs="Calibri" w:eastAsia="Calibri" w:hAnsi="Calibri"/>
          <w:sz w:val="22"/>
          <w:szCs w:val="22"/>
        </w:rPr>
        <w:t xml:space="preserve">Section 2 describes the methodology, covering system architecture, the AI techniques implemented in each module, system integration, and the evaluation methodology. Section 3 presents the results of the full-system integration test and the model evaluation. Section 4 discusses the findings and known limitations. Section 5 concludes the report, and Section 6 lists references. An appendix summarizes the final deliverables checklist.</w:t>
      </w:r>
    </w:p>
    <w:p>
      <w:pPr>
        <w:pStyle w:val="Heading1"/>
        <w:spacing w:after="180" w:before="360"/>
      </w:pPr>
      <w:r>
        <w:rPr>
          <w:rFonts w:ascii="Calibri" w:cs="Calibri" w:eastAsia="Calibri" w:hAnsi="Calibri"/>
        </w:rPr>
        <w:t xml:space="preserve">2. Methodology</w:t>
      </w:r>
    </w:p>
    <w:p>
      <w:pPr>
        <w:pStyle w:val="Heading2"/>
        <w:spacing w:after="120" w:before="240"/>
      </w:pPr>
      <w:r>
        <w:rPr>
          <w:rFonts w:ascii="Calibri" w:cs="Calibri" w:eastAsia="Calibri" w:hAnsi="Calibri"/>
        </w:rPr>
        <w:t xml:space="preserve">2.1 System Architecture</w:t>
      </w:r>
    </w:p>
    <w:p>
      <w:pPr>
        <w:spacing w:after="200" w:line="300"/>
      </w:pPr>
      <w:r>
        <w:rPr>
          <w:rFonts w:ascii="Calibri" w:cs="Calibri" w:eastAsia="Calibri" w:hAnsi="Calibri"/>
          <w:sz w:val="22"/>
          <w:szCs w:val="22"/>
        </w:rPr>
        <w:t xml:space="preserve">Module 1 coordinates the system using a Perceive → Think → Act cycle. Modules 2–7 provide specialized knowledge, diagnostic, severity, and planning capabilities. Patient information is represented through the PatientPercept structure and is passed through the registered AI modules by the agent.</w:t>
      </w:r>
    </w:p>
    <w:p>
      <w:pPr>
        <w:pStyle w:val="Heading2"/>
        <w:spacing w:after="120" w:before="240"/>
      </w:pPr>
      <w:r>
        <w:rPr>
          <w:rFonts w:ascii="Calibri" w:cs="Calibri" w:eastAsia="Calibri" w:hAnsi="Calibri"/>
        </w:rPr>
        <w:t xml:space="preserve">2.2 AI Techniques Implemented</w:t>
      </w:r>
    </w:p>
    <w:p>
      <w:pPr>
        <w:pStyle w:val="ListParagraph"/>
        <w:numPr>
          <w:ilvl w:val="0"/>
          <w:numId w:val="2"/>
        </w:numPr>
        <w:spacing w:after="100"/>
      </w:pPr>
      <w:r>
        <w:rPr>
          <w:rFonts w:ascii="Calibri" w:cs="Calibri" w:eastAsia="Calibri" w:hAnsi="Calibri"/>
          <w:sz w:val="22"/>
          <w:szCs w:val="22"/>
        </w:rPr>
        <w:t xml:space="preserve">Module 1: Intelligent Agent and PEAS framework.</w:t>
      </w:r>
    </w:p>
    <w:p>
      <w:pPr>
        <w:pStyle w:val="ListParagraph"/>
        <w:numPr>
          <w:ilvl w:val="0"/>
          <w:numId w:val="2"/>
        </w:numPr>
        <w:spacing w:after="100"/>
      </w:pPr>
      <w:r>
        <w:rPr>
          <w:rFonts w:ascii="Calibri" w:cs="Calibri" w:eastAsia="Calibri" w:hAnsi="Calibri"/>
          <w:sz w:val="22"/>
          <w:szCs w:val="22"/>
        </w:rPr>
        <w:t xml:space="preserve">Module 2: Medical Knowledge Base.</w:t>
      </w:r>
    </w:p>
    <w:p>
      <w:pPr>
        <w:pStyle w:val="ListParagraph"/>
        <w:numPr>
          <w:ilvl w:val="0"/>
          <w:numId w:val="2"/>
        </w:numPr>
        <w:spacing w:after="100"/>
      </w:pPr>
      <w:r>
        <w:rPr>
          <w:rFonts w:ascii="Calibri" w:cs="Calibri" w:eastAsia="Calibri" w:hAnsi="Calibri"/>
          <w:sz w:val="22"/>
          <w:szCs w:val="22"/>
        </w:rPr>
        <w:t xml:space="preserve">Module 3: Bayesian Diagnostics.</w:t>
      </w:r>
    </w:p>
    <w:p>
      <w:pPr>
        <w:pStyle w:val="ListParagraph"/>
        <w:numPr>
          <w:ilvl w:val="0"/>
          <w:numId w:val="2"/>
        </w:numPr>
        <w:spacing w:after="100"/>
      </w:pPr>
      <w:r>
        <w:rPr>
          <w:rFonts w:ascii="Calibri" w:cs="Calibri" w:eastAsia="Calibri" w:hAnsi="Calibri"/>
          <w:sz w:val="22"/>
          <w:szCs w:val="22"/>
        </w:rPr>
        <w:t xml:space="preserve">Module 4: Machine Learning Diagnostic Classifier.</w:t>
      </w:r>
    </w:p>
    <w:p>
      <w:pPr>
        <w:pStyle w:val="ListParagraph"/>
        <w:numPr>
          <w:ilvl w:val="0"/>
          <w:numId w:val="2"/>
        </w:numPr>
        <w:spacing w:after="100"/>
      </w:pPr>
      <w:r>
        <w:rPr>
          <w:rFonts w:ascii="Calibri" w:cs="Calibri" w:eastAsia="Calibri" w:hAnsi="Calibri"/>
          <w:sz w:val="22"/>
          <w:szCs w:val="22"/>
        </w:rPr>
        <w:t xml:space="preserve">Module 5: Deep Neural Network Diagnostic Model.</w:t>
      </w:r>
    </w:p>
    <w:p>
      <w:pPr>
        <w:pStyle w:val="ListParagraph"/>
        <w:numPr>
          <w:ilvl w:val="0"/>
          <w:numId w:val="2"/>
        </w:numPr>
        <w:spacing w:after="100"/>
      </w:pPr>
      <w:r>
        <w:rPr>
          <w:rFonts w:ascii="Calibri" w:cs="Calibri" w:eastAsia="Calibri" w:hAnsi="Calibri"/>
          <w:sz w:val="22"/>
          <w:szCs w:val="22"/>
        </w:rPr>
        <w:t xml:space="preserve">Module 6: Fuzzy Logic Severity Assessor using temperature, heart rate, and symptom count.</w:t>
      </w:r>
    </w:p>
    <w:p>
      <w:pPr>
        <w:pStyle w:val="ListParagraph"/>
        <w:numPr>
          <w:ilvl w:val="0"/>
          <w:numId w:val="2"/>
        </w:numPr>
        <w:spacing w:after="100"/>
      </w:pPr>
      <w:r>
        <w:rPr>
          <w:rFonts w:ascii="Calibri" w:cs="Calibri" w:eastAsia="Calibri" w:hAnsi="Calibri"/>
          <w:sz w:val="22"/>
          <w:szCs w:val="22"/>
        </w:rPr>
        <w:t xml:space="preserve">Module 7: STRIPS-based treatment planning using breadth-first search.</w:t>
      </w:r>
    </w:p>
    <w:p>
      <w:pPr>
        <w:pStyle w:val="Heading2"/>
        <w:spacing w:after="120" w:before="240"/>
      </w:pPr>
      <w:r>
        <w:rPr>
          <w:rFonts w:ascii="Calibri" w:cs="Calibri" w:eastAsia="Calibri" w:hAnsi="Calibri"/>
        </w:rPr>
        <w:t xml:space="preserve">2.3 Full-System Integration</w:t>
      </w:r>
    </w:p>
    <w:p>
      <w:pPr>
        <w:spacing w:after="200" w:line="300"/>
      </w:pPr>
      <w:r>
        <w:rPr>
          <w:rFonts w:ascii="Calibri" w:cs="Calibri" w:eastAsia="Calibri" w:hAnsi="Calibri"/>
          <w:sz w:val="22"/>
          <w:szCs w:val="22"/>
        </w:rPr>
        <w:t xml:space="preserve">The modules were instantiated and registered with HealthcareDiagnosticAgent in app.py. The agent perceives a patient, runs the registered diagnostic modules, aggregates available diagnostic information, assesses urgency, generates system-level recommendations, and produces a structured report. The integrated application completed a five-patient test successfully.</w:t>
      </w:r>
    </w:p>
    <w:p>
      <w:pPr>
        <w:pStyle w:val="Heading2"/>
        <w:spacing w:after="120" w:before="240"/>
      </w:pPr>
      <w:r>
        <w:rPr>
          <w:rFonts w:ascii="Calibri" w:cs="Calibri" w:eastAsia="Calibri" w:hAnsi="Calibri"/>
        </w:rPr>
        <w:t xml:space="preserve">2.4 Evaluation Methodology</w:t>
      </w:r>
    </w:p>
    <w:p>
      <w:pPr>
        <w:spacing w:after="200" w:line="300"/>
      </w:pPr>
      <w:r>
        <w:rPr>
          <w:rFonts w:ascii="Calibri" w:cs="Calibri" w:eastAsia="Calibri" w:hAnsi="Calibri"/>
          <w:sz w:val="22"/>
          <w:szCs w:val="22"/>
        </w:rPr>
        <w:t xml:space="preserve">The evaluation focused on Module 4 and Module 5 because these are learned diagnostic models for which standard classification metrics apply. The evaluator calculates accuracy, weighted precision, weighted recall, weighted F1-score, confusion matrices, and ROC-AUC when probability predictions are supplied.</w:t>
      </w:r>
    </w:p>
    <w:p>
      <w:pPr>
        <w:pStyle w:val="Heading1"/>
        <w:spacing w:after="180" w:before="360"/>
      </w:pPr>
      <w:r>
        <w:rPr>
          <w:rFonts w:ascii="Calibri" w:cs="Calibri" w:eastAsia="Calibri" w:hAnsi="Calibri"/>
        </w:rPr>
        <w:t xml:space="preserve">3. Results</w:t>
      </w:r>
    </w:p>
    <w:p>
      <w:pPr>
        <w:pStyle w:val="Heading2"/>
        <w:spacing w:after="120" w:before="240"/>
      </w:pPr>
      <w:r>
        <w:rPr>
          <w:rFonts w:ascii="Calibri" w:cs="Calibri" w:eastAsia="Calibri" w:hAnsi="Calibri"/>
        </w:rPr>
        <w:t xml:space="preserve">3.1 Evaluation Results</w:t>
      </w:r>
    </w:p>
    <w:p>
      <w:pPr>
        <w:spacing w:after="200" w:line="300"/>
      </w:pPr>
      <w:r>
        <w:rPr>
          <w:rFonts w:ascii="Calibri" w:cs="Calibri" w:eastAsia="Calibri" w:hAnsi="Calibri"/>
          <w:sz w:val="22"/>
          <w:szCs w:val="22"/>
        </w:rPr>
        <w:t xml:space="preserve">The evaluation contained 8 test patients. The recorded results were: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350"/>
        <w:gridCol w:w="1350"/>
        <w:gridCol w:w="1350"/>
      </w:tblGrid>
      <w:tr>
        <w:trPr>
          <w:tblHeader/>
        </w:trPr>
        <w:tc>
          <w:tcPr>
            <w:tcW w:type="dxa" w:w="2600"/>
            <w:shd w:fill="1F4E78"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Model</w:t>
            </w:r>
          </w:p>
        </w:tc>
        <w:tc>
          <w:tcPr>
            <w:tcW w:type="dxa" w:w="1350"/>
            <w:shd w:fill="1F4E78"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Accuracy</w:t>
            </w:r>
          </w:p>
        </w:tc>
        <w:tc>
          <w:tcPr>
            <w:tcW w:type="dxa" w:w="1350"/>
            <w:shd w:fill="1F4E78"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Precision</w:t>
            </w:r>
          </w:p>
        </w:tc>
        <w:tc>
          <w:tcPr>
            <w:tcW w:type="dxa" w:w="1350"/>
            <w:shd w:fill="1F4E78"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Recall</w:t>
            </w:r>
          </w:p>
        </w:tc>
        <w:tc>
          <w:tcPr>
            <w:tcW w:type="dxa" w:w="1350"/>
            <w:shd w:fill="1F4E78"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F1-Score</w:t>
            </w:r>
          </w:p>
        </w:tc>
        <w:tc>
          <w:tcPr>
            <w:tcW w:type="dxa" w:w="1350"/>
            <w:shd w:fill="1F4E78"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ROC-AUC</w:t>
            </w:r>
          </w:p>
        </w:tc>
      </w:tr>
      <w:tr>
        <w:tc>
          <w:tcPr>
            <w:tcW w:type="dxa" w:w="26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Module 4 — ML Classifier</w:t>
            </w:r>
          </w:p>
        </w:tc>
        <w:tc>
          <w:tcPr>
            <w:tcW w:type="dxa" w:w="1350"/>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87.50%</w:t>
            </w:r>
          </w:p>
        </w:tc>
        <w:tc>
          <w:tcPr>
            <w:tcW w:type="dxa" w:w="1350"/>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81.25%</w:t>
            </w:r>
          </w:p>
        </w:tc>
        <w:tc>
          <w:tcPr>
            <w:tcW w:type="dxa" w:w="1350"/>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87.50%</w:t>
            </w:r>
          </w:p>
        </w:tc>
        <w:tc>
          <w:tcPr>
            <w:tcW w:type="dxa" w:w="1350"/>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83.33%</w:t>
            </w:r>
          </w:p>
        </w:tc>
        <w:tc>
          <w:tcPr>
            <w:tcW w:type="dxa" w:w="1350"/>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N/A</w:t>
            </w:r>
          </w:p>
        </w:tc>
      </w:tr>
      <w:tr>
        <w:tc>
          <w:tcPr>
            <w:tcW w:type="dxa" w:w="26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Module 5 — Neural Network</w:t>
            </w:r>
          </w:p>
        </w:tc>
        <w:tc>
          <w:tcPr>
            <w:tcW w:type="dxa" w:w="1350"/>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100.00%</w:t>
            </w:r>
          </w:p>
        </w:tc>
        <w:tc>
          <w:tcPr>
            <w:tcW w:type="dxa" w:w="1350"/>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100.00%</w:t>
            </w:r>
          </w:p>
        </w:tc>
        <w:tc>
          <w:tcPr>
            <w:tcW w:type="dxa" w:w="1350"/>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100.00%</w:t>
            </w:r>
          </w:p>
        </w:tc>
        <w:tc>
          <w:tcPr>
            <w:tcW w:type="dxa" w:w="1350"/>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100.00%</w:t>
            </w:r>
          </w:p>
        </w:tc>
        <w:tc>
          <w:tcPr>
            <w:tcW w:type="dxa" w:w="1350"/>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N/A</w:t>
            </w:r>
          </w:p>
        </w:tc>
      </w:tr>
    </w:tbl>
    <w:p>
      <w:pPr>
        <w:spacing w:after="200" w:before="200"/>
      </w:pPr>
    </w:p>
    <w:p>
      <w:pPr>
        <w:spacing w:after="200" w:line="300"/>
      </w:pPr>
      <w:r>
        <w:rPr>
          <w:rFonts w:ascii="Calibri" w:cs="Calibri" w:eastAsia="Calibri" w:hAnsi="Calibri"/>
          <w:sz w:val="22"/>
          <w:szCs w:val="22"/>
        </w:rPr>
        <w:t xml:space="preserve">The neural-network result is performance on the available evaluation data, not evidence of perfect real-world clinical accuracy. ROC-AUC is N/A because probability-score arrays were not supplied to the evaluator.</w:t>
      </w:r>
    </w:p>
    <w:p>
      <w:pPr>
        <w:pStyle w:val="Heading2"/>
        <w:spacing w:after="120" w:before="240"/>
      </w:pPr>
      <w:r>
        <w:rPr>
          <w:rFonts w:ascii="Calibri" w:cs="Calibri" w:eastAsia="Calibri" w:hAnsi="Calibri"/>
        </w:rPr>
        <w:t xml:space="preserve">3.2 Confusion Matrices and Visualizations</w:t>
      </w:r>
    </w:p>
    <w:p>
      <w:pPr>
        <w:spacing w:after="200" w:line="300"/>
      </w:pPr>
      <w:r>
        <w:rPr>
          <w:rFonts w:ascii="Calibri" w:cs="Calibri" w:eastAsia="Calibri" w:hAnsi="Calibri"/>
          <w:sz w:val="22"/>
          <w:szCs w:val="22"/>
        </w:rPr>
        <w:t xml:space="preserve">The evaluation pipeline successfully generated two confusion matrices, one model-comparison chart, and evaluation_results.csv. These artifacts are stored in the evaluation/results directory of the project.</w:t>
      </w:r>
    </w:p>
    <w:p>
      <w:pPr>
        <w:pStyle w:val="Heading1"/>
        <w:spacing w:after="180" w:before="360"/>
      </w:pPr>
      <w:r>
        <w:rPr>
          <w:rFonts w:ascii="Calibri" w:cs="Calibri" w:eastAsia="Calibri" w:hAnsi="Calibri"/>
        </w:rPr>
        <w:t xml:space="preserve">4. Discussion</w:t>
      </w:r>
    </w:p>
    <w:p>
      <w:pPr>
        <w:spacing w:after="200" w:line="300"/>
      </w:pPr>
      <w:r>
        <w:rPr>
          <w:rFonts w:ascii="Calibri" w:cs="Calibri" w:eastAsia="Calibri" w:hAnsi="Calibri"/>
          <w:sz w:val="22"/>
          <w:szCs w:val="22"/>
        </w:rPr>
        <w:t xml:space="preserve">The results demonstrate that symbolic, probabilistic, machine-learning, fuzzy, and planning approaches can be combined within one modular AI application. Module 4 achieved strong but imperfect performance, while Module 5 achieved perfect scores on the current evaluation set. The fuzzy controller provides gradual severity reasoning rather than simply selecting a diagnosis, while the planner converts diagnosis and urgency information into an action sequence.</w:t>
      </w:r>
    </w:p>
    <w:p>
      <w:pPr>
        <w:pStyle w:val="Heading2"/>
        <w:spacing w:after="120" w:before="240"/>
      </w:pPr>
      <w:r>
        <w:rPr>
          <w:rFonts w:ascii="Calibri" w:cs="Calibri" w:eastAsia="Calibri" w:hAnsi="Calibri"/>
        </w:rPr>
        <w:t xml:space="preserve">4.1 Limitations</w:t>
      </w:r>
    </w:p>
    <w:p>
      <w:pPr>
        <w:spacing w:after="200" w:line="300"/>
      </w:pPr>
      <w:r>
        <w:rPr>
          <w:rFonts w:ascii="Calibri" w:cs="Calibri" w:eastAsia="Calibri" w:hAnsi="Calibri"/>
          <w:sz w:val="22"/>
          <w:szCs w:val="22"/>
        </w:rPr>
        <w:t xml:space="preserve">The system is an academic prototype and is not clinically validated. The learned models were evaluated on the project's available test data. The 100% neural-network score should not be interpreted as guaranteed real-world accuracy. ROC-AUC was not reported because probability predictions were not supplied to the current evaluation call. Treatment plans are demonstration-level AI planning outputs and do not replace clinician-authored protocols.</w:t>
      </w:r>
    </w:p>
    <w:p>
      <w:pPr>
        <w:pStyle w:val="Heading1"/>
        <w:spacing w:after="180" w:before="360"/>
      </w:pPr>
      <w:r>
        <w:rPr>
          <w:rFonts w:ascii="Calibri" w:cs="Calibri" w:eastAsia="Calibri" w:hAnsi="Calibri"/>
        </w:rPr>
        <w:t xml:space="preserve">5. Conclusion</w:t>
      </w:r>
    </w:p>
    <w:p>
      <w:pPr>
        <w:spacing w:after="200" w:line="300"/>
      </w:pPr>
      <w:r>
        <w:rPr>
          <w:rFonts w:ascii="Calibri" w:cs="Calibri" w:eastAsia="Calibri" w:hAnsi="Calibri"/>
          <w:sz w:val="22"/>
          <w:szCs w:val="22"/>
        </w:rPr>
        <w:t xml:space="preserve">The capstone successfully demonstrates an integrated intelligent healthcare diagnostic assistant using seven AI modules. The application completed its end-to-end five-patient integration test, and the evaluation pipeline generated the required metrics and visualization artifacts for the learned diagnostic models. Together, these results show that classical symbolic techniques, probabilistic reasoning, learned models, fuzzy logic, and automated planning can be unified within a single, coherently coordinated agent architecture, even though the system remains an academic prototype requiring further validation before any real-world use.</w:t>
      </w:r>
    </w:p>
    <w:p>
      <w:pPr>
        <w:pStyle w:val="Heading1"/>
        <w:spacing w:after="180" w:before="360"/>
      </w:pPr>
      <w:r>
        <w:rPr>
          <w:rFonts w:ascii="Calibri" w:cs="Calibri" w:eastAsia="Calibri" w:hAnsi="Calibri"/>
        </w:rPr>
        <w:t xml:space="preserve">6. References</w:t>
      </w:r>
    </w:p>
    <w:p>
      <w:pPr>
        <w:spacing w:after="200" w:line="300"/>
      </w:pPr>
      <w:r>
        <w:rPr>
          <w:rFonts w:ascii="Calibri" w:cs="Calibri" w:eastAsia="Calibri" w:hAnsi="Calibri"/>
          <w:sz w:val="22"/>
          <w:szCs w:val="22"/>
        </w:rPr>
        <w:t xml:space="preserve">Russell, S. J., &amp; Norvig, P. (2020). Artificial Intelligence: A Modern Approach (4th ed.). Pearson.</w:t>
      </w:r>
    </w:p>
    <w:p>
      <w:pPr>
        <w:spacing w:after="200" w:line="300"/>
      </w:pPr>
      <w:r>
        <w:rPr>
          <w:rFonts w:ascii="Calibri" w:cs="Calibri" w:eastAsia="Calibri" w:hAnsi="Calibri"/>
          <w:sz w:val="22"/>
          <w:szCs w:val="22"/>
        </w:rPr>
        <w:t xml:space="preserve">Pearl, J. (1988). Probabilistic Reasoning in Intelligent Systems: Networks of Plausible Inference. Morgan Kaufmann.</w:t>
      </w:r>
    </w:p>
    <w:p>
      <w:pPr>
        <w:spacing w:after="200" w:line="300"/>
      </w:pPr>
      <w:r>
        <w:rPr>
          <w:rFonts w:ascii="Calibri" w:cs="Calibri" w:eastAsia="Calibri" w:hAnsi="Calibri"/>
          <w:sz w:val="22"/>
          <w:szCs w:val="22"/>
        </w:rPr>
        <w:t xml:space="preserve">Goodfellow, I., Bengio, Y., &amp; Courville, A. (2016). Deep Learning. MIT Press.</w:t>
      </w:r>
    </w:p>
    <w:p>
      <w:pPr>
        <w:spacing w:after="200" w:line="300"/>
      </w:pPr>
      <w:r>
        <w:rPr>
          <w:rFonts w:ascii="Calibri" w:cs="Calibri" w:eastAsia="Calibri" w:hAnsi="Calibri"/>
          <w:sz w:val="22"/>
          <w:szCs w:val="22"/>
        </w:rPr>
        <w:t xml:space="preserve">Zadeh, L. A. (1965). Fuzzy sets. Information and Control, 8(3), 338–353.</w:t>
      </w:r>
    </w:p>
    <w:p>
      <w:pPr>
        <w:spacing w:after="200" w:line="300"/>
      </w:pPr>
      <w:r>
        <w:rPr>
          <w:rFonts w:ascii="Calibri" w:cs="Calibri" w:eastAsia="Calibri" w:hAnsi="Calibri"/>
          <w:sz w:val="22"/>
          <w:szCs w:val="22"/>
        </w:rPr>
        <w:t xml:space="preserve">Fikes, R. E., &amp; Nilsson, N. J. (1971). STRIPS: A new approach to the application of theorem proving to problem solving. Artificial Intelligence, 2(3–4), 189–208.</w:t>
      </w:r>
    </w:p>
    <w:p>
      <w:pPr>
        <w:spacing w:after="200" w:line="300"/>
      </w:pPr>
      <w:r>
        <w:rPr>
          <w:rFonts w:ascii="Calibri" w:cs="Calibri" w:eastAsia="Calibri" w:hAnsi="Calibri"/>
          <w:sz w:val="22"/>
          <w:szCs w:val="22"/>
        </w:rPr>
        <w:t xml:space="preserve">Pedregosa, F., et al. (2011). Scikit-learn: Machine learning in Python. Journal of Machine Learning Research, 12, 2825–2830.</w:t>
      </w:r>
    </w:p>
    <w:p>
      <w:pPr>
        <w:spacing w:after="200" w:line="300"/>
      </w:pPr>
      <w:r>
        <w:rPr>
          <w:rFonts w:ascii="Calibri" w:cs="Calibri" w:eastAsia="Calibri" w:hAnsi="Calibri"/>
          <w:sz w:val="22"/>
          <w:szCs w:val="22"/>
        </w:rPr>
        <w:t xml:space="preserve">Bishop, C. M. (2006). Pattern Recognition and Machine Learning. Springer.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Intelligent Healthcare Diagnostic Assistant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2026-08-10T07:46:58.835Z</dcterms:created>
  <dcterms:modified xsi:type="dcterms:W3CDTF">2026-08-10T07:46:58.835Z</dcterms:modified>
</cp:coreProperties>
</file>

<file path=docProps/custom.xml><?xml version="1.0" encoding="utf-8"?>
<Properties xmlns="http://schemas.openxmlformats.org/officeDocument/2006/custom-properties" xmlns:vt="http://schemas.openxmlformats.org/officeDocument/2006/docPropsVTypes"/>
</file>