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64748B"/>
          <w:sz w:val="19"/>
        </w:rPr>
        <w:t>INSTITUTO FEDERAL DE EDUCAÇÃO, CIÊNCIA E TECNOLOGIA DA PARAÍBA</w:t>
        <w:br/>
        <w:t>CAMPUS SOUSA | CURSO SUPERIOR DE ANÁLISE E DESENVOLVIMENTO DE SISTEMAS</w:t>
        <w:br/>
        <w:t>DISCIPLINA: PROJETO INTEGRADOR / PRÁTICA PROFISSIONAL</w:t>
      </w:r>
    </w:p>
    <w:p>
      <w:pPr>
        <w:spacing w:before="200" w:after="40"/>
        <w:jc w:val="center"/>
      </w:pPr>
      <w:r>
        <w:rPr>
          <w:rFonts w:ascii="Calibri" w:hAnsi="Calibri"/>
          <w:b/>
          <w:color w:val="102C57"/>
          <w:sz w:val="30"/>
        </w:rPr>
        <w:t>ATA DE REUNIÃO DE PLANEJAMENTO (SPRINT 02 PLANNING)</w:t>
      </w:r>
    </w:p>
    <w:p>
      <w:pPr>
        <w:spacing w:after="280"/>
        <w:jc w:val="center"/>
      </w:pPr>
      <w:r>
        <w:rPr>
          <w:rFonts w:ascii="Calibri" w:hAnsi="Calibri"/>
          <w:i/>
          <w:color w:val="355F8E"/>
          <w:sz w:val="22"/>
        </w:rPr>
        <w:t>Projeto AlumiGest | Módulo de Catálogo de Materiais e Insumos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896"/>
            <w:shd w:fill="F8FAFC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60" w:after="60"/>
            </w:pPr>
            <w:r>
              <w:rPr>
                <w:b/>
                <w:color w:val="102C57"/>
                <w:sz w:val="19"/>
              </w:rPr>
              <w:t>Data:</w:t>
            </w:r>
            <w:r>
              <w:rPr>
                <w:color w:val="1E293B"/>
                <w:sz w:val="19"/>
              </w:rPr>
              <w:t xml:space="preserve"> 05 de Agosto de 2026</w:t>
            </w:r>
          </w:p>
        </w:tc>
        <w:tc>
          <w:tcPr>
            <w:tcW w:type="dxa" w:w="4896"/>
            <w:shd w:fill="F8FAFC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60" w:after="60"/>
            </w:pPr>
            <w:r>
              <w:rPr>
                <w:b/>
                <w:color w:val="102C57"/>
                <w:sz w:val="19"/>
              </w:rPr>
              <w:t>Horário:</w:t>
            </w:r>
            <w:r>
              <w:rPr>
                <w:color w:val="1E293B"/>
                <w:sz w:val="19"/>
              </w:rPr>
              <w:t xml:space="preserve"> 20:00 às 22:00 (Virtual - Google Meet)</w:t>
            </w:r>
          </w:p>
        </w:tc>
      </w:tr>
      <w:tr>
        <w:tc>
          <w:tcPr>
            <w:tcW w:type="dxa" w:w="4896"/>
            <w:shd w:fill="F8FAFC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60" w:after="60"/>
            </w:pPr>
            <w:r>
              <w:rPr>
                <w:b/>
                <w:color w:val="102C57"/>
                <w:sz w:val="19"/>
              </w:rPr>
              <w:t>Cliente / Parceiro:</w:t>
            </w:r>
            <w:r>
              <w:rPr>
                <w:color w:val="1E293B"/>
                <w:sz w:val="19"/>
              </w:rPr>
              <w:t xml:space="preserve"> Alumiportas</w:t>
            </w:r>
          </w:p>
        </w:tc>
        <w:tc>
          <w:tcPr>
            <w:tcW w:type="dxa" w:w="4896"/>
            <w:shd w:fill="F8FAFC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60" w:after="60"/>
            </w:pPr>
            <w:r>
              <w:rPr>
                <w:b/>
                <w:color w:val="102C57"/>
                <w:sz w:val="19"/>
              </w:rPr>
              <w:t>Redatores:</w:t>
            </w:r>
            <w:r>
              <w:rPr>
                <w:color w:val="1E293B"/>
                <w:sz w:val="19"/>
              </w:rPr>
              <w:t xml:space="preserve"> Guilherme Kauã / Nichollas Cavalcante</w:t>
            </w:r>
          </w:p>
        </w:tc>
      </w:tr>
    </w:tbl>
    <w:p>
      <w:pPr>
        <w:spacing w:after="120"/>
      </w:pPr>
    </w:p>
    <w:p>
      <w:pPr>
        <w:keepNext/>
        <w:spacing w:before="240" w:after="80"/>
      </w:pPr>
      <w:r>
        <w:rPr>
          <w:rFonts w:ascii="Calibri" w:hAnsi="Calibri"/>
          <w:b/>
          <w:color w:val="102C57"/>
          <w:sz w:val="24"/>
        </w:rPr>
        <w:t>1. PARTICIPANTES E QUÓRUM</w:t>
      </w:r>
    </w:p>
    <w:p>
      <w:pPr>
        <w:spacing w:after="40"/>
      </w:pPr>
      <w:r>
        <w:rPr>
          <w:b/>
          <w:color w:val="1E293B"/>
        </w:rPr>
        <w:t>Membros Presentes:</w:t>
        <w:br/>
      </w:r>
    </w:p>
    <w:p>
      <w:pPr>
        <w:pStyle w:val="ListBullet"/>
        <w:spacing w:after="20"/>
      </w:pPr>
      <w:r>
        <w:rPr>
          <w:color w:val="1E293B"/>
          <w:sz w:val="19"/>
        </w:rPr>
        <w:t>Nichollas Cavalcante — Scrum Master e DevOps</w:t>
      </w:r>
    </w:p>
    <w:p>
      <w:pPr>
        <w:pStyle w:val="ListBullet"/>
        <w:spacing w:after="20"/>
      </w:pPr>
      <w:r>
        <w:rPr>
          <w:color w:val="1E293B"/>
          <w:sz w:val="19"/>
        </w:rPr>
        <w:t>José Guylherme dos Santos Melo — Product Owner (PO) e Representante da Alumiportas</w:t>
      </w:r>
    </w:p>
    <w:p>
      <w:pPr>
        <w:pStyle w:val="ListBullet"/>
        <w:spacing w:after="20"/>
      </w:pPr>
      <w:r>
        <w:rPr>
          <w:color w:val="1E293B"/>
          <w:sz w:val="19"/>
        </w:rPr>
        <w:t>Italo Jefferson — Desenvolvedor Frontend e DevOps</w:t>
      </w:r>
    </w:p>
    <w:p>
      <w:pPr>
        <w:pStyle w:val="ListBullet"/>
        <w:spacing w:after="20"/>
      </w:pPr>
      <w:r>
        <w:rPr>
          <w:color w:val="1E293B"/>
          <w:sz w:val="19"/>
        </w:rPr>
        <w:t>Guilherme Kauã Matos da Silva — Desenvolvedor Backend e Secretário da Ata</w:t>
      </w:r>
    </w:p>
    <w:p>
      <w:pPr>
        <w:pStyle w:val="ListBullet"/>
        <w:spacing w:after="20"/>
      </w:pPr>
      <w:r>
        <w:rPr>
          <w:color w:val="1E293B"/>
          <w:sz w:val="19"/>
        </w:rPr>
        <w:t>Maylson da Silva Rodrigues — Desenvolvedor Backend</w:t>
      </w:r>
    </w:p>
    <w:p>
      <w:pPr>
        <w:spacing w:before="80" w:after="40"/>
      </w:pPr>
      <w:r>
        <w:rPr>
          <w:b/>
          <w:color w:val="1E293B"/>
        </w:rPr>
        <w:t>Ausências Justificadas (Compromissos Profissionais / Configuração de Acesso):</w:t>
        <w:br/>
      </w:r>
    </w:p>
    <w:p>
      <w:pPr>
        <w:pStyle w:val="ListBullet"/>
        <w:spacing w:after="20"/>
      </w:pPr>
      <w:r>
        <w:rPr>
          <w:color w:val="64748B"/>
          <w:sz w:val="19"/>
        </w:rPr>
        <w:t>Júlio Kennedy — Desenvolvedor Backend (Acesso ao repositório em configuração)</w:t>
      </w:r>
    </w:p>
    <w:p>
      <w:pPr>
        <w:pStyle w:val="ListBullet"/>
        <w:spacing w:after="20"/>
      </w:pPr>
      <w:r>
        <w:rPr>
          <w:color w:val="64748B"/>
          <w:sz w:val="19"/>
        </w:rPr>
        <w:t>Hebert — Desenvolvedor Backend (Atividade profissional simultânea)</w:t>
      </w:r>
    </w:p>
    <w:p>
      <w:pPr>
        <w:pStyle w:val="ListBullet"/>
        <w:spacing w:after="20"/>
      </w:pPr>
      <w:r>
        <w:rPr>
          <w:color w:val="64748B"/>
          <w:sz w:val="19"/>
        </w:rPr>
        <w:t>Gabriel — Desenvolvedor Backend (Atividade profissional simultânea)</w:t>
      </w:r>
    </w:p>
    <w:p>
      <w:pPr>
        <w:keepNext/>
        <w:spacing w:before="240" w:after="80"/>
      </w:pPr>
      <w:r>
        <w:rPr>
          <w:rFonts w:ascii="Calibri" w:hAnsi="Calibri"/>
          <w:b/>
          <w:color w:val="102C57"/>
          <w:sz w:val="24"/>
        </w:rPr>
        <w:t>2. PAUTA DA REUNIÃO</w:t>
      </w:r>
    </w:p>
    <w:p>
      <w:pPr>
        <w:pStyle w:val="ListBullet"/>
        <w:spacing w:after="20"/>
      </w:pPr>
      <w:r>
        <w:rPr>
          <w:color w:val="1E293B"/>
          <w:sz w:val="19"/>
        </w:rPr>
        <w:t>Avaliação e repactuação do escopo da Sprint 2 para o período de 15 dias (04/08/2026 a 17/08/2026).</w:t>
      </w:r>
    </w:p>
    <w:p>
      <w:pPr>
        <w:pStyle w:val="ListBullet"/>
        <w:spacing w:after="20"/>
      </w:pPr>
      <w:r>
        <w:rPr>
          <w:color w:val="1E293B"/>
          <w:sz w:val="19"/>
        </w:rPr>
        <w:t>Definição da modelagem de dados genérica e extensível (Type-Object Pattern) para o Catálogo de Materiais.</w:t>
      </w:r>
    </w:p>
    <w:p>
      <w:pPr>
        <w:pStyle w:val="ListBullet"/>
        <w:spacing w:after="20"/>
      </w:pPr>
      <w:r>
        <w:rPr>
          <w:color w:val="1E293B"/>
          <w:sz w:val="19"/>
        </w:rPr>
        <w:t>Mapeamento detalhado das regras operacionais da Alumiportas com o PO (espessuras, barras, linhas de perfil).</w:t>
      </w:r>
    </w:p>
    <w:p>
      <w:pPr>
        <w:pStyle w:val="ListBullet"/>
        <w:spacing w:after="20"/>
      </w:pPr>
      <w:r>
        <w:rPr>
          <w:color w:val="1E293B"/>
          <w:sz w:val="19"/>
        </w:rPr>
        <w:t>Desacoplamento arquitetural entre Insumos/Materiais e Templates de Produtos Finais (Portas/Esquadrias).</w:t>
      </w:r>
    </w:p>
    <w:p>
      <w:pPr>
        <w:pStyle w:val="ListBullet"/>
        <w:spacing w:after="20"/>
      </w:pPr>
      <w:r>
        <w:rPr>
          <w:color w:val="1E293B"/>
          <w:sz w:val="19"/>
        </w:rPr>
        <w:t>Decomposição da User Story #4 em sub-tarefas técnicas no GitHub e distribuição oficial da equipe.</w:t>
      </w:r>
    </w:p>
    <w:p>
      <w:pPr>
        <w:pStyle w:val="ListBullet"/>
        <w:spacing w:after="20"/>
      </w:pPr>
      <w:r>
        <w:rPr>
          <w:color w:val="1E293B"/>
          <w:sz w:val="19"/>
        </w:rPr>
        <w:t>Alinhamento dos padrões de Git Flow, Conventional Commits, Changelog e meta de 70% de cobertura de testes.</w:t>
      </w:r>
    </w:p>
    <w:p>
      <w:pPr>
        <w:keepNext/>
        <w:spacing w:before="240" w:after="80"/>
      </w:pPr>
      <w:r>
        <w:rPr>
          <w:rFonts w:ascii="Calibri" w:hAnsi="Calibri"/>
          <w:b/>
          <w:color w:val="102C57"/>
          <w:sz w:val="24"/>
        </w:rPr>
        <w:t>3. PRINCIPAIS DELIBERAÇÕES E DECISÕES TÉCNICAS</w:t>
      </w:r>
    </w:p>
    <w:p>
      <w:pPr>
        <w:spacing w:before="60" w:after="60"/>
      </w:pPr>
      <w:r>
        <w:rPr>
          <w:b/>
          <w:color w:val="102C57"/>
          <w:sz w:val="19"/>
        </w:rPr>
        <w:t xml:space="preserve">3.1 Foco Estrito da Sprint 2: </w:t>
      </w:r>
      <w:r>
        <w:rPr>
          <w:color w:val="1E293B"/>
          <w:sz w:val="19"/>
        </w:rPr>
        <w:t>Consensuou-se que a tentativa de implementar o motor de cálculo completo e a geração de orçamentos na Sprint 2 tornaria a entrega inviável no prazo de 15 dias. A Sprint 2 focará 100% no Catálogo de Materiais (CRUD, abas, busca e flexibilidade de preços) e Cadastro de Clientes.</w:t>
      </w:r>
    </w:p>
    <w:p>
      <w:pPr>
        <w:spacing w:before="60" w:after="60"/>
      </w:pPr>
      <w:r>
        <w:rPr>
          <w:b/>
          <w:color w:val="102C57"/>
          <w:sz w:val="19"/>
        </w:rPr>
        <w:t xml:space="preserve">3.2 Modelagem Genérica e Extensível: </w:t>
      </w:r>
      <w:r>
        <w:rPr>
          <w:color w:val="1E293B"/>
          <w:sz w:val="19"/>
        </w:rPr>
        <w:t>Aprovada a arquitetura com duas tabelas: tb_material_groups (define a categoria e a estratégia de medição: m², metro linear, unidade, par) e tb_materials (entidade universal). Os 4 grupos iniciais (VIDRO, ALUMINIO, PELICULA, FERRAGEM) receberão a flag is_system_default = true para blindagem do negócio, permitindo que setores futuros (ex: Marcenaria com MDF) sejam criados sem alterações de código.</w:t>
      </w:r>
    </w:p>
    <w:p>
      <w:pPr>
        <w:spacing w:before="60" w:after="60"/>
      </w:pPr>
      <w:r>
        <w:rPr>
          <w:b/>
          <w:color w:val="102C57"/>
          <w:sz w:val="19"/>
        </w:rPr>
        <w:t xml:space="preserve">3.3 Regras de Negócio da Alumiportas: </w:t>
      </w:r>
      <w:r>
        <w:rPr>
          <w:color w:val="1E293B"/>
          <w:sz w:val="19"/>
        </w:rPr>
        <w:t>Vidros atenderão espessuras finas para móveis (2mm e 4mm) com cálculo por m²; Perfis de alumínio cobrirão as linhas Rometal e Alternativa em barras de 3m (comércio local) e 6m (indústria) com código de referência (ex: SU-001, S83) e NCM opcional; Películas serão calculadas por m² e Ferragens por unidade, par ou metro.</w:t>
      </w:r>
    </w:p>
    <w:p>
      <w:pPr>
        <w:spacing w:before="60" w:after="60"/>
      </w:pPr>
      <w:r>
        <w:rPr>
          <w:b/>
          <w:color w:val="102C57"/>
          <w:sz w:val="19"/>
        </w:rPr>
        <w:t xml:space="preserve">3.4 Desacoplamento de Produtos Finais: </w:t>
      </w:r>
      <w:r>
        <w:rPr>
          <w:color w:val="1E293B"/>
          <w:sz w:val="19"/>
        </w:rPr>
        <w:t>Ficou estabelecido que 'Porta' não é um material, mas sim um Produto Final Composto (Template/Receita) montado a partir de vários insumos. A funcionalidade de templates será o foco central da Sprint 3.</w:t>
      </w:r>
    </w:p>
    <w:p>
      <w:pPr>
        <w:spacing w:before="60" w:after="60"/>
      </w:pPr>
      <w:r>
        <w:rPr>
          <w:b/>
          <w:color w:val="102C57"/>
          <w:sz w:val="19"/>
        </w:rPr>
        <w:t xml:space="preserve">3.5 Governança de Código e CI: </w:t>
      </w:r>
      <w:r>
        <w:rPr>
          <w:color w:val="1E293B"/>
          <w:sz w:val="19"/>
        </w:rPr>
        <w:t>Adoção estrita de branches a partir de develop (feat/*, docs/*), Pull Requests com checklist de Definition of Done obrigatório, aprovação por code reviewer e meta de 70% de cobertura de testes unitários via GitHub Actions.</w:t>
      </w:r>
    </w:p>
    <w:p>
      <w:pPr>
        <w:keepNext/>
        <w:spacing w:before="240" w:after="80"/>
      </w:pPr>
      <w:r>
        <w:rPr>
          <w:rFonts w:ascii="Calibri" w:hAnsi="Calibri"/>
          <w:b/>
          <w:color w:val="102C57"/>
          <w:sz w:val="24"/>
        </w:rPr>
        <w:t>4. DISTRIBUIÇÃO OFICIAL DE RESPONSABILIDADES (SPRINT 2)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864"/>
            <w:shd w:fill="102C57"/>
          </w:tcPr>
          <w:p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Issue</w:t>
            </w:r>
          </w:p>
        </w:tc>
        <w:tc>
          <w:tcPr>
            <w:tcW w:type="dxa" w:w="864"/>
            <w:shd w:fill="102C57"/>
          </w:tcPr>
          <w:p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Tipo</w:t>
            </w:r>
          </w:p>
        </w:tc>
        <w:tc>
          <w:tcPr>
            <w:tcW w:type="dxa" w:w="3888"/>
            <w:shd w:fill="102C57"/>
          </w:tcPr>
          <w:p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Sub-Tarefa Técnica</w:t>
            </w:r>
          </w:p>
        </w:tc>
        <w:tc>
          <w:tcPr>
            <w:tcW w:type="dxa" w:w="3168"/>
            <w:shd w:fill="102C57"/>
          </w:tcPr>
          <w:p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Responsável(is)</w:t>
            </w:r>
          </w:p>
        </w:tc>
        <w:tc>
          <w:tcPr>
            <w:tcW w:type="dxa" w:w="1008"/>
            <w:shd w:fill="102C57"/>
          </w:tcPr>
          <w:p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Est.</w:t>
            </w:r>
          </w:p>
        </w:tc>
      </w:tr>
      <w:tr>
        <w:tc>
          <w:tcPr>
            <w:tcW w:type="dxa" w:w="864"/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1E293B"/>
                <w:sz w:val="17"/>
              </w:rPr>
              <w:t>#11</w:t>
            </w:r>
          </w:p>
        </w:tc>
        <w:tc>
          <w:tcPr>
            <w:tcW w:type="dxa" w:w="864"/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40" w:after="40"/>
              <w:jc w:val="center"/>
            </w:pPr>
            <w:r>
              <w:rPr>
                <w:color w:val="1E293B"/>
                <w:sz w:val="17"/>
              </w:rPr>
              <w:t>feat</w:t>
            </w:r>
          </w:p>
        </w:tc>
        <w:tc>
          <w:tcPr>
            <w:tcW w:type="dxa" w:w="3888"/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40" w:after="40"/>
            </w:pPr>
            <w:r>
              <w:rPr>
                <w:color w:val="1E293B"/>
                <w:sz w:val="17"/>
              </w:rPr>
              <w:t>Backend: Migration Flyway V1 e Entidades Base JPA</w:t>
            </w:r>
          </w:p>
        </w:tc>
        <w:tc>
          <w:tcPr>
            <w:tcW w:type="dxa" w:w="3168"/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40" w:after="40"/>
            </w:pPr>
            <w:r>
              <w:rPr>
                <w:color w:val="1E293B"/>
                <w:sz w:val="17"/>
              </w:rPr>
              <w:t>Nichollas Cavalcante</w:t>
            </w:r>
          </w:p>
        </w:tc>
        <w:tc>
          <w:tcPr>
            <w:tcW w:type="dxa" w:w="1008"/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40" w:after="40"/>
              <w:jc w:val="center"/>
            </w:pPr>
            <w:r>
              <w:rPr>
                <w:color w:val="1E293B"/>
                <w:sz w:val="17"/>
              </w:rPr>
              <w:t>5 pts</w:t>
            </w:r>
          </w:p>
        </w:tc>
      </w:tr>
      <w:tr>
        <w:tc>
          <w:tcPr>
            <w:tcW w:type="dxa" w:w="864"/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1E293B"/>
                <w:sz w:val="17"/>
              </w:rPr>
              <w:t>#12</w:t>
            </w:r>
          </w:p>
        </w:tc>
        <w:tc>
          <w:tcPr>
            <w:tcW w:type="dxa" w:w="864"/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40" w:after="40"/>
              <w:jc w:val="center"/>
            </w:pPr>
            <w:r>
              <w:rPr>
                <w:color w:val="1E293B"/>
                <w:sz w:val="17"/>
              </w:rPr>
              <w:t>feat</w:t>
            </w:r>
          </w:p>
        </w:tc>
        <w:tc>
          <w:tcPr>
            <w:tcW w:type="dxa" w:w="3888"/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40" w:after="40"/>
            </w:pPr>
            <w:r>
              <w:rPr>
                <w:color w:val="1E293B"/>
                <w:sz w:val="17"/>
              </w:rPr>
              <w:t>Backend: CRUD de Vidros (2mm e 4mm) por m²</w:t>
            </w:r>
          </w:p>
        </w:tc>
        <w:tc>
          <w:tcPr>
            <w:tcW w:type="dxa" w:w="3168"/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40" w:after="40"/>
            </w:pPr>
            <w:r>
              <w:rPr>
                <w:color w:val="1E293B"/>
                <w:sz w:val="17"/>
              </w:rPr>
              <w:t>Júlio / Hebert / Gabriel</w:t>
            </w:r>
          </w:p>
        </w:tc>
        <w:tc>
          <w:tcPr>
            <w:tcW w:type="dxa" w:w="1008"/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40" w:after="40"/>
              <w:jc w:val="center"/>
            </w:pPr>
            <w:r>
              <w:rPr>
                <w:color w:val="1E293B"/>
                <w:sz w:val="17"/>
              </w:rPr>
              <w:t>5 pts</w:t>
            </w:r>
          </w:p>
        </w:tc>
      </w:tr>
      <w:tr>
        <w:tc>
          <w:tcPr>
            <w:tcW w:type="dxa" w:w="864"/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1E293B"/>
                <w:sz w:val="17"/>
              </w:rPr>
              <w:t>#13</w:t>
            </w:r>
          </w:p>
        </w:tc>
        <w:tc>
          <w:tcPr>
            <w:tcW w:type="dxa" w:w="864"/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40" w:after="40"/>
              <w:jc w:val="center"/>
            </w:pPr>
            <w:r>
              <w:rPr>
                <w:color w:val="1E293B"/>
                <w:sz w:val="17"/>
              </w:rPr>
              <w:t>feat</w:t>
            </w:r>
          </w:p>
        </w:tc>
        <w:tc>
          <w:tcPr>
            <w:tcW w:type="dxa" w:w="3888"/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40" w:after="40"/>
            </w:pPr>
            <w:r>
              <w:rPr>
                <w:color w:val="1E293B"/>
                <w:sz w:val="17"/>
              </w:rPr>
              <w:t>Backend: CRUD de Perfis Alumínio (Rometal/Alt., 3m/6m)</w:t>
            </w:r>
          </w:p>
        </w:tc>
        <w:tc>
          <w:tcPr>
            <w:tcW w:type="dxa" w:w="3168"/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40" w:after="40"/>
            </w:pPr>
            <w:r>
              <w:rPr>
                <w:color w:val="1E293B"/>
                <w:sz w:val="17"/>
              </w:rPr>
              <w:t>Júlio / Hebert / Gabriel</w:t>
            </w:r>
          </w:p>
        </w:tc>
        <w:tc>
          <w:tcPr>
            <w:tcW w:type="dxa" w:w="1008"/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40" w:after="40"/>
              <w:jc w:val="center"/>
            </w:pPr>
            <w:r>
              <w:rPr>
                <w:color w:val="1E293B"/>
                <w:sz w:val="17"/>
              </w:rPr>
              <w:t>5 pts</w:t>
            </w:r>
          </w:p>
        </w:tc>
      </w:tr>
      <w:tr>
        <w:tc>
          <w:tcPr>
            <w:tcW w:type="dxa" w:w="864"/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1E293B"/>
                <w:sz w:val="17"/>
              </w:rPr>
              <w:t>#14</w:t>
            </w:r>
          </w:p>
        </w:tc>
        <w:tc>
          <w:tcPr>
            <w:tcW w:type="dxa" w:w="864"/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40" w:after="40"/>
              <w:jc w:val="center"/>
            </w:pPr>
            <w:r>
              <w:rPr>
                <w:color w:val="1E293B"/>
                <w:sz w:val="17"/>
              </w:rPr>
              <w:t>feat</w:t>
            </w:r>
          </w:p>
        </w:tc>
        <w:tc>
          <w:tcPr>
            <w:tcW w:type="dxa" w:w="3888"/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40" w:after="40"/>
            </w:pPr>
            <w:r>
              <w:rPr>
                <w:color w:val="1E293B"/>
                <w:sz w:val="17"/>
              </w:rPr>
              <w:t>Backend: CRUD de Películas e Acabamentos por m²</w:t>
            </w:r>
          </w:p>
        </w:tc>
        <w:tc>
          <w:tcPr>
            <w:tcW w:type="dxa" w:w="3168"/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40" w:after="40"/>
            </w:pPr>
            <w:r>
              <w:rPr>
                <w:color w:val="1E293B"/>
                <w:sz w:val="17"/>
              </w:rPr>
              <w:t>Guilherme Kauã</w:t>
            </w:r>
          </w:p>
        </w:tc>
        <w:tc>
          <w:tcPr>
            <w:tcW w:type="dxa" w:w="1008"/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40" w:after="40"/>
              <w:jc w:val="center"/>
            </w:pPr>
            <w:r>
              <w:rPr>
                <w:color w:val="1E293B"/>
                <w:sz w:val="17"/>
              </w:rPr>
              <w:t>3 pts</w:t>
            </w:r>
          </w:p>
        </w:tc>
      </w:tr>
      <w:tr>
        <w:tc>
          <w:tcPr>
            <w:tcW w:type="dxa" w:w="864"/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1E293B"/>
                <w:sz w:val="17"/>
              </w:rPr>
              <w:t>#15</w:t>
            </w:r>
          </w:p>
        </w:tc>
        <w:tc>
          <w:tcPr>
            <w:tcW w:type="dxa" w:w="864"/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40" w:after="40"/>
              <w:jc w:val="center"/>
            </w:pPr>
            <w:r>
              <w:rPr>
                <w:color w:val="1E293B"/>
                <w:sz w:val="17"/>
              </w:rPr>
              <w:t>feat</w:t>
            </w:r>
          </w:p>
        </w:tc>
        <w:tc>
          <w:tcPr>
            <w:tcW w:type="dxa" w:w="3888"/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40" w:after="40"/>
            </w:pPr>
            <w:r>
              <w:rPr>
                <w:color w:val="1E293B"/>
                <w:sz w:val="17"/>
              </w:rPr>
              <w:t>Backend: CRUD de Ferragens e Acessórios (UN/PAR/M)</w:t>
            </w:r>
          </w:p>
        </w:tc>
        <w:tc>
          <w:tcPr>
            <w:tcW w:type="dxa" w:w="3168"/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40" w:after="40"/>
            </w:pPr>
            <w:r>
              <w:rPr>
                <w:color w:val="1E293B"/>
                <w:sz w:val="17"/>
              </w:rPr>
              <w:t>Maylson da Silva</w:t>
            </w:r>
          </w:p>
        </w:tc>
        <w:tc>
          <w:tcPr>
            <w:tcW w:type="dxa" w:w="1008"/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40" w:after="40"/>
              <w:jc w:val="center"/>
            </w:pPr>
            <w:r>
              <w:rPr>
                <w:color w:val="1E293B"/>
                <w:sz w:val="17"/>
              </w:rPr>
              <w:t>3 pts</w:t>
            </w:r>
          </w:p>
        </w:tc>
      </w:tr>
      <w:tr>
        <w:tc>
          <w:tcPr>
            <w:tcW w:type="dxa" w:w="864"/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1E293B"/>
                <w:sz w:val="17"/>
              </w:rPr>
              <w:t>#16</w:t>
            </w:r>
          </w:p>
        </w:tc>
        <w:tc>
          <w:tcPr>
            <w:tcW w:type="dxa" w:w="864"/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40" w:after="40"/>
              <w:jc w:val="center"/>
            </w:pPr>
            <w:r>
              <w:rPr>
                <w:color w:val="1E293B"/>
                <w:sz w:val="17"/>
              </w:rPr>
              <w:t>feat</w:t>
            </w:r>
          </w:p>
        </w:tc>
        <w:tc>
          <w:tcPr>
            <w:tcW w:type="dxa" w:w="3888"/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40" w:after="40"/>
            </w:pPr>
            <w:r>
              <w:rPr>
                <w:color w:val="1E293B"/>
                <w:sz w:val="17"/>
              </w:rPr>
              <w:t>Frontend: Telas do Catálogo em Abas no PWA</w:t>
            </w:r>
          </w:p>
        </w:tc>
        <w:tc>
          <w:tcPr>
            <w:tcW w:type="dxa" w:w="3168"/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40" w:after="40"/>
            </w:pPr>
            <w:r>
              <w:rPr>
                <w:color w:val="1E293B"/>
                <w:sz w:val="17"/>
              </w:rPr>
              <w:t>Italo / José Guylherme / Guilherme</w:t>
            </w:r>
          </w:p>
        </w:tc>
        <w:tc>
          <w:tcPr>
            <w:tcW w:type="dxa" w:w="1008"/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40" w:after="40"/>
              <w:jc w:val="center"/>
            </w:pPr>
            <w:r>
              <w:rPr>
                <w:color w:val="1E293B"/>
                <w:sz w:val="17"/>
              </w:rPr>
              <w:t>8 pts</w:t>
            </w:r>
          </w:p>
        </w:tc>
      </w:tr>
      <w:tr>
        <w:tc>
          <w:tcPr>
            <w:tcW w:type="dxa" w:w="864"/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1E293B"/>
                <w:sz w:val="17"/>
              </w:rPr>
              <w:t>#17</w:t>
            </w:r>
          </w:p>
        </w:tc>
        <w:tc>
          <w:tcPr>
            <w:tcW w:type="dxa" w:w="864"/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40" w:after="40"/>
              <w:jc w:val="center"/>
            </w:pPr>
            <w:r>
              <w:rPr>
                <w:color w:val="1E293B"/>
                <w:sz w:val="17"/>
              </w:rPr>
              <w:t>test</w:t>
            </w:r>
          </w:p>
        </w:tc>
        <w:tc>
          <w:tcPr>
            <w:tcW w:type="dxa" w:w="3888"/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40" w:after="40"/>
            </w:pPr>
            <w:r>
              <w:rPr>
                <w:color w:val="1E293B"/>
                <w:sz w:val="17"/>
              </w:rPr>
              <w:t>QA: Cenários e Relatório de Testes de Aceitação (TEA)</w:t>
            </w:r>
          </w:p>
        </w:tc>
        <w:tc>
          <w:tcPr>
            <w:tcW w:type="dxa" w:w="3168"/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40" w:after="40"/>
            </w:pPr>
            <w:r>
              <w:rPr>
                <w:color w:val="1E293B"/>
                <w:sz w:val="17"/>
              </w:rPr>
              <w:t>Equipe de QA</w:t>
            </w:r>
          </w:p>
        </w:tc>
        <w:tc>
          <w:tcPr>
            <w:tcW w:type="dxa" w:w="1008"/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40" w:after="40"/>
              <w:jc w:val="center"/>
            </w:pPr>
            <w:r>
              <w:rPr>
                <w:color w:val="1E293B"/>
                <w:sz w:val="17"/>
              </w:rPr>
              <w:t>3 pts</w:t>
            </w:r>
          </w:p>
        </w:tc>
      </w:tr>
    </w:tbl>
    <w:p>
      <w:pPr>
        <w:keepNext/>
        <w:spacing w:before="240" w:after="80"/>
      </w:pPr>
      <w:r>
        <w:rPr>
          <w:rFonts w:ascii="Calibri" w:hAnsi="Calibri"/>
          <w:b/>
          <w:color w:val="102C57"/>
          <w:sz w:val="24"/>
        </w:rPr>
        <w:t>5. MARCOS, PRAZOS E ENCERRAMENTO</w:t>
      </w:r>
    </w:p>
    <w:p>
      <w:pPr>
        <w:pStyle w:val="ListBullet"/>
        <w:spacing w:after="40"/>
      </w:pPr>
      <w:r>
        <w:rPr>
          <w:color w:val="1E293B"/>
          <w:sz w:val="19"/>
        </w:rPr>
        <w:t>Marco Intermediário (Terça-feira, 11/08/2026): Apresentação de evidências ao Professor Clayton (Protótipos de tela, DER validado, branches e commits ativos).</w:t>
      </w:r>
    </w:p>
    <w:p>
      <w:pPr>
        <w:pStyle w:val="ListBullet"/>
        <w:spacing w:after="40"/>
      </w:pPr>
      <w:r>
        <w:rPr>
          <w:color w:val="1E293B"/>
          <w:sz w:val="19"/>
        </w:rPr>
        <w:t>Encerramento da Sprint 2 (17/08/2026): Módulo de Catálogo de Materiais 100% integrado (Frontend + Backend + PostgreSQL) e testado em produção/homologação.</w:t>
      </w:r>
    </w:p>
    <w:p>
      <w:pPr>
        <w:spacing w:before="280" w:after="80"/>
      </w:pPr>
      <w:r>
        <w:rPr>
          <w:i/>
          <w:color w:val="64748B"/>
          <w:sz w:val="18"/>
        </w:rPr>
        <w:t>Ata lavrada por Guilherme Kauã Matos da Silva e revisada por Nichollas Cavalcante (Scrum Master).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