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666666"/>
  <w:body>
    <w:p w:rsidR="00000000" w:rsidDel="00000000" w:rsidP="00000000" w:rsidRDefault="00000000" w:rsidRPr="00000000">
      <w:pPr>
        <w:pStyle w:val="Title"/>
        <w:contextualSpacing w:val="0"/>
      </w:pPr>
      <w:bookmarkStart w:colFirst="0" w:colLast="0" w:name="h.andh1cexcog2" w:id="0"/>
      <w:bookmarkEnd w:id="0"/>
      <w:r w:rsidDel="00000000" w:rsidR="00000000" w:rsidRPr="00000000">
        <w:rPr>
          <w:rtl w:val="0"/>
        </w:rPr>
        <w:t xml:space="preserve">Dagsorden / Referat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4962525</wp:posOffset>
            </wp:positionH>
            <wp:positionV relativeFrom="paragraph">
              <wp:posOffset>142875</wp:posOffset>
            </wp:positionV>
            <wp:extent cx="952500" cy="952500"/>
            <wp:effectExtent b="0" l="0" r="0" t="0"/>
            <wp:wrapSquare wrapText="bothSides" distB="114300" distT="114300" distL="114300" distR="114300"/>
            <wp:docPr descr="LogoFromScratch_s.png" id="1" name="image01.png"/>
            <a:graphic>
              <a:graphicData uri="http://schemas.openxmlformats.org/drawingml/2006/picture">
                <pic:pic>
                  <pic:nvPicPr>
                    <pic:cNvPr descr="LogoFromScratch_s.png" id="0" name="image01.png"/>
                    <pic:cNvPicPr preferRelativeResize="0"/>
                  </pic:nvPicPr>
                  <pic:blipFill>
                    <a:blip r:embed="rId5"/>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pPr>
        <w:pBdr>
          <w:top w:color="auto" w:space="1" w:sz="4" w:val="single"/>
        </w:pBdr>
      </w:pPr>
      <w:r w:rsidDel="00000000" w:rsidR="00000000" w:rsidRPr="00000000">
        <w:rPr>
          <w:rtl w:val="0"/>
        </w:rPr>
        <w:t xml:space="preserve">Mødedato: 2014/03/31</w:t>
      </w:r>
    </w:p>
    <w:p w:rsidR="00000000" w:rsidDel="00000000" w:rsidP="00000000" w:rsidRDefault="00000000" w:rsidRPr="00000000">
      <w:pPr>
        <w:pStyle w:val="Heading2"/>
        <w:contextualSpacing w:val="0"/>
      </w:pPr>
      <w:bookmarkStart w:colFirst="0" w:colLast="0" w:name="h.bnhcf8k1ameo" w:id="2"/>
      <w:bookmarkEnd w:id="2"/>
      <w:r w:rsidDel="00000000" w:rsidR="00000000" w:rsidRPr="00000000">
        <w:rPr>
          <w:rFonts w:ascii="Dosis" w:cs="Dosis" w:eastAsia="Dosis" w:hAnsi="Dosis"/>
          <w:b w:val="0"/>
          <w:sz w:val="36"/>
          <w:rtl w:val="0"/>
        </w:rPr>
        <w:t xml:space="preserve">Inviterede: </w:t>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 Deltog</w:t>
      </w:r>
    </w:p>
    <w:tbl>
      <w:tblPr>
        <w:tblStyle w:val="Table1"/>
        <w:bidi w:val="0"/>
        <w:tblW w:w="9840.0" w:type="dxa"/>
        <w:jc w:val="center"/>
        <w:tblLayout w:type="fixed"/>
        <w:tblLook w:val="0600"/>
      </w:tblPr>
      <w:tblGrid>
        <w:gridCol w:w="4875"/>
        <w:gridCol w:w="4965"/>
        <w:tblGridChange w:id="0">
          <w:tblGrid>
            <w:gridCol w:w="4875"/>
            <w:gridCol w:w="49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Jonas Christoffersen (jchri12@student.aau.dk) - 4. sem - DAT (*)</w:t>
            </w:r>
          </w:p>
          <w:p w:rsidR="00000000" w:rsidDel="00000000" w:rsidP="00000000" w:rsidRDefault="00000000" w:rsidRPr="00000000">
            <w:pPr>
              <w:contextualSpacing w:val="0"/>
              <w:rPr/>
            </w:pPr>
            <w:r w:rsidDel="00000000" w:rsidR="00000000" w:rsidRPr="00000000">
              <w:rPr>
                <w:sz w:val="16"/>
                <w:rtl w:val="0"/>
              </w:rPr>
              <w:t xml:space="preserve">Anders Trier Olesen (atol12@student.aau.dk) - 4. sem - DAT (*)</w:t>
            </w:r>
          </w:p>
          <w:p w:rsidR="00000000" w:rsidDel="00000000" w:rsidP="00000000" w:rsidRDefault="00000000" w:rsidRPr="00000000">
            <w:pPr>
              <w:contextualSpacing w:val="0"/>
              <w:rPr/>
            </w:pPr>
            <w:r w:rsidDel="00000000" w:rsidR="00000000" w:rsidRPr="00000000">
              <w:rPr>
                <w:sz w:val="16"/>
                <w:rtl w:val="0"/>
              </w:rPr>
              <w:t xml:space="preserve">Tina Andersen (ta12@student.aau.dk) - 4. sem - DAT (*)</w:t>
            </w:r>
          </w:p>
          <w:p w:rsidR="00000000" w:rsidDel="00000000" w:rsidP="00000000" w:rsidRDefault="00000000" w:rsidRPr="00000000">
            <w:pPr>
              <w:contextualSpacing w:val="0"/>
              <w:rPr/>
            </w:pPr>
            <w:r w:rsidDel="00000000" w:rsidR="00000000" w:rsidRPr="00000000">
              <w:rPr>
                <w:sz w:val="16"/>
                <w:rtl w:val="0"/>
              </w:rPr>
              <w:t xml:space="preserve">Mads Æbeløe Madsen (madmad12@student.aau.dk) - 4. sem - DAT (*)</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z w:val="16"/>
                <w:rtl w:val="0"/>
              </w:rPr>
              <w:t xml:space="preserve">Andreas H. Klostergaard (aklost11@student.aau.dk) - 2. sem - DAT</w:t>
            </w:r>
          </w:p>
          <w:p w:rsidR="00000000" w:rsidDel="00000000" w:rsidP="00000000" w:rsidRDefault="00000000" w:rsidRPr="00000000">
            <w:pPr>
              <w:contextualSpacing w:val="0"/>
              <w:rPr/>
            </w:pPr>
            <w:r w:rsidDel="00000000" w:rsidR="00000000" w:rsidRPr="00000000">
              <w:rPr>
                <w:sz w:val="16"/>
                <w:rtl w:val="0"/>
              </w:rPr>
              <w:t xml:space="preserve">Johannes Lindhart Borresen (jborre10@student.aau.dk) - 8. sem - SW(*)</w:t>
            </w:r>
          </w:p>
          <w:p w:rsidR="00000000" w:rsidDel="00000000" w:rsidP="00000000" w:rsidRDefault="00000000" w:rsidRPr="00000000">
            <w:pPr>
              <w:contextualSpacing w:val="0"/>
              <w:rPr/>
            </w:pPr>
            <w:r w:rsidDel="00000000" w:rsidR="00000000" w:rsidRPr="00000000">
              <w:rPr>
                <w:sz w:val="16"/>
                <w:rtl w:val="0"/>
              </w:rPr>
              <w:t xml:space="preserve">Martin Bjeldbak Madsen (mbma11@student.aau.dk) - 6. sem - DAT(*)</w:t>
            </w:r>
          </w:p>
          <w:p w:rsidR="00000000" w:rsidDel="00000000" w:rsidP="00000000" w:rsidRDefault="00000000" w:rsidRPr="00000000">
            <w:pPr>
              <w:contextualSpacing w:val="0"/>
            </w:pPr>
            <w:r w:rsidDel="00000000" w:rsidR="00000000" w:rsidRPr="00000000">
              <w:rPr>
                <w:sz w:val="16"/>
                <w:rtl w:val="0"/>
              </w:rPr>
              <w:t xml:space="preserve">Sine Viesmose Birch  (sine@adsl-aau.dk) - 8. sem - DAT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16"/>
                <w:rtl w:val="0"/>
              </w:rPr>
              <w:t xml:space="preserve">Observator: Daniel Neupart Hansen - dneupart@gmail.com (*)</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vwwzgaci0ly" w:id="3"/>
      <w:bookmarkEnd w:id="3"/>
      <w:r w:rsidDel="00000000" w:rsidR="00000000" w:rsidRPr="00000000">
        <w:rPr>
          <w:rtl w:val="0"/>
        </w:rPr>
        <w:t xml:space="preserve">Mødepunkter: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Siden sidst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S'ets generalforsamling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Hvad skal vi bruge vores penge på.</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Burde vi sætte en grænse for hvor mange penge vi vil give til de forskellige formål?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Årets studerende.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Kan vi venter med at offentliggøre årets studerende? Nogle af de nominerede vil ikke få noget ud af pengene hvis de bliver givet til F-sportsdag(10. semester studerende) Derfor burde vi overveje at offentliggøre fredag d. 4 april eller en anden dag i uge 14.</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Skal bestyrelsen indviges i hvem der er blevet årets studerende og træffe beslutning på baggrund af dette?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Økonomi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Økonomien ser skidt ud, men hvor meget ved de studerende, og bør vi være med til at brede budskabet?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EK-kantinen forsvinder, mere nyt efter påske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Diverse orienteringer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Engelsk version af hjemmesiden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Vedtægtændrings arbejde foregår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Overdragelsesaften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Initiv ansøgning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 </w:t>
      </w:r>
      <w:hyperlink r:id="rId6">
        <w:r w:rsidDel="00000000" w:rsidR="00000000" w:rsidRPr="00000000">
          <w:rPr>
            <w:color w:val="1155cc"/>
            <w:u w:val="single"/>
            <w:rtl w:val="0"/>
          </w:rPr>
          <w:t xml:space="preserve">"Støtteansøgning - Sportsdag ...</w:t>
        </w:r>
      </w:hyperlink>
      <w:r w:rsidDel="00000000" w:rsidR="00000000" w:rsidRPr="00000000">
        <w:rPr>
          <w:rtl w:val="0"/>
        </w:rPr>
        <w:t xml:space="preserve">" </w:t>
      </w:r>
      <w:r w:rsidDel="00000000" w:rsidR="00000000" w:rsidRPr="00000000">
        <w:rPr>
          <w:sz w:val="20"/>
          <w:rtl w:val="0"/>
        </w:rPr>
        <w:t xml:space="preserve">(Mads og Sine vil ikke deltage i denne diskussion og beslutning da vi også er medlemmer af ansøger gruppen)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t4q6b9ah5et" w:id="4"/>
      <w:bookmarkEnd w:id="4"/>
      <w:r w:rsidDel="00000000" w:rsidR="00000000" w:rsidRPr="00000000">
        <w:rPr>
          <w:rtl w:val="0"/>
        </w:rPr>
        <w:t xml:space="preserve">Referat: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Siden sidst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UPF -&gt; Mads regner med at deltage.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Efter GF er der sket det at man er begyndt at dele S'et mere op. Studentersamfundets SD tager sig af den studenterpolitiske som repræsenterer Studentersamfundet mens UPF tager sig af de generelle studenterpolitiske dele som vedrører UPF. Der var rigtig mange grupperinger som forsøger at trække S'et i forskellige retning.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Brug vores penge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Formål med forening, det er svært at vurderer på hvilket grundlag ansøgninger skal vurderes på. Det vil være synd hvis FKlubben taber kontakten til virksomheds verdenen. Der skal holdes et længere møde hvor dette skal behandles. Tirsdag d. 8 April efter kl 16.15. Fremgangsmåder til overvejelse : 50/50 (ekstern/ADSL), støtte til specielle typer arrangementer.  Kun støtte hvis ADSL er direkte involveret, eks.årets studerende eller lignende.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Årets Studerende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Offentliggøre det på fredag. ADSL. Vi giver 3 anker á 650,- . Vinderen offentligøres på trods af  inabscendia. De nominerede offentliggøres inklusiv deres indstilling, dog uden personen som har indstillet dem navn. Dette gøres for at kvalificerer den valgte vinder og for at give et stort klap på skulderen til de nominerede, vi er så glade for at have disse dejlige mennesker på vores studier.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Økonomi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Økonomien er absolut ikke god pt. Der mangler i den grad information til de studerende. De folk som sidder i de repræsentative organer skal sikre sig at man får bragt det tilbage til sidst. Der foreslås at vi holder et Briefing Seminar, hvor vi kan gennemgå siden sidst fra: ADSL, Studienævn, Institutråd, mv. Dette kommer som et forslag på baggrund af sidste institutsrådsmøde, hvor Sine oplevede at de ansatte i udvalget havde til opgave at fortælle tilbage til deres forskningsgrupper, mens de studerende ikek har formået at gøre det samme. Derfor er der ikke særlig mange som er klar over hvilken situation institutet faktisk skal navigerer sig i og hvorfor beslutninger blandt andet træffes som de gør.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Diverse opfølgning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Der er nu lavet en nogenlunde engelsk oversættelse af hjemmesiden. Vi skal huske at alt materiale vi fremadrettet laver skal bruge begge skriftssprog.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Mads har påbegyndt et revideringsarbejde af vedtægterne og tager gerne mod gode inputs.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Daniel arbejder forsat med overdragelsesweekend. Det er ved at være så sent henne at vi ikke længere kan kalde det en overdragelsesweekend, men nærmere en opkvaliciferingsaften. Daniel påtænker pt. at lave et seminar omkring konflikthåndtering og andre gode studenterpolitiske fif.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Initiv ansøgning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ADSL matcher initivs andre sponsorer op til 8.000kr.  50/50 løsning.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osi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ffffff"/>
        <w:sz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before="200" w:lineRule="auto"/>
      <w:contextualSpacing w:val="1"/>
    </w:pPr>
    <w:rPr>
      <w:sz w:val="3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Dosis" w:cs="Dosis" w:eastAsia="Dosis" w:hAnsi="Dosis"/>
      <w:color w:val="ffffff"/>
      <w:sz w:val="48"/>
    </w:rPr>
  </w:style>
  <w:style w:type="paragraph" w:styleId="Subtitle">
    <w:name w:val="Subtitle"/>
    <w:basedOn w:val="Normal"/>
    <w:next w:val="Normal"/>
    <w:pPr>
      <w:keepNext w:val="1"/>
      <w:keepLines w:val="1"/>
      <w:spacing w:after="200" w:lineRule="auto"/>
      <w:contextualSpacing w:val="1"/>
    </w:pPr>
    <w:rPr>
      <w:rFonts w:ascii="Dosis" w:cs="Dosis" w:eastAsia="Dosis" w:hAnsi="Dosis"/>
      <w:color w:val="ffffff"/>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drive.google.com/open?id=0B0uARsGw-BPBOS00dnltY0RlOUN0REdZOU1OcVZQdkhiVU1j" TargetMode="External"/><Relationship Id="rId5" Type="http://schemas.openxmlformats.org/officeDocument/2006/relationships/image" Target="media/image01.png"/></Relationships>
</file>