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år/måned/dato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- 5.  DAT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- 5.  DAT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- 5.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- 45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Mikkel Bonde Christensen ( ) - 3. DAT()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( ) - 3. DAT(*)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Observatører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F-klubben: Ølglas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sd30y5syl70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1. Mads er ordstyrer. Tina skriver referat.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Referat godkendt.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Dagsordnen er godkendt.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Nyt fra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4.1 Mads har brugt 500kr. på en robotarm til Studenterpolitisk Kagedag og en hængelås til skabe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4.2 Status: der er brugt mange penge inden for de sidste par uger. Der har været mange arrangementer (støtte). Der er enighed om at pengene er brugt korrekt.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4.3</w:t>
        <w:tab/>
        <w:t xml:space="preserve"> Valgudvalg: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Studenterpolitisk kagedag i morgen (fredag) i kantinen 10-11. Der laves konkurrence om de styrende organer for at fremme viden om disse.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Vil gerne købe trøjer, hættetrøjer til bestyrelsen, tshirt til andre: ca. 6000kr.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Vil gerne købe to bannere: ca. 1200kr.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Der gives lov til valgudvalget at bruge op til 7200kr.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Eventudvalg: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ADSL Griner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Bestyrelsen ønsker at event-udvalget overvejer flere muligheder ift. komikere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Max. 25000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Sociale arrangementer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ADSL Bowler. Ca. 4480kr. Vedtaget.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Pr-udvalget: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Vil gerne kigge videre på køb af kaffekopper og kuglepinde med logo og vender tilbage til bestyrelsen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Ansøgninger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5.1 Ølglas: Ca. 2000kr. Vedtaget. Vi vil se logo inden Jacob (Kasserer, F-klubben) bestiller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Eventuelt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Mads spørger om lov til at købe forlængerledninger, han får lov.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på hulen: Ekstra arbejdsplads på universitetet. Vi vil gerne have mere aflåst skabsplads.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