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Så det kan ses i bilag “</w:t>
      </w:r>
      <w:r w:rsidDel="00000000" w:rsidR="00000000" w:rsidRPr="00000000">
        <w:rPr>
          <w:sz w:val="20"/>
          <w:szCs w:val="20"/>
          <w:rtl w:val="0"/>
        </w:rPr>
        <w:t xml:space="preserve">2014 - ADSL_Nye_Hættejakke”  har det kostet  kr 2.594,00 at købe dem. Der har været et gebyr af 25,94 hvilket ADSL har valg at betale. Formand og kasserer har godkendt dette se samlet herunder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114300</wp:posOffset>
            </wp:positionV>
            <wp:extent cx="3088481" cy="61769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6933" l="0" r="0" t="6933"/>
                    <a:stretch>
                      <a:fillRect/>
                    </a:stretch>
                  </pic:blipFill>
                  <pic:spPr>
                    <a:xfrm>
                      <a:off x="0" y="0"/>
                      <a:ext cx="3088481" cy="617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6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