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1B681" w14:textId="77777777" w:rsidR="001A3CB3" w:rsidRDefault="001909A5">
      <w:pPr>
        <w:jc w:val="center"/>
      </w:pPr>
      <w:r>
        <w:rPr>
          <w:b/>
          <w:sz w:val="44"/>
        </w:rPr>
        <w:t>REQUISITOS NO FUNCIONALES (RNF)</w:t>
      </w:r>
    </w:p>
    <w:p w14:paraId="43A34068" w14:textId="77777777" w:rsidR="001A3CB3" w:rsidRDefault="001909A5">
      <w:pPr>
        <w:pStyle w:val="Ttulo1"/>
      </w:pPr>
      <w:r>
        <w:t>Índice de Requisitos No Funcionales</w:t>
      </w:r>
    </w:p>
    <w:p w14:paraId="68EAAF65" w14:textId="77777777" w:rsidR="001A3CB3" w:rsidRDefault="001909A5">
      <w:pPr>
        <w:pStyle w:val="Listaconvietas"/>
      </w:pPr>
      <w:r>
        <w:t xml:space="preserve">RNF-001 — </w:t>
      </w:r>
      <w:r>
        <w:t>Rendimiento</w:t>
      </w:r>
    </w:p>
    <w:p w14:paraId="0E5798D3" w14:textId="77777777" w:rsidR="001A3CB3" w:rsidRDefault="001909A5">
      <w:pPr>
        <w:pStyle w:val="Listaconvietas"/>
      </w:pPr>
      <w:r>
        <w:t>RNF-002 — Seguridad</w:t>
      </w:r>
    </w:p>
    <w:p w14:paraId="518E960A" w14:textId="77777777" w:rsidR="001A3CB3" w:rsidRDefault="001909A5">
      <w:pPr>
        <w:pStyle w:val="Listaconvietas"/>
      </w:pPr>
      <w:r>
        <w:t>RNF-003 — Seguridad</w:t>
      </w:r>
    </w:p>
    <w:p w14:paraId="661EF118" w14:textId="77777777" w:rsidR="001A3CB3" w:rsidRDefault="001909A5">
      <w:pPr>
        <w:pStyle w:val="Listaconvietas"/>
      </w:pPr>
      <w:r>
        <w:t>RNF-004 — Disponibilidad</w:t>
      </w:r>
    </w:p>
    <w:p w14:paraId="4C142266" w14:textId="77777777" w:rsidR="001A3CB3" w:rsidRDefault="001909A5">
      <w:pPr>
        <w:pStyle w:val="Listaconvietas"/>
      </w:pPr>
      <w:r>
        <w:t>RNF-005 — Mantenibilidad / Trazabilidad</w:t>
      </w:r>
    </w:p>
    <w:p w14:paraId="3B78867C" w14:textId="77777777" w:rsidR="001A3CB3" w:rsidRDefault="001909A5">
      <w:pPr>
        <w:pStyle w:val="Listaconvietas"/>
      </w:pPr>
      <w:r>
        <w:t>RNF-006 — Integridad de datos</w:t>
      </w:r>
    </w:p>
    <w:p w14:paraId="19CC1E50" w14:textId="77777777" w:rsidR="001A3CB3" w:rsidRDefault="001909A5">
      <w:pPr>
        <w:pStyle w:val="Listaconvietas"/>
      </w:pPr>
      <w:r>
        <w:t>RNF-007 — Usabilidad</w:t>
      </w:r>
    </w:p>
    <w:p w14:paraId="46B39FAE" w14:textId="77777777" w:rsidR="001A3CB3" w:rsidRDefault="001909A5">
      <w:pPr>
        <w:pStyle w:val="Listaconvietas"/>
      </w:pPr>
      <w:r>
        <w:t>RNF-008 — Compatibilidad</w:t>
      </w:r>
    </w:p>
    <w:p w14:paraId="7401AE06" w14:textId="77777777" w:rsidR="001A3CB3" w:rsidRDefault="001909A5">
      <w:pPr>
        <w:pStyle w:val="Listaconvietas"/>
      </w:pPr>
      <w:r>
        <w:t>RNF-009 — Consistencia / Tiempo real</w:t>
      </w:r>
    </w:p>
    <w:p w14:paraId="7F7E17E2" w14:textId="77777777" w:rsidR="001A3CB3" w:rsidRDefault="001909A5">
      <w:pPr>
        <w:pStyle w:val="Listaconvietas"/>
      </w:pPr>
      <w:r>
        <w:t>RNF-010 — Portabilidad</w:t>
      </w:r>
    </w:p>
    <w:p w14:paraId="2367351C" w14:textId="77777777" w:rsidR="001A3CB3" w:rsidRDefault="001909A5">
      <w:r>
        <w:br w:type="page"/>
      </w:r>
    </w:p>
    <w:p w14:paraId="496D3E53" w14:textId="77777777" w:rsidR="001A3CB3" w:rsidRDefault="001909A5">
      <w:pPr>
        <w:pStyle w:val="Ttulo2"/>
      </w:pPr>
      <w:r>
        <w:lastRenderedPageBreak/>
        <w:t>R</w:t>
      </w:r>
      <w:r>
        <w:t>NF-001 — Rendimiento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1A3CB3" w14:paraId="4085ACFE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7EFCD71B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ID:</w:t>
            </w:r>
          </w:p>
        </w:tc>
        <w:tc>
          <w:tcPr>
            <w:tcW w:w="7087" w:type="dxa"/>
          </w:tcPr>
          <w:p w14:paraId="44D528A9" w14:textId="77777777" w:rsidR="001A3CB3" w:rsidRDefault="001909A5">
            <w:pPr>
              <w:spacing w:after="40"/>
            </w:pPr>
            <w:r>
              <w:rPr>
                <w:sz w:val="20"/>
              </w:rPr>
              <w:t>RNF-001</w:t>
            </w:r>
          </w:p>
        </w:tc>
      </w:tr>
      <w:tr w:rsidR="001A3CB3" w14:paraId="540A2F78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34A5EB1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Categoría:</w:t>
            </w:r>
          </w:p>
        </w:tc>
        <w:tc>
          <w:tcPr>
            <w:tcW w:w="7087" w:type="dxa"/>
          </w:tcPr>
          <w:p w14:paraId="371FA503" w14:textId="77777777" w:rsidR="001A3CB3" w:rsidRDefault="001909A5">
            <w:pPr>
              <w:spacing w:after="40"/>
            </w:pPr>
            <w:r>
              <w:rPr>
                <w:sz w:val="20"/>
              </w:rPr>
              <w:t>Rendimiento</w:t>
            </w:r>
          </w:p>
        </w:tc>
      </w:tr>
      <w:tr w:rsidR="001A3CB3" w14:paraId="3163EA1E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25CBDE18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Descripción:</w:t>
            </w:r>
          </w:p>
        </w:tc>
        <w:tc>
          <w:tcPr>
            <w:tcW w:w="7087" w:type="dxa"/>
          </w:tcPr>
          <w:p w14:paraId="19140DD9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El sistema deberá responder a las operaciones de consulta y escritura (crear/actualizar torneos, equipos, jugadores, encuentros, cronologías) en un tiempo máximo aceptable para el </w:t>
            </w:r>
            <w:r>
              <w:rPr>
                <w:sz w:val="20"/>
              </w:rPr>
              <w:t>usuario, incluso con múltiples torneos y encuentros activos simultáneamente.</w:t>
            </w:r>
          </w:p>
        </w:tc>
      </w:tr>
      <w:tr w:rsidR="001A3CB3" w14:paraId="3D2596AE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11941C9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Justificación:</w:t>
            </w:r>
          </w:p>
        </w:tc>
        <w:tc>
          <w:tcPr>
            <w:tcW w:w="7087" w:type="dxa"/>
          </w:tcPr>
          <w:p w14:paraId="20FDA166" w14:textId="77777777" w:rsidR="001A3CB3" w:rsidRDefault="001909A5">
            <w:pPr>
              <w:spacing w:after="40"/>
            </w:pPr>
            <w:r>
              <w:rPr>
                <w:sz w:val="20"/>
              </w:rPr>
              <w:t>Garantizar una experiencia fluida en la app Android y el frontend web, evitando bloqueos percibidos por el usuario durante el registro de eventos en vivo (goles, t</w:t>
            </w:r>
            <w:r>
              <w:rPr>
                <w:sz w:val="20"/>
              </w:rPr>
              <w:t>arjetas).</w:t>
            </w:r>
          </w:p>
        </w:tc>
      </w:tr>
      <w:tr w:rsidR="001A3CB3" w14:paraId="5CE8BA22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61255C5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Métrica:</w:t>
            </w:r>
          </w:p>
        </w:tc>
        <w:tc>
          <w:tcPr>
            <w:tcW w:w="7087" w:type="dxa"/>
          </w:tcPr>
          <w:p w14:paraId="6871481F" w14:textId="77777777" w:rsidR="001A3CB3" w:rsidRDefault="001909A5">
            <w:pPr>
              <w:spacing w:after="40"/>
            </w:pPr>
            <w:r>
              <w:rPr>
                <w:sz w:val="20"/>
              </w:rPr>
              <w:t>Tiempo de respuesta del backend (Node/Express + MySQL) medido en milisegundos por endpoint.</w:t>
            </w:r>
          </w:p>
        </w:tc>
      </w:tr>
      <w:tr w:rsidR="001A3CB3" w14:paraId="216A629D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7398144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Valor esperado:</w:t>
            </w:r>
          </w:p>
        </w:tc>
        <w:tc>
          <w:tcPr>
            <w:tcW w:w="7087" w:type="dxa"/>
          </w:tcPr>
          <w:p w14:paraId="24210285" w14:textId="77777777" w:rsidR="001A3CB3" w:rsidRDefault="001909A5">
            <w:pPr>
              <w:spacing w:after="40"/>
            </w:pPr>
            <w:r>
              <w:rPr>
                <w:sz w:val="20"/>
              </w:rPr>
              <w:t>El 95% de las peticiones deberán responder en ≤ 3 segundos bajo condiciones normales de carga.</w:t>
            </w:r>
          </w:p>
        </w:tc>
      </w:tr>
      <w:tr w:rsidR="001A3CB3" w14:paraId="6D692104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955E0A7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Método de validación:</w:t>
            </w:r>
          </w:p>
        </w:tc>
        <w:tc>
          <w:tcPr>
            <w:tcW w:w="7087" w:type="dxa"/>
          </w:tcPr>
          <w:p w14:paraId="3E982250" w14:textId="77777777" w:rsidR="001A3CB3" w:rsidRDefault="001909A5">
            <w:pPr>
              <w:spacing w:after="40"/>
            </w:pPr>
            <w:r>
              <w:rPr>
                <w:sz w:val="20"/>
              </w:rPr>
              <w:t>Pruebas d</w:t>
            </w:r>
            <w:r>
              <w:rPr>
                <w:sz w:val="20"/>
              </w:rPr>
              <w:t>e carga con herramientas de medición de tiempos de respuesta sobre los endpoints principales (login, listado de torneos, registro de eventos de cronología).</w:t>
            </w:r>
          </w:p>
        </w:tc>
      </w:tr>
      <w:tr w:rsidR="001A3CB3" w14:paraId="0EA7FCF2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75247B01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Casos de prueba asociados:</w:t>
            </w:r>
          </w:p>
        </w:tc>
        <w:tc>
          <w:tcPr>
            <w:tcW w:w="7087" w:type="dxa"/>
          </w:tcPr>
          <w:p w14:paraId="138FCC94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CP-058 Medición de tiempo de respuesta en consulta de torneos. </w:t>
            </w:r>
            <w:r>
              <w:rPr>
                <w:sz w:val="20"/>
              </w:rPr>
              <w:t>CP-059 Medición de tiempo de respuesta en registro de eventos de cronología.</w:t>
            </w:r>
          </w:p>
        </w:tc>
      </w:tr>
      <w:tr w:rsidR="001A3CB3" w14:paraId="72365CFF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5D9F85B6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Observaciones:</w:t>
            </w:r>
          </w:p>
        </w:tc>
        <w:tc>
          <w:tcPr>
            <w:tcW w:w="7087" w:type="dxa"/>
          </w:tcPr>
          <w:p w14:paraId="4BD980FE" w14:textId="77777777" w:rsidR="001A3CB3" w:rsidRDefault="001909A5">
            <w:pPr>
              <w:spacing w:after="40"/>
            </w:pPr>
            <w:r>
              <w:rPr>
                <w:sz w:val="20"/>
              </w:rPr>
              <w:t>Impacta directamente RF-001 a RF-008 en sus operaciones de consulta y registro.</w:t>
            </w:r>
          </w:p>
        </w:tc>
      </w:tr>
    </w:tbl>
    <w:p w14:paraId="2A9AA2D7" w14:textId="77777777" w:rsidR="001A3CB3" w:rsidRDefault="001A3CB3"/>
    <w:p w14:paraId="0965E3DB" w14:textId="77777777" w:rsidR="001A3CB3" w:rsidRDefault="001909A5">
      <w:pPr>
        <w:pStyle w:val="Ttulo2"/>
      </w:pPr>
      <w:r>
        <w:t>RNF-002 — Seguridad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1A3CB3" w14:paraId="11C4116E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24E3028E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ID:</w:t>
            </w:r>
          </w:p>
        </w:tc>
        <w:tc>
          <w:tcPr>
            <w:tcW w:w="7087" w:type="dxa"/>
          </w:tcPr>
          <w:p w14:paraId="33E5CBB1" w14:textId="77777777" w:rsidR="001A3CB3" w:rsidRDefault="001909A5">
            <w:pPr>
              <w:spacing w:after="40"/>
            </w:pPr>
            <w:r>
              <w:rPr>
                <w:sz w:val="20"/>
              </w:rPr>
              <w:t>RNF-002</w:t>
            </w:r>
          </w:p>
        </w:tc>
      </w:tr>
      <w:tr w:rsidR="001A3CB3" w14:paraId="6674A232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29DD716B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Categoría:</w:t>
            </w:r>
          </w:p>
        </w:tc>
        <w:tc>
          <w:tcPr>
            <w:tcW w:w="7087" w:type="dxa"/>
          </w:tcPr>
          <w:p w14:paraId="2F54E226" w14:textId="77777777" w:rsidR="001A3CB3" w:rsidRDefault="001909A5">
            <w:pPr>
              <w:spacing w:after="40"/>
            </w:pPr>
            <w:r>
              <w:rPr>
                <w:sz w:val="20"/>
              </w:rPr>
              <w:t>Seguridad</w:t>
            </w:r>
          </w:p>
        </w:tc>
      </w:tr>
      <w:tr w:rsidR="001A3CB3" w14:paraId="2325F67F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237F4290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Descripción:</w:t>
            </w:r>
          </w:p>
        </w:tc>
        <w:tc>
          <w:tcPr>
            <w:tcW w:w="7087" w:type="dxa"/>
          </w:tcPr>
          <w:p w14:paraId="64296574" w14:textId="77777777" w:rsidR="001A3CB3" w:rsidRDefault="001909A5">
            <w:pPr>
              <w:spacing w:after="40"/>
            </w:pPr>
            <w:r>
              <w:rPr>
                <w:sz w:val="20"/>
              </w:rPr>
              <w:t>El sistema de</w:t>
            </w:r>
            <w:r>
              <w:rPr>
                <w:sz w:val="20"/>
              </w:rPr>
              <w:t>berá almacenar las contraseñas de los usuarios mediante mecanismos de cifrado o hash seguro, evitando el almacenamiento en texto plano.</w:t>
            </w:r>
          </w:p>
        </w:tc>
      </w:tr>
      <w:tr w:rsidR="001A3CB3" w14:paraId="60CBBE41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26E3A6F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Justificación:</w:t>
            </w:r>
          </w:p>
        </w:tc>
        <w:tc>
          <w:tcPr>
            <w:tcW w:w="7087" w:type="dxa"/>
          </w:tcPr>
          <w:p w14:paraId="59C47510" w14:textId="77777777" w:rsidR="001A3CB3" w:rsidRDefault="001909A5">
            <w:pPr>
              <w:spacing w:after="40"/>
            </w:pPr>
            <w:r>
              <w:rPr>
                <w:sz w:val="20"/>
              </w:rPr>
              <w:t>Garantizar la confidencialidad de las credenciales de los usuarios y reducir el riesgo de acceso no auto</w:t>
            </w:r>
            <w:r>
              <w:rPr>
                <w:sz w:val="20"/>
              </w:rPr>
              <w:t>rizado ante incidentes de seguridad o compromisos de la base de datos.</w:t>
            </w:r>
          </w:p>
        </w:tc>
      </w:tr>
      <w:tr w:rsidR="001A3CB3" w14:paraId="5B366CCF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34EB37C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Métrica:</w:t>
            </w:r>
          </w:p>
        </w:tc>
        <w:tc>
          <w:tcPr>
            <w:tcW w:w="7087" w:type="dxa"/>
          </w:tcPr>
          <w:p w14:paraId="7D4856CA" w14:textId="77777777" w:rsidR="001A3CB3" w:rsidRDefault="001909A5">
            <w:pPr>
              <w:spacing w:after="40"/>
            </w:pPr>
            <w:r>
              <w:rPr>
                <w:sz w:val="20"/>
              </w:rPr>
              <w:t>Porcentaje de contraseñas almacenadas utilizando un algoritmo de hash seguro.</w:t>
            </w:r>
          </w:p>
        </w:tc>
      </w:tr>
      <w:tr w:rsidR="001A3CB3" w14:paraId="057EBC54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51F9217B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Valor esperado:</w:t>
            </w:r>
          </w:p>
        </w:tc>
        <w:tc>
          <w:tcPr>
            <w:tcW w:w="7087" w:type="dxa"/>
          </w:tcPr>
          <w:p w14:paraId="5D86552E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100% de las contraseñas almacenadas mediante bcrypt (evidenciado en la </w:t>
            </w:r>
            <w:r>
              <w:rPr>
                <w:sz w:val="20"/>
              </w:rPr>
              <w:t>tabla `usuarios`, campo `password`). Ninguna contraseña en texto plano.</w:t>
            </w:r>
          </w:p>
        </w:tc>
      </w:tr>
      <w:tr w:rsidR="001A3CB3" w14:paraId="6DFBCF37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A0B843B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Método de validación:</w:t>
            </w:r>
          </w:p>
        </w:tc>
        <w:tc>
          <w:tcPr>
            <w:tcW w:w="7087" w:type="dxa"/>
          </w:tcPr>
          <w:p w14:paraId="56DCC198" w14:textId="77777777" w:rsidR="001A3CB3" w:rsidRDefault="001909A5">
            <w:pPr>
              <w:spacing w:after="40"/>
            </w:pPr>
            <w:r>
              <w:rPr>
                <w:sz w:val="20"/>
              </w:rPr>
              <w:t>Inspección directa de la tabla `usuarios` en la base de datos, verificando que el campo `password` tenga la estructura de un hash bcrypt ($2b$...).</w:t>
            </w:r>
          </w:p>
        </w:tc>
      </w:tr>
      <w:tr w:rsidR="001A3CB3" w14:paraId="76374845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70495981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Casos de pru</w:t>
            </w:r>
            <w:r>
              <w:rPr>
                <w:b/>
                <w:color w:val="FFFFFF"/>
                <w:sz w:val="20"/>
              </w:rPr>
              <w:t>eba asociados:</w:t>
            </w:r>
          </w:p>
        </w:tc>
        <w:tc>
          <w:tcPr>
            <w:tcW w:w="7087" w:type="dxa"/>
          </w:tcPr>
          <w:p w14:paraId="48FB92B0" w14:textId="77777777" w:rsidR="001A3CB3" w:rsidRDefault="001909A5">
            <w:pPr>
              <w:spacing w:after="40"/>
            </w:pPr>
            <w:r>
              <w:rPr>
                <w:sz w:val="20"/>
              </w:rPr>
              <w:t>CP-060 Verificar que ninguna contraseña se almacene en texto plano. CP-061 Verificar que el login funcione correctamente con contraseñas cifradas.</w:t>
            </w:r>
          </w:p>
        </w:tc>
      </w:tr>
      <w:tr w:rsidR="001A3CB3" w14:paraId="49229265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41DC7335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Observaciones:</w:t>
            </w:r>
          </w:p>
        </w:tc>
        <w:tc>
          <w:tcPr>
            <w:tcW w:w="7087" w:type="dxa"/>
          </w:tcPr>
          <w:p w14:paraId="413C80B6" w14:textId="77777777" w:rsidR="001A3CB3" w:rsidRDefault="001909A5">
            <w:pPr>
              <w:spacing w:after="40"/>
            </w:pPr>
            <w:r>
              <w:rPr>
                <w:sz w:val="20"/>
              </w:rPr>
              <w:t>Impacta RF-001.1 (Registrar usuario) y RF-001.2 (Iniciar sesión). Se recomiend</w:t>
            </w:r>
            <w:r>
              <w:rPr>
                <w:sz w:val="20"/>
              </w:rPr>
              <w:t>a evitar algoritmos obsoletos como MD5 o SHA1.</w:t>
            </w:r>
          </w:p>
        </w:tc>
      </w:tr>
    </w:tbl>
    <w:p w14:paraId="4E570315" w14:textId="77777777" w:rsidR="001A3CB3" w:rsidRDefault="001A3CB3"/>
    <w:p w14:paraId="7B1E2706" w14:textId="77777777" w:rsidR="001A3CB3" w:rsidRDefault="001909A5">
      <w:pPr>
        <w:pStyle w:val="Ttulo2"/>
      </w:pPr>
      <w:r>
        <w:t>RNF-003 — Seguridad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1A3CB3" w14:paraId="3D1D88A0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4ECC0EAF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ID:</w:t>
            </w:r>
          </w:p>
        </w:tc>
        <w:tc>
          <w:tcPr>
            <w:tcW w:w="7087" w:type="dxa"/>
          </w:tcPr>
          <w:p w14:paraId="055C3302" w14:textId="77777777" w:rsidR="001A3CB3" w:rsidRDefault="001909A5">
            <w:pPr>
              <w:spacing w:after="40"/>
            </w:pPr>
            <w:r>
              <w:rPr>
                <w:sz w:val="20"/>
              </w:rPr>
              <w:t>RNF-003</w:t>
            </w:r>
          </w:p>
        </w:tc>
      </w:tr>
      <w:tr w:rsidR="001A3CB3" w14:paraId="37E77378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10F451B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lastRenderedPageBreak/>
              <w:t>Categoría:</w:t>
            </w:r>
          </w:p>
        </w:tc>
        <w:tc>
          <w:tcPr>
            <w:tcW w:w="7087" w:type="dxa"/>
          </w:tcPr>
          <w:p w14:paraId="31DAF4A0" w14:textId="77777777" w:rsidR="001A3CB3" w:rsidRDefault="001909A5">
            <w:pPr>
              <w:spacing w:after="40"/>
            </w:pPr>
            <w:r>
              <w:rPr>
                <w:sz w:val="20"/>
              </w:rPr>
              <w:t>Seguridad</w:t>
            </w:r>
          </w:p>
        </w:tc>
      </w:tr>
      <w:tr w:rsidR="001A3CB3" w14:paraId="721DBF41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45459829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Descripción:</w:t>
            </w:r>
          </w:p>
        </w:tc>
        <w:tc>
          <w:tcPr>
            <w:tcW w:w="7087" w:type="dxa"/>
          </w:tcPr>
          <w:p w14:paraId="19EB475F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El sistema deberá autenticar y autorizar cada solicitud a la API mediante un token JWT válido, restringiendo el acceso a los </w:t>
            </w:r>
            <w:r>
              <w:rPr>
                <w:sz w:val="20"/>
              </w:rPr>
              <w:t>recursos según el rol del usuario (Administrador, Organizador, Usuario).</w:t>
            </w:r>
          </w:p>
        </w:tc>
      </w:tr>
      <w:tr w:rsidR="001A3CB3" w14:paraId="015F460D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7A3F2635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Justificación:</w:t>
            </w:r>
          </w:p>
        </w:tc>
        <w:tc>
          <w:tcPr>
            <w:tcW w:w="7087" w:type="dxa"/>
          </w:tcPr>
          <w:p w14:paraId="63A9BA5C" w14:textId="77777777" w:rsidR="001A3CB3" w:rsidRDefault="001909A5">
            <w:pPr>
              <w:spacing w:after="40"/>
            </w:pPr>
            <w:r>
              <w:rPr>
                <w:sz w:val="20"/>
              </w:rPr>
              <w:t>Evitar accesos no autorizados a operaciones sensibles (gestión de torneos, equipos, usuarios) y garantizar la segregación de funciones definida por los roles.</w:t>
            </w:r>
          </w:p>
        </w:tc>
      </w:tr>
      <w:tr w:rsidR="001A3CB3" w14:paraId="2BA4D6CB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F0F000B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Métrica</w:t>
            </w:r>
            <w:r>
              <w:rPr>
                <w:b/>
                <w:color w:val="FFFFFF"/>
                <w:sz w:val="20"/>
              </w:rPr>
              <w:t>:</w:t>
            </w:r>
          </w:p>
        </w:tc>
        <w:tc>
          <w:tcPr>
            <w:tcW w:w="7087" w:type="dxa"/>
          </w:tcPr>
          <w:p w14:paraId="3D817CFD" w14:textId="77777777" w:rsidR="001A3CB3" w:rsidRDefault="001909A5">
            <w:pPr>
              <w:spacing w:after="40"/>
            </w:pPr>
            <w:r>
              <w:rPr>
                <w:sz w:val="20"/>
              </w:rPr>
              <w:t>Porcentaje de endpoints protegidos que rechazan solicitudes sin token válido.</w:t>
            </w:r>
          </w:p>
        </w:tc>
      </w:tr>
      <w:tr w:rsidR="001A3CB3" w14:paraId="63F8BD7C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DD0FE43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Valor esperado:</w:t>
            </w:r>
          </w:p>
        </w:tc>
        <w:tc>
          <w:tcPr>
            <w:tcW w:w="7087" w:type="dxa"/>
          </w:tcPr>
          <w:p w14:paraId="05B74C5A" w14:textId="77777777" w:rsidR="001A3CB3" w:rsidRDefault="001909A5">
            <w:pPr>
              <w:spacing w:after="40"/>
            </w:pPr>
            <w:r>
              <w:rPr>
                <w:sz w:val="20"/>
              </w:rPr>
              <w:t>100% de los endpoints que modifican información (POST, PUT, DELETE) deben exigir un token JWT válido y verificar el rol correspondiente.</w:t>
            </w:r>
          </w:p>
        </w:tc>
      </w:tr>
      <w:tr w:rsidR="001A3CB3" w14:paraId="7B6230B7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588A1F01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Método de validación:</w:t>
            </w:r>
          </w:p>
        </w:tc>
        <w:tc>
          <w:tcPr>
            <w:tcW w:w="7087" w:type="dxa"/>
          </w:tcPr>
          <w:p w14:paraId="45D444DA" w14:textId="77777777" w:rsidR="001A3CB3" w:rsidRDefault="001909A5">
            <w:pPr>
              <w:spacing w:after="40"/>
            </w:pPr>
            <w:r>
              <w:rPr>
                <w:sz w:val="20"/>
              </w:rPr>
              <w:t>Pruebas de seguridad enviando solicitudes sin token o con token expirado/inválido y verificando el rechazo (HTTP 401/403).</w:t>
            </w:r>
          </w:p>
        </w:tc>
      </w:tr>
      <w:tr w:rsidR="001A3CB3" w14:paraId="7BFE7A23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0F3CE4D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Casos de prueba asociados:</w:t>
            </w:r>
          </w:p>
        </w:tc>
        <w:tc>
          <w:tcPr>
            <w:tcW w:w="7087" w:type="dxa"/>
          </w:tcPr>
          <w:p w14:paraId="243E1027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CP-062 Solicitud sin token (debe rechazarse). CP-063 Solicitud con token expirado (debe </w:t>
            </w:r>
            <w:r>
              <w:rPr>
                <w:sz w:val="20"/>
              </w:rPr>
              <w:t>rechazarse). CP-064 Solicitud con rol insuficiente (debe rechazarse).</w:t>
            </w:r>
          </w:p>
        </w:tc>
      </w:tr>
      <w:tr w:rsidR="001A3CB3" w14:paraId="1C4D3E73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CA0917A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Observaciones:</w:t>
            </w:r>
          </w:p>
        </w:tc>
        <w:tc>
          <w:tcPr>
            <w:tcW w:w="7087" w:type="dxa"/>
          </w:tcPr>
          <w:p w14:paraId="66F9E82F" w14:textId="77777777" w:rsidR="001A3CB3" w:rsidRDefault="001909A5">
            <w:pPr>
              <w:spacing w:after="40"/>
            </w:pPr>
            <w:r>
              <w:rPr>
                <w:sz w:val="20"/>
              </w:rPr>
              <w:t>Impacta todos los módulos RF-002 a RF-008 en sus operaciones de escritura.</w:t>
            </w:r>
          </w:p>
        </w:tc>
      </w:tr>
    </w:tbl>
    <w:p w14:paraId="5A61806B" w14:textId="77777777" w:rsidR="001A3CB3" w:rsidRDefault="001A3CB3"/>
    <w:p w14:paraId="69885D03" w14:textId="77777777" w:rsidR="001A3CB3" w:rsidRDefault="001909A5">
      <w:pPr>
        <w:pStyle w:val="Ttulo2"/>
      </w:pPr>
      <w:r>
        <w:t>RNF-004 — Disponibilidad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1A3CB3" w14:paraId="5C4F89BE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2F653B9E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ID:</w:t>
            </w:r>
          </w:p>
        </w:tc>
        <w:tc>
          <w:tcPr>
            <w:tcW w:w="7087" w:type="dxa"/>
          </w:tcPr>
          <w:p w14:paraId="59ACFC15" w14:textId="77777777" w:rsidR="001A3CB3" w:rsidRDefault="001909A5">
            <w:pPr>
              <w:spacing w:after="40"/>
            </w:pPr>
            <w:r>
              <w:rPr>
                <w:sz w:val="20"/>
              </w:rPr>
              <w:t>RNF-004</w:t>
            </w:r>
          </w:p>
        </w:tc>
      </w:tr>
      <w:tr w:rsidR="001A3CB3" w14:paraId="10BD806F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72642F3D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Categoría:</w:t>
            </w:r>
          </w:p>
        </w:tc>
        <w:tc>
          <w:tcPr>
            <w:tcW w:w="7087" w:type="dxa"/>
          </w:tcPr>
          <w:p w14:paraId="0875229C" w14:textId="77777777" w:rsidR="001A3CB3" w:rsidRDefault="001909A5">
            <w:pPr>
              <w:spacing w:after="40"/>
            </w:pPr>
            <w:r>
              <w:rPr>
                <w:sz w:val="20"/>
              </w:rPr>
              <w:t>Disponibilidad</w:t>
            </w:r>
          </w:p>
        </w:tc>
      </w:tr>
      <w:tr w:rsidR="001A3CB3" w14:paraId="5DFC83D1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50F4D9EC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Descripción:</w:t>
            </w:r>
          </w:p>
        </w:tc>
        <w:tc>
          <w:tcPr>
            <w:tcW w:w="7087" w:type="dxa"/>
          </w:tcPr>
          <w:p w14:paraId="5C590408" w14:textId="77777777" w:rsidR="001A3CB3" w:rsidRDefault="001909A5">
            <w:pPr>
              <w:spacing w:after="40"/>
            </w:pPr>
            <w:r>
              <w:rPr>
                <w:sz w:val="20"/>
              </w:rPr>
              <w:t>El sistema debe</w:t>
            </w:r>
            <w:r>
              <w:rPr>
                <w:sz w:val="20"/>
              </w:rPr>
              <w:t>rá estar disponible para su uso durante los horarios de torneos y encuentros programados, minimizando caídas del servicio.</w:t>
            </w:r>
          </w:p>
        </w:tc>
      </w:tr>
      <w:tr w:rsidR="001A3CB3" w14:paraId="0956CFA6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B59CBC2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Justificación:</w:t>
            </w:r>
          </w:p>
        </w:tc>
        <w:tc>
          <w:tcPr>
            <w:tcW w:w="7087" w:type="dxa"/>
          </w:tcPr>
          <w:p w14:paraId="7EEA9B5A" w14:textId="77777777" w:rsidR="001A3CB3" w:rsidRDefault="001909A5">
            <w:pPr>
              <w:spacing w:after="40"/>
            </w:pPr>
            <w:r>
              <w:rPr>
                <w:sz w:val="20"/>
              </w:rPr>
              <w:t>Los organizadores y usuarios necesitan registrar eventos en tiempo real durante los encuentros; una caída del sistema</w:t>
            </w:r>
            <w:r>
              <w:rPr>
                <w:sz w:val="20"/>
              </w:rPr>
              <w:t xml:space="preserve"> en ese momento impide llevar el marcador y la cronología correctamente.</w:t>
            </w:r>
          </w:p>
        </w:tc>
      </w:tr>
      <w:tr w:rsidR="001A3CB3" w14:paraId="3DEAFB1F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268C1D5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Métrica:</w:t>
            </w:r>
          </w:p>
        </w:tc>
        <w:tc>
          <w:tcPr>
            <w:tcW w:w="7087" w:type="dxa"/>
          </w:tcPr>
          <w:p w14:paraId="67E100DD" w14:textId="77777777" w:rsidR="001A3CB3" w:rsidRDefault="001909A5">
            <w:pPr>
              <w:spacing w:after="40"/>
            </w:pPr>
            <w:r>
              <w:rPr>
                <w:sz w:val="20"/>
              </w:rPr>
              <w:t>Porcentaje de tiempo de actividad (uptime) del backend durante el periodo evaluado.</w:t>
            </w:r>
          </w:p>
        </w:tc>
      </w:tr>
      <w:tr w:rsidR="001A3CB3" w14:paraId="23E99C6A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7AB0B01F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Valor esperado:</w:t>
            </w:r>
          </w:p>
        </w:tc>
        <w:tc>
          <w:tcPr>
            <w:tcW w:w="7087" w:type="dxa"/>
          </w:tcPr>
          <w:p w14:paraId="676189A0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Disponibilidad mínima del 99% mensual del backend </w:t>
            </w:r>
            <w:r>
              <w:rPr>
                <w:sz w:val="20"/>
              </w:rPr>
              <w:t>(Node/Express) y la base de datos MySQL.</w:t>
            </w:r>
          </w:p>
        </w:tc>
      </w:tr>
      <w:tr w:rsidR="001A3CB3" w14:paraId="488999C0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54224774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Método de validación:</w:t>
            </w:r>
          </w:p>
        </w:tc>
        <w:tc>
          <w:tcPr>
            <w:tcW w:w="7087" w:type="dxa"/>
          </w:tcPr>
          <w:p w14:paraId="421C08C7" w14:textId="77777777" w:rsidR="001A3CB3" w:rsidRDefault="001909A5">
            <w:pPr>
              <w:spacing w:after="40"/>
            </w:pPr>
            <w:r>
              <w:rPr>
                <w:sz w:val="20"/>
              </w:rPr>
              <w:t>Monitoreo del servicio backend y registro de incidentes de caída durante el periodo de pruebas del proyecto formativo.</w:t>
            </w:r>
          </w:p>
        </w:tc>
      </w:tr>
      <w:tr w:rsidR="001A3CB3" w14:paraId="63F92F78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1DC4452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Casos de prueba asociados:</w:t>
            </w:r>
          </w:p>
        </w:tc>
        <w:tc>
          <w:tcPr>
            <w:tcW w:w="7087" w:type="dxa"/>
          </w:tcPr>
          <w:p w14:paraId="5A35FB5E" w14:textId="77777777" w:rsidR="001A3CB3" w:rsidRDefault="001909A5">
            <w:pPr>
              <w:spacing w:after="40"/>
            </w:pPr>
            <w:r>
              <w:rPr>
                <w:sz w:val="20"/>
              </w:rPr>
              <w:t>CP-065 Verificar disponibilidad del backend d</w:t>
            </w:r>
            <w:r>
              <w:rPr>
                <w:sz w:val="20"/>
              </w:rPr>
              <w:t>urante una sesión de pruebas prolongada.</w:t>
            </w:r>
          </w:p>
        </w:tc>
      </w:tr>
      <w:tr w:rsidR="001A3CB3" w14:paraId="265C6B27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99F0521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Observaciones:</w:t>
            </w:r>
          </w:p>
        </w:tc>
        <w:tc>
          <w:tcPr>
            <w:tcW w:w="7087" w:type="dxa"/>
          </w:tcPr>
          <w:p w14:paraId="1494AA78" w14:textId="77777777" w:rsidR="001A3CB3" w:rsidRDefault="001909A5">
            <w:pPr>
              <w:spacing w:after="40"/>
            </w:pPr>
            <w:r>
              <w:rPr>
                <w:sz w:val="20"/>
              </w:rPr>
              <w:t>Aplica de forma transversal a todos los módulos del sistema.</w:t>
            </w:r>
          </w:p>
        </w:tc>
      </w:tr>
    </w:tbl>
    <w:p w14:paraId="42877B6E" w14:textId="77777777" w:rsidR="001A3CB3" w:rsidRDefault="001A3CB3"/>
    <w:p w14:paraId="6296F0A4" w14:textId="77777777" w:rsidR="001A3CB3" w:rsidRDefault="001909A5">
      <w:pPr>
        <w:pStyle w:val="Ttulo2"/>
      </w:pPr>
      <w:r>
        <w:t>RNF-005 — Mantenibilidad / Trazabilidad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1A3CB3" w14:paraId="58A7350F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539AC0EF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ID:</w:t>
            </w:r>
          </w:p>
        </w:tc>
        <w:tc>
          <w:tcPr>
            <w:tcW w:w="7087" w:type="dxa"/>
          </w:tcPr>
          <w:p w14:paraId="72E8663D" w14:textId="77777777" w:rsidR="001A3CB3" w:rsidRDefault="001909A5">
            <w:pPr>
              <w:spacing w:after="40"/>
            </w:pPr>
            <w:r>
              <w:rPr>
                <w:sz w:val="20"/>
              </w:rPr>
              <w:t>RNF-005</w:t>
            </w:r>
          </w:p>
        </w:tc>
      </w:tr>
      <w:tr w:rsidR="001A3CB3" w14:paraId="7472909B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21AB66E1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Categoría:</w:t>
            </w:r>
          </w:p>
        </w:tc>
        <w:tc>
          <w:tcPr>
            <w:tcW w:w="7087" w:type="dxa"/>
          </w:tcPr>
          <w:p w14:paraId="479684D4" w14:textId="77777777" w:rsidR="001A3CB3" w:rsidRDefault="001909A5">
            <w:pPr>
              <w:spacing w:after="40"/>
            </w:pPr>
            <w:r>
              <w:rPr>
                <w:sz w:val="20"/>
              </w:rPr>
              <w:t>Mantenibilidad / Trazabilidad</w:t>
            </w:r>
          </w:p>
        </w:tc>
      </w:tr>
      <w:tr w:rsidR="001A3CB3" w14:paraId="0AB4CBCC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A22711C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Descripción:</w:t>
            </w:r>
          </w:p>
        </w:tc>
        <w:tc>
          <w:tcPr>
            <w:tcW w:w="7087" w:type="dxa"/>
          </w:tcPr>
          <w:p w14:paraId="465A211A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El sistema deberá </w:t>
            </w:r>
            <w:r>
              <w:rPr>
                <w:sz w:val="20"/>
              </w:rPr>
              <w:t>facilitar la identificación y corrección de errores mediante una organización modular del código (modelos, controladores, rutas) y el registro consistente de cambios sobre entidades críticas (usuarios, torneos, equipos).</w:t>
            </w:r>
          </w:p>
        </w:tc>
      </w:tr>
      <w:tr w:rsidR="001A3CB3" w14:paraId="05ADCB01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54FB136C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Justificación:</w:t>
            </w:r>
          </w:p>
        </w:tc>
        <w:tc>
          <w:tcPr>
            <w:tcW w:w="7087" w:type="dxa"/>
          </w:tcPr>
          <w:p w14:paraId="3F24E68F" w14:textId="77777777" w:rsidR="001A3CB3" w:rsidRDefault="001909A5">
            <w:pPr>
              <w:spacing w:after="40"/>
            </w:pPr>
            <w:r>
              <w:rPr>
                <w:sz w:val="20"/>
              </w:rPr>
              <w:t>Durante el desarrol</w:t>
            </w:r>
            <w:r>
              <w:rPr>
                <w:sz w:val="20"/>
              </w:rPr>
              <w:t xml:space="preserve">lo del proyecto se identificaron y corrigieron múltiples errores de </w:t>
            </w:r>
            <w:r>
              <w:rPr>
                <w:sz w:val="20"/>
              </w:rPr>
              <w:lastRenderedPageBreak/>
              <w:t>tipo ReferenceError por funciones de modelo faltantes; una arquitectura mantenible reduce el tiempo de corrección de este tipo de fallos.</w:t>
            </w:r>
          </w:p>
        </w:tc>
      </w:tr>
      <w:tr w:rsidR="001A3CB3" w14:paraId="14291B6D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77518AAD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Métrica:</w:t>
            </w:r>
          </w:p>
        </w:tc>
        <w:tc>
          <w:tcPr>
            <w:tcW w:w="7087" w:type="dxa"/>
          </w:tcPr>
          <w:p w14:paraId="0E41FA39" w14:textId="77777777" w:rsidR="001A3CB3" w:rsidRDefault="001909A5">
            <w:pPr>
              <w:spacing w:after="40"/>
            </w:pPr>
            <w:r>
              <w:rPr>
                <w:sz w:val="20"/>
              </w:rPr>
              <w:t>Número de módulos del backend organizado</w:t>
            </w:r>
            <w:r>
              <w:rPr>
                <w:sz w:val="20"/>
              </w:rPr>
              <w:t>s según el patrón modelo-controlador-ruta.</w:t>
            </w:r>
          </w:p>
        </w:tc>
      </w:tr>
      <w:tr w:rsidR="001A3CB3" w14:paraId="491342EF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80DD95A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Valor esperado:</w:t>
            </w:r>
          </w:p>
        </w:tc>
        <w:tc>
          <w:tcPr>
            <w:tcW w:w="7087" w:type="dxa"/>
          </w:tcPr>
          <w:p w14:paraId="16580061" w14:textId="77777777" w:rsidR="001A3CB3" w:rsidRDefault="001909A5">
            <w:pPr>
              <w:spacing w:after="40"/>
            </w:pPr>
            <w:r>
              <w:rPr>
                <w:sz w:val="20"/>
              </w:rPr>
              <w:t>El 100% de las entidades del esquema (torneos, equipos, jugadores, encuentros, cronologías, alineaciones, inscripciones, usuarios) deben contar con su propio archivo de modelo y controlador.</w:t>
            </w:r>
          </w:p>
        </w:tc>
      </w:tr>
      <w:tr w:rsidR="001A3CB3" w14:paraId="7B8F6401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2FB9F6C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Méto</w:t>
            </w:r>
            <w:r>
              <w:rPr>
                <w:b/>
                <w:color w:val="FFFFFF"/>
                <w:sz w:val="20"/>
              </w:rPr>
              <w:t>do de validación:</w:t>
            </w:r>
          </w:p>
        </w:tc>
        <w:tc>
          <w:tcPr>
            <w:tcW w:w="7087" w:type="dxa"/>
          </w:tcPr>
          <w:p w14:paraId="0A1FA87C" w14:textId="77777777" w:rsidR="001A3CB3" w:rsidRDefault="001909A5">
            <w:pPr>
              <w:spacing w:after="40"/>
            </w:pPr>
            <w:r>
              <w:rPr>
                <w:sz w:val="20"/>
              </w:rPr>
              <w:t>Revisión de la estructura de carpetas del backend Node/Express.</w:t>
            </w:r>
          </w:p>
        </w:tc>
      </w:tr>
      <w:tr w:rsidR="001A3CB3" w14:paraId="677FEE0D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46FC6BB8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Casos de prueba asociados:</w:t>
            </w:r>
          </w:p>
        </w:tc>
        <w:tc>
          <w:tcPr>
            <w:tcW w:w="7087" w:type="dxa"/>
          </w:tcPr>
          <w:p w14:paraId="5CBD5C04" w14:textId="77777777" w:rsidR="001A3CB3" w:rsidRDefault="001909A5">
            <w:pPr>
              <w:spacing w:after="40"/>
            </w:pPr>
            <w:r>
              <w:rPr>
                <w:sz w:val="20"/>
              </w:rPr>
              <w:t>CP-066 Verificar la existencia de modelo y controlador independientes por entidad.</w:t>
            </w:r>
          </w:p>
        </w:tc>
      </w:tr>
      <w:tr w:rsidR="001A3CB3" w14:paraId="5AA9E802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1DC5871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Observaciones:</w:t>
            </w:r>
          </w:p>
        </w:tc>
        <w:tc>
          <w:tcPr>
            <w:tcW w:w="7087" w:type="dxa"/>
          </w:tcPr>
          <w:p w14:paraId="6D39BA38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Relacionado con la corrección </w:t>
            </w:r>
            <w:r>
              <w:rPr>
                <w:sz w:val="20"/>
              </w:rPr>
              <w:t>histórica de funciones faltantes como `actualizarEstadosEncuentrosModel`, `getTorneosByUsuarioModel` y `desactivarTorneoModel`.</w:t>
            </w:r>
          </w:p>
        </w:tc>
      </w:tr>
    </w:tbl>
    <w:p w14:paraId="433683B2" w14:textId="77777777" w:rsidR="001A3CB3" w:rsidRDefault="001A3CB3"/>
    <w:p w14:paraId="1D671DE1" w14:textId="77777777" w:rsidR="001A3CB3" w:rsidRDefault="001909A5">
      <w:pPr>
        <w:pStyle w:val="Ttulo2"/>
      </w:pPr>
      <w:r>
        <w:t>RNF-006 — Integridad de datos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1A3CB3" w14:paraId="660E2822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17F20EE4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ID:</w:t>
            </w:r>
          </w:p>
        </w:tc>
        <w:tc>
          <w:tcPr>
            <w:tcW w:w="7087" w:type="dxa"/>
          </w:tcPr>
          <w:p w14:paraId="3C32059D" w14:textId="77777777" w:rsidR="001A3CB3" w:rsidRDefault="001909A5">
            <w:pPr>
              <w:spacing w:after="40"/>
            </w:pPr>
            <w:r>
              <w:rPr>
                <w:sz w:val="20"/>
              </w:rPr>
              <w:t>RNF-006</w:t>
            </w:r>
          </w:p>
        </w:tc>
      </w:tr>
      <w:tr w:rsidR="001A3CB3" w14:paraId="5A4A7A9D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482680DC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Categoría:</w:t>
            </w:r>
          </w:p>
        </w:tc>
        <w:tc>
          <w:tcPr>
            <w:tcW w:w="7087" w:type="dxa"/>
          </w:tcPr>
          <w:p w14:paraId="082A4FF7" w14:textId="77777777" w:rsidR="001A3CB3" w:rsidRDefault="001909A5">
            <w:pPr>
              <w:spacing w:after="40"/>
            </w:pPr>
            <w:r>
              <w:rPr>
                <w:sz w:val="20"/>
              </w:rPr>
              <w:t>Integridad de datos</w:t>
            </w:r>
          </w:p>
        </w:tc>
      </w:tr>
      <w:tr w:rsidR="001A3CB3" w14:paraId="1492530B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764EC89A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Descripción:</w:t>
            </w:r>
          </w:p>
        </w:tc>
        <w:tc>
          <w:tcPr>
            <w:tcW w:w="7087" w:type="dxa"/>
          </w:tcPr>
          <w:p w14:paraId="4772A78B" w14:textId="77777777" w:rsidR="001A3CB3" w:rsidRDefault="001909A5">
            <w:pPr>
              <w:spacing w:after="40"/>
            </w:pPr>
            <w:r>
              <w:rPr>
                <w:sz w:val="20"/>
              </w:rPr>
              <w:t>El sistema deberá garantizar la integr</w:t>
            </w:r>
            <w:r>
              <w:rPr>
                <w:sz w:val="20"/>
              </w:rPr>
              <w:t>idad referencial entre las entidades relacionadas (usuarios-equipos, equipos-jugadores, torneos-encuentros, encuentros-resultados, encuentros-cronologías), evitando datos huérfanos o inconsistentes.</w:t>
            </w:r>
          </w:p>
        </w:tc>
      </w:tr>
      <w:tr w:rsidR="001A3CB3" w14:paraId="27ABD940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4C8894C7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Justificación:</w:t>
            </w:r>
          </w:p>
        </w:tc>
        <w:tc>
          <w:tcPr>
            <w:tcW w:w="7087" w:type="dxa"/>
          </w:tcPr>
          <w:p w14:paraId="2EC07095" w14:textId="77777777" w:rsidR="001A3CB3" w:rsidRDefault="001909A5">
            <w:pPr>
              <w:spacing w:after="40"/>
            </w:pPr>
            <w:r>
              <w:rPr>
                <w:sz w:val="20"/>
              </w:rPr>
              <w:t>El esquema de base de datos define múltip</w:t>
            </w:r>
            <w:r>
              <w:rPr>
                <w:sz w:val="20"/>
              </w:rPr>
              <w:t>les llaves foráneas y restricciones únicas (por ejemplo, un resultado único por encuentro, una inscripción única por equipo-torneo) que deben respetarse en toda operación.</w:t>
            </w:r>
          </w:p>
        </w:tc>
      </w:tr>
      <w:tr w:rsidR="001A3CB3" w14:paraId="259294AC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6BA2CEB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Métrica:</w:t>
            </w:r>
          </w:p>
        </w:tc>
        <w:tc>
          <w:tcPr>
            <w:tcW w:w="7087" w:type="dxa"/>
          </w:tcPr>
          <w:p w14:paraId="2F59DD7B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Número de restricciones de integridad (FK, UNIQUE) definidas y </w:t>
            </w:r>
            <w:r>
              <w:rPr>
                <w:sz w:val="20"/>
              </w:rPr>
              <w:t>activas en el esquema.</w:t>
            </w:r>
          </w:p>
        </w:tc>
      </w:tr>
      <w:tr w:rsidR="001A3CB3" w14:paraId="57B1EBBB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35E4DED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Valor esperado:</w:t>
            </w:r>
          </w:p>
        </w:tc>
        <w:tc>
          <w:tcPr>
            <w:tcW w:w="7087" w:type="dxa"/>
          </w:tcPr>
          <w:p w14:paraId="53E01C7E" w14:textId="77777777" w:rsidR="001A3CB3" w:rsidRDefault="001909A5">
            <w:pPr>
              <w:spacing w:after="40"/>
            </w:pPr>
            <w:r>
              <w:rPr>
                <w:sz w:val="20"/>
              </w:rPr>
              <w:t>100% de las relaciones definidas en el modelo entidad-relación deben estar implementadas como llaves foráneas activas en MySQL/MariaDB.</w:t>
            </w:r>
          </w:p>
        </w:tc>
      </w:tr>
      <w:tr w:rsidR="001A3CB3" w14:paraId="0165A4D3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5FAD5C98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Método de validación:</w:t>
            </w:r>
          </w:p>
        </w:tc>
        <w:tc>
          <w:tcPr>
            <w:tcW w:w="7087" w:type="dxa"/>
          </w:tcPr>
          <w:p w14:paraId="18C61022" w14:textId="77777777" w:rsidR="001A3CB3" w:rsidRDefault="001909A5">
            <w:pPr>
              <w:spacing w:after="40"/>
            </w:pPr>
            <w:r>
              <w:rPr>
                <w:sz w:val="20"/>
              </w:rPr>
              <w:t>Revisión del script SQL (`db.sql`) verificando las cláusu</w:t>
            </w:r>
            <w:r>
              <w:rPr>
                <w:sz w:val="20"/>
              </w:rPr>
              <w:t>las ALTER TABLE ... ADD CONSTRAINT.</w:t>
            </w:r>
          </w:p>
        </w:tc>
      </w:tr>
      <w:tr w:rsidR="001A3CB3" w14:paraId="2A688A93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370D62B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Casos de prueba asociados:</w:t>
            </w:r>
          </w:p>
        </w:tc>
        <w:tc>
          <w:tcPr>
            <w:tcW w:w="7087" w:type="dxa"/>
          </w:tcPr>
          <w:p w14:paraId="0AD50D36" w14:textId="77777777" w:rsidR="001A3CB3" w:rsidRDefault="001909A5">
            <w:pPr>
              <w:spacing w:after="40"/>
            </w:pPr>
            <w:r>
              <w:rPr>
                <w:sz w:val="20"/>
              </w:rPr>
              <w:t>CP-067 Intentar insertar un encuentro con un id_torneo inexistente (debe fallar). CP-068 Intentar inscribir dos veces el mismo equipo al mismo torneo (debe fallar).</w:t>
            </w:r>
          </w:p>
        </w:tc>
      </w:tr>
      <w:tr w:rsidR="001A3CB3" w14:paraId="2E7BA99C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7990335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Observaciones:</w:t>
            </w:r>
          </w:p>
        </w:tc>
        <w:tc>
          <w:tcPr>
            <w:tcW w:w="7087" w:type="dxa"/>
          </w:tcPr>
          <w:p w14:paraId="141CC343" w14:textId="77777777" w:rsidR="001A3CB3" w:rsidRDefault="001909A5">
            <w:pPr>
              <w:spacing w:after="40"/>
            </w:pPr>
            <w:r>
              <w:rPr>
                <w:sz w:val="20"/>
              </w:rPr>
              <w:t>Impacta RF-</w:t>
            </w:r>
            <w:r>
              <w:rPr>
                <w:sz w:val="20"/>
              </w:rPr>
              <w:t>002, RF-003, RF-004, RF-005, RF-006, RF-007 y RF-008.</w:t>
            </w:r>
          </w:p>
        </w:tc>
      </w:tr>
    </w:tbl>
    <w:p w14:paraId="592693B5" w14:textId="77777777" w:rsidR="001A3CB3" w:rsidRDefault="001A3CB3"/>
    <w:p w14:paraId="37FD7AA2" w14:textId="77777777" w:rsidR="001A3CB3" w:rsidRDefault="001909A5">
      <w:pPr>
        <w:pStyle w:val="Ttulo2"/>
      </w:pPr>
      <w:r>
        <w:t>RNF-007 — Usabilidad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1A3CB3" w14:paraId="1018F1FB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12565BFE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ID:</w:t>
            </w:r>
          </w:p>
        </w:tc>
        <w:tc>
          <w:tcPr>
            <w:tcW w:w="7087" w:type="dxa"/>
          </w:tcPr>
          <w:p w14:paraId="1613C929" w14:textId="77777777" w:rsidR="001A3CB3" w:rsidRDefault="001909A5">
            <w:pPr>
              <w:spacing w:after="40"/>
            </w:pPr>
            <w:r>
              <w:rPr>
                <w:sz w:val="20"/>
              </w:rPr>
              <w:t>RNF-007</w:t>
            </w:r>
          </w:p>
        </w:tc>
      </w:tr>
      <w:tr w:rsidR="001A3CB3" w14:paraId="07E2EE38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2807D39F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Categoría:</w:t>
            </w:r>
          </w:p>
        </w:tc>
        <w:tc>
          <w:tcPr>
            <w:tcW w:w="7087" w:type="dxa"/>
          </w:tcPr>
          <w:p w14:paraId="4F4E3F65" w14:textId="77777777" w:rsidR="001A3CB3" w:rsidRDefault="001909A5">
            <w:pPr>
              <w:spacing w:after="40"/>
            </w:pPr>
            <w:r>
              <w:rPr>
                <w:sz w:val="20"/>
              </w:rPr>
              <w:t>Usabilidad</w:t>
            </w:r>
          </w:p>
        </w:tc>
      </w:tr>
      <w:tr w:rsidR="001A3CB3" w14:paraId="5FC340FF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27D99CBB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Descripción:</w:t>
            </w:r>
          </w:p>
        </w:tc>
        <w:tc>
          <w:tcPr>
            <w:tcW w:w="7087" w:type="dxa"/>
          </w:tcPr>
          <w:p w14:paraId="625E8939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La interfaz de usuario (app Android y frontend web) deberá mantener un diseño visual consistente y de fácil </w:t>
            </w:r>
            <w:r>
              <w:rPr>
                <w:sz w:val="20"/>
              </w:rPr>
              <w:t>comprensión, con retroalimentación clara ante cada acción (confirmaciones, errores de validación).</w:t>
            </w:r>
          </w:p>
        </w:tc>
      </w:tr>
      <w:tr w:rsidR="001A3CB3" w14:paraId="04247ACE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0A1690D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Justificación:</w:t>
            </w:r>
          </w:p>
        </w:tc>
        <w:tc>
          <w:tcPr>
            <w:tcW w:w="7087" w:type="dxa"/>
          </w:tcPr>
          <w:p w14:paraId="2B47FF93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Facilitar la adopción del sistema por organizadores y usuarios sin necesidad de </w:t>
            </w:r>
            <w:r>
              <w:rPr>
                <w:sz w:val="20"/>
              </w:rPr>
              <w:lastRenderedPageBreak/>
              <w:t>capacitación previa extensa, y mantener coherencia visual ent</w:t>
            </w:r>
            <w:r>
              <w:rPr>
                <w:sz w:val="20"/>
              </w:rPr>
              <w:t>re los tres módulos desarrollados por el equipo.</w:t>
            </w:r>
          </w:p>
        </w:tc>
      </w:tr>
      <w:tr w:rsidR="001A3CB3" w14:paraId="39BEC743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687E07F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Métrica:</w:t>
            </w:r>
          </w:p>
        </w:tc>
        <w:tc>
          <w:tcPr>
            <w:tcW w:w="7087" w:type="dxa"/>
          </w:tcPr>
          <w:p w14:paraId="25BC0955" w14:textId="77777777" w:rsidR="001A3CB3" w:rsidRDefault="001909A5">
            <w:pPr>
              <w:spacing w:after="40"/>
            </w:pPr>
            <w:r>
              <w:rPr>
                <w:sz w:val="20"/>
              </w:rPr>
              <w:t>Porcentaje de pantallas que siguen la guía de estilo definida (tema oscuro #1A1A2E, texto blanco, componentes reutilizables).</w:t>
            </w:r>
          </w:p>
        </w:tc>
      </w:tr>
      <w:tr w:rsidR="001A3CB3" w14:paraId="46D5BED7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6EF36D2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Valor esperado:</w:t>
            </w:r>
          </w:p>
        </w:tc>
        <w:tc>
          <w:tcPr>
            <w:tcW w:w="7087" w:type="dxa"/>
          </w:tcPr>
          <w:p w14:paraId="0216FC32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100% de las pantallas de los módulos Equipos, </w:t>
            </w:r>
            <w:r>
              <w:rPr>
                <w:sz w:val="20"/>
              </w:rPr>
              <w:t>Encuentros y Cronologías deben respetar la paleta de colores y estilos de Spinner definidos por el equipo.</w:t>
            </w:r>
          </w:p>
        </w:tc>
      </w:tr>
      <w:tr w:rsidR="001A3CB3" w14:paraId="6AE58B58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11070C30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Método de validación:</w:t>
            </w:r>
          </w:p>
        </w:tc>
        <w:tc>
          <w:tcPr>
            <w:tcW w:w="7087" w:type="dxa"/>
          </w:tcPr>
          <w:p w14:paraId="566B3BE4" w14:textId="77777777" w:rsidR="001A3CB3" w:rsidRDefault="001909A5">
            <w:pPr>
              <w:spacing w:after="40"/>
            </w:pPr>
            <w:r>
              <w:rPr>
                <w:sz w:val="20"/>
              </w:rPr>
              <w:t>Revisión visual (inspección de UI) de cada pantalla comparándola contra la guía de estilo acordada por el equipo.</w:t>
            </w:r>
          </w:p>
        </w:tc>
      </w:tr>
      <w:tr w:rsidR="001A3CB3" w14:paraId="1B2FD5C3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31F8FEE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Casos de pr</w:t>
            </w:r>
            <w:r>
              <w:rPr>
                <w:b/>
                <w:color w:val="FFFFFF"/>
                <w:sz w:val="20"/>
              </w:rPr>
              <w:t>ueba asociados:</w:t>
            </w:r>
          </w:p>
        </w:tc>
        <w:tc>
          <w:tcPr>
            <w:tcW w:w="7087" w:type="dxa"/>
          </w:tcPr>
          <w:p w14:paraId="6CE152BC" w14:textId="77777777" w:rsidR="001A3CB3" w:rsidRDefault="001909A5">
            <w:pPr>
              <w:spacing w:after="40"/>
            </w:pPr>
            <w:r>
              <w:rPr>
                <w:sz w:val="20"/>
              </w:rPr>
              <w:t>CP-069 Verificar consistencia visual entre los módulos Equipos, Encuentros y Cronologías.</w:t>
            </w:r>
          </w:p>
        </w:tc>
      </w:tr>
      <w:tr w:rsidR="001A3CB3" w14:paraId="0DA389D2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15284DC5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Observaciones:</w:t>
            </w:r>
          </w:p>
        </w:tc>
        <w:tc>
          <w:tcPr>
            <w:tcW w:w="7087" w:type="dxa"/>
          </w:tcPr>
          <w:p w14:paraId="463C2D52" w14:textId="77777777" w:rsidR="001A3CB3" w:rsidRDefault="001909A5">
            <w:pPr>
              <w:spacing w:after="40"/>
            </w:pPr>
            <w:r>
              <w:rPr>
                <w:sz w:val="20"/>
              </w:rPr>
              <w:t>Relacionado con el trabajo de unificación de tema oscuro realizado por Jorge Bautista en los tres módulos que desarrolló.</w:t>
            </w:r>
          </w:p>
        </w:tc>
      </w:tr>
    </w:tbl>
    <w:p w14:paraId="55EAE766" w14:textId="77777777" w:rsidR="001A3CB3" w:rsidRDefault="001A3CB3"/>
    <w:p w14:paraId="2FBC110B" w14:textId="77777777" w:rsidR="001A3CB3" w:rsidRDefault="001909A5">
      <w:pPr>
        <w:pStyle w:val="Ttulo2"/>
      </w:pPr>
      <w:r>
        <w:t>RNF-008 — Compatibilidad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1A3CB3" w14:paraId="69F89196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5CE6966E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ID:</w:t>
            </w:r>
          </w:p>
        </w:tc>
        <w:tc>
          <w:tcPr>
            <w:tcW w:w="7087" w:type="dxa"/>
          </w:tcPr>
          <w:p w14:paraId="1525E616" w14:textId="77777777" w:rsidR="001A3CB3" w:rsidRDefault="001909A5">
            <w:pPr>
              <w:spacing w:after="40"/>
            </w:pPr>
            <w:r>
              <w:rPr>
                <w:sz w:val="20"/>
              </w:rPr>
              <w:t>RNF-008</w:t>
            </w:r>
          </w:p>
        </w:tc>
      </w:tr>
      <w:tr w:rsidR="001A3CB3" w14:paraId="05DAFA1A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7FF61F26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Categoría:</w:t>
            </w:r>
          </w:p>
        </w:tc>
        <w:tc>
          <w:tcPr>
            <w:tcW w:w="7087" w:type="dxa"/>
          </w:tcPr>
          <w:p w14:paraId="2015F815" w14:textId="77777777" w:rsidR="001A3CB3" w:rsidRDefault="001909A5">
            <w:pPr>
              <w:spacing w:after="40"/>
            </w:pPr>
            <w:r>
              <w:rPr>
                <w:sz w:val="20"/>
              </w:rPr>
              <w:t>Compatibilidad</w:t>
            </w:r>
          </w:p>
        </w:tc>
      </w:tr>
      <w:tr w:rsidR="001A3CB3" w14:paraId="08D7A177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CB95AF6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Descripción:</w:t>
            </w:r>
          </w:p>
        </w:tc>
        <w:tc>
          <w:tcPr>
            <w:tcW w:w="7087" w:type="dxa"/>
          </w:tcPr>
          <w:p w14:paraId="2DE36CF4" w14:textId="77777777" w:rsidR="001A3CB3" w:rsidRDefault="001909A5">
            <w:pPr>
              <w:spacing w:after="40"/>
            </w:pPr>
            <w:r>
              <w:rPr>
                <w:sz w:val="20"/>
              </w:rPr>
              <w:t>La aplicación móvil deberá ser compatible con las versiones de Android soportadas por el proyecto y funcionar correctamente en distintos tamaños de pantalla y densidades.</w:t>
            </w:r>
          </w:p>
        </w:tc>
      </w:tr>
      <w:tr w:rsidR="001A3CB3" w14:paraId="1ADB966B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5359F705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Justif</w:t>
            </w:r>
            <w:r>
              <w:rPr>
                <w:b/>
                <w:color w:val="FFFFFF"/>
                <w:sz w:val="20"/>
              </w:rPr>
              <w:t>icación:</w:t>
            </w:r>
          </w:p>
        </w:tc>
        <w:tc>
          <w:tcPr>
            <w:tcW w:w="7087" w:type="dxa"/>
          </w:tcPr>
          <w:p w14:paraId="3D665BC6" w14:textId="77777777" w:rsidR="001A3CB3" w:rsidRDefault="001909A5">
            <w:pPr>
              <w:spacing w:after="40"/>
            </w:pPr>
            <w:r>
              <w:rPr>
                <w:sz w:val="20"/>
              </w:rPr>
              <w:t>Los usuarios podrán acceder desde diversos dispositivos Android; la app debe garantizar una experiencia consistente independientemente del equipo utilizado.</w:t>
            </w:r>
          </w:p>
        </w:tc>
      </w:tr>
      <w:tr w:rsidR="001A3CB3" w14:paraId="0B9EEFFD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75265864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Métrica:</w:t>
            </w:r>
          </w:p>
        </w:tc>
        <w:tc>
          <w:tcPr>
            <w:tcW w:w="7087" w:type="dxa"/>
          </w:tcPr>
          <w:p w14:paraId="5B19E625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Número de configuraciones de dispositivo/emulador (API level, </w:t>
            </w:r>
            <w:r>
              <w:rPr>
                <w:sz w:val="20"/>
              </w:rPr>
              <w:t>resolución) sobre las cuales se valida la aplicación.</w:t>
            </w:r>
          </w:p>
        </w:tc>
      </w:tr>
      <w:tr w:rsidR="001A3CB3" w14:paraId="1192732A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6B696884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Valor esperado:</w:t>
            </w:r>
          </w:p>
        </w:tc>
        <w:tc>
          <w:tcPr>
            <w:tcW w:w="7087" w:type="dxa"/>
          </w:tcPr>
          <w:p w14:paraId="45DB8537" w14:textId="77777777" w:rsidR="001A3CB3" w:rsidRDefault="001909A5">
            <w:pPr>
              <w:spacing w:after="40"/>
            </w:pPr>
            <w:r>
              <w:rPr>
                <w:sz w:val="20"/>
              </w:rPr>
              <w:t>La app deberá funcionar correctamente en al menos un emulador Pixel 5 con la API mínima soportada por el proyecto (Gradle/SDK configurado).</w:t>
            </w:r>
          </w:p>
        </w:tc>
      </w:tr>
      <w:tr w:rsidR="001A3CB3" w14:paraId="142693B0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A58C01D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Método de validación:</w:t>
            </w:r>
          </w:p>
        </w:tc>
        <w:tc>
          <w:tcPr>
            <w:tcW w:w="7087" w:type="dxa"/>
          </w:tcPr>
          <w:p w14:paraId="79CEF8AA" w14:textId="77777777" w:rsidR="001A3CB3" w:rsidRDefault="001909A5">
            <w:pPr>
              <w:spacing w:after="40"/>
            </w:pPr>
            <w:r>
              <w:rPr>
                <w:sz w:val="20"/>
              </w:rPr>
              <w:t>Pruebas manuales sobre</w:t>
            </w:r>
            <w:r>
              <w:rPr>
                <w:sz w:val="20"/>
              </w:rPr>
              <w:t xml:space="preserve"> el emulador configurado (Pixel 5, AVD) y, cuando sea posible, sobre dispositivo físico.</w:t>
            </w:r>
          </w:p>
        </w:tc>
      </w:tr>
      <w:tr w:rsidR="001A3CB3" w14:paraId="5B204DD9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26FC7937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Casos de prueba asociados:</w:t>
            </w:r>
          </w:p>
        </w:tc>
        <w:tc>
          <w:tcPr>
            <w:tcW w:w="7087" w:type="dxa"/>
          </w:tcPr>
          <w:p w14:paraId="3EC30840" w14:textId="77777777" w:rsidR="001A3CB3" w:rsidRDefault="001909A5">
            <w:pPr>
              <w:spacing w:after="40"/>
            </w:pPr>
            <w:r>
              <w:rPr>
                <w:sz w:val="20"/>
              </w:rPr>
              <w:t>CP-070 Verificar el funcionamiento correcto de los módulos Equipos, Encuentros y Cronologías en el emulador configurado.</w:t>
            </w:r>
          </w:p>
        </w:tc>
      </w:tr>
      <w:tr w:rsidR="001A3CB3" w14:paraId="76A6F2A2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1576C6E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Observaciones:</w:t>
            </w:r>
          </w:p>
        </w:tc>
        <w:tc>
          <w:tcPr>
            <w:tcW w:w="7087" w:type="dxa"/>
          </w:tcPr>
          <w:p w14:paraId="11E76F56" w14:textId="77777777" w:rsidR="001A3CB3" w:rsidRDefault="001909A5">
            <w:pPr>
              <w:spacing w:after="40"/>
            </w:pPr>
            <w:r>
              <w:rPr>
                <w:sz w:val="20"/>
              </w:rPr>
              <w:t>Re</w:t>
            </w:r>
            <w:r>
              <w:rPr>
                <w:sz w:val="20"/>
              </w:rPr>
              <w:t>lacionado con los retos de configuración de emulador (Hypervisor Driver, AVD) documentados durante el desarrollo del proyecto.</w:t>
            </w:r>
          </w:p>
        </w:tc>
      </w:tr>
    </w:tbl>
    <w:p w14:paraId="7DB725A0" w14:textId="77777777" w:rsidR="001A3CB3" w:rsidRDefault="001A3CB3"/>
    <w:p w14:paraId="762B5B97" w14:textId="77777777" w:rsidR="001A3CB3" w:rsidRDefault="001909A5">
      <w:pPr>
        <w:pStyle w:val="Ttulo2"/>
      </w:pPr>
      <w:r>
        <w:t>RNF-009 — Consistencia / Tiempo real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1A3CB3" w14:paraId="30CB737F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7865A26B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ID:</w:t>
            </w:r>
          </w:p>
        </w:tc>
        <w:tc>
          <w:tcPr>
            <w:tcW w:w="7087" w:type="dxa"/>
          </w:tcPr>
          <w:p w14:paraId="6E14D8BB" w14:textId="77777777" w:rsidR="001A3CB3" w:rsidRDefault="001909A5">
            <w:pPr>
              <w:spacing w:after="40"/>
            </w:pPr>
            <w:r>
              <w:rPr>
                <w:sz w:val="20"/>
              </w:rPr>
              <w:t>RNF-009</w:t>
            </w:r>
          </w:p>
        </w:tc>
      </w:tr>
      <w:tr w:rsidR="001A3CB3" w14:paraId="797CF761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81AA8D4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Categoría:</w:t>
            </w:r>
          </w:p>
        </w:tc>
        <w:tc>
          <w:tcPr>
            <w:tcW w:w="7087" w:type="dxa"/>
          </w:tcPr>
          <w:p w14:paraId="01CB90C1" w14:textId="77777777" w:rsidR="001A3CB3" w:rsidRDefault="001909A5">
            <w:pPr>
              <w:spacing w:after="40"/>
            </w:pPr>
            <w:r>
              <w:rPr>
                <w:sz w:val="20"/>
              </w:rPr>
              <w:t>Consistencia / Tiempo real</w:t>
            </w:r>
          </w:p>
        </w:tc>
      </w:tr>
      <w:tr w:rsidR="001A3CB3" w14:paraId="38B6CECE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4A2B3814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Descripción:</w:t>
            </w:r>
          </w:p>
        </w:tc>
        <w:tc>
          <w:tcPr>
            <w:tcW w:w="7087" w:type="dxa"/>
          </w:tcPr>
          <w:p w14:paraId="77134123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El estado de los </w:t>
            </w:r>
            <w:r>
              <w:rPr>
                <w:sz w:val="20"/>
              </w:rPr>
              <w:t>encuentros (Pendiente, Jugando, Finalizado, Aplazado) y su cronología asociada deberán reflejarse de forma consistente entre las distintas capas del sistema (Android, Web, Backend) sin datos desactualizados.</w:t>
            </w:r>
          </w:p>
        </w:tc>
      </w:tr>
      <w:tr w:rsidR="001A3CB3" w14:paraId="53154BB4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58288EAC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Justificación:</w:t>
            </w:r>
          </w:p>
        </w:tc>
        <w:tc>
          <w:tcPr>
            <w:tcW w:w="7087" w:type="dxa"/>
          </w:tcPr>
          <w:p w14:paraId="26F65485" w14:textId="77777777" w:rsidR="001A3CB3" w:rsidRDefault="001909A5">
            <w:pPr>
              <w:spacing w:after="40"/>
            </w:pPr>
            <w:r>
              <w:rPr>
                <w:sz w:val="20"/>
              </w:rPr>
              <w:t>Los eventos de un encuentro (gol</w:t>
            </w:r>
            <w:r>
              <w:rPr>
                <w:sz w:val="20"/>
              </w:rPr>
              <w:t xml:space="preserve">es, tarjetas) deben ser visibles de forma confiable para todos los usuarios que consulten dicho encuentro, especialmente durante </w:t>
            </w:r>
            <w:r>
              <w:rPr>
                <w:sz w:val="20"/>
              </w:rPr>
              <w:lastRenderedPageBreak/>
              <w:t>partidos en curso.</w:t>
            </w:r>
          </w:p>
        </w:tc>
      </w:tr>
      <w:tr w:rsidR="001A3CB3" w14:paraId="2A45173E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73062CFA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Métrica:</w:t>
            </w:r>
          </w:p>
        </w:tc>
        <w:tc>
          <w:tcPr>
            <w:tcW w:w="7087" w:type="dxa"/>
          </w:tcPr>
          <w:p w14:paraId="4EF864EF" w14:textId="77777777" w:rsidR="001A3CB3" w:rsidRDefault="001909A5">
            <w:pPr>
              <w:spacing w:after="40"/>
            </w:pPr>
            <w:r>
              <w:rPr>
                <w:sz w:val="20"/>
              </w:rPr>
              <w:t>Tiempo máximo de desfase entre el registro de un evento y su visibilidad en las consultas.</w:t>
            </w:r>
          </w:p>
        </w:tc>
      </w:tr>
      <w:tr w:rsidR="001A3CB3" w14:paraId="285FC76E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7996703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 xml:space="preserve">Valor </w:t>
            </w:r>
            <w:r>
              <w:rPr>
                <w:b/>
                <w:color w:val="FFFFFF"/>
                <w:sz w:val="20"/>
              </w:rPr>
              <w:t>esperado:</w:t>
            </w:r>
          </w:p>
        </w:tc>
        <w:tc>
          <w:tcPr>
            <w:tcW w:w="7087" w:type="dxa"/>
          </w:tcPr>
          <w:p w14:paraId="1311AE7E" w14:textId="77777777" w:rsidR="001A3CB3" w:rsidRDefault="001909A5">
            <w:pPr>
              <w:spacing w:after="40"/>
            </w:pPr>
            <w:r>
              <w:rPr>
                <w:sz w:val="20"/>
              </w:rPr>
              <w:t>El desfase entre el registro de un evento de cronología y su disponibilidad en consulta no deberá superar los 5 segundos.</w:t>
            </w:r>
          </w:p>
        </w:tc>
      </w:tr>
      <w:tr w:rsidR="001A3CB3" w14:paraId="546239A8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7D728E84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Método de validación:</w:t>
            </w:r>
          </w:p>
        </w:tc>
        <w:tc>
          <w:tcPr>
            <w:tcW w:w="7087" w:type="dxa"/>
          </w:tcPr>
          <w:p w14:paraId="2ED249B4" w14:textId="77777777" w:rsidR="001A3CB3" w:rsidRDefault="001909A5">
            <w:pPr>
              <w:spacing w:after="40"/>
            </w:pPr>
            <w:r>
              <w:rPr>
                <w:sz w:val="20"/>
              </w:rPr>
              <w:t>Prueba funcional: registrar un evento desde un cliente y verificar su aparición al consultar desde ot</w:t>
            </w:r>
            <w:r>
              <w:rPr>
                <w:sz w:val="20"/>
              </w:rPr>
              <w:t>ro cliente.</w:t>
            </w:r>
          </w:p>
        </w:tc>
      </w:tr>
      <w:tr w:rsidR="001A3CB3" w14:paraId="0C083A07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574AD5DF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Casos de prueba asociados:</w:t>
            </w:r>
          </w:p>
        </w:tc>
        <w:tc>
          <w:tcPr>
            <w:tcW w:w="7087" w:type="dxa"/>
          </w:tcPr>
          <w:p w14:paraId="6CFB9ECE" w14:textId="77777777" w:rsidR="001A3CB3" w:rsidRDefault="001909A5">
            <w:pPr>
              <w:spacing w:after="40"/>
            </w:pPr>
            <w:r>
              <w:rPr>
                <w:sz w:val="20"/>
              </w:rPr>
              <w:t>CP-071 Verificar la visibilidad de un evento recién registrado desde otro cliente.</w:t>
            </w:r>
          </w:p>
        </w:tc>
      </w:tr>
      <w:tr w:rsidR="001A3CB3" w14:paraId="02B256FE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2A6D551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Observaciones:</w:t>
            </w:r>
          </w:p>
        </w:tc>
        <w:tc>
          <w:tcPr>
            <w:tcW w:w="7087" w:type="dxa"/>
          </w:tcPr>
          <w:p w14:paraId="455255CC" w14:textId="77777777" w:rsidR="001A3CB3" w:rsidRDefault="001909A5">
            <w:pPr>
              <w:spacing w:after="40"/>
            </w:pPr>
            <w:r>
              <w:rPr>
                <w:sz w:val="20"/>
              </w:rPr>
              <w:t>Impacta RF-006 (Encuentros) y RF-008 (Cronologías).</w:t>
            </w:r>
          </w:p>
        </w:tc>
      </w:tr>
    </w:tbl>
    <w:p w14:paraId="0EC0069F" w14:textId="77777777" w:rsidR="001A3CB3" w:rsidRDefault="001A3CB3"/>
    <w:p w14:paraId="77CACC04" w14:textId="77777777" w:rsidR="001A3CB3" w:rsidRDefault="001909A5">
      <w:pPr>
        <w:pStyle w:val="Ttulo2"/>
      </w:pPr>
      <w:r>
        <w:t>RNF-010 — Portabilidad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1A3CB3" w14:paraId="711487BC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A01A685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ID:</w:t>
            </w:r>
          </w:p>
        </w:tc>
        <w:tc>
          <w:tcPr>
            <w:tcW w:w="7087" w:type="dxa"/>
          </w:tcPr>
          <w:p w14:paraId="6C5E19E6" w14:textId="77777777" w:rsidR="001A3CB3" w:rsidRDefault="001909A5">
            <w:pPr>
              <w:spacing w:after="40"/>
            </w:pPr>
            <w:r>
              <w:rPr>
                <w:sz w:val="20"/>
              </w:rPr>
              <w:t>RNF-010</w:t>
            </w:r>
          </w:p>
        </w:tc>
      </w:tr>
      <w:tr w:rsidR="001A3CB3" w14:paraId="587B6DAC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BA828D0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Categoría:</w:t>
            </w:r>
          </w:p>
        </w:tc>
        <w:tc>
          <w:tcPr>
            <w:tcW w:w="7087" w:type="dxa"/>
          </w:tcPr>
          <w:p w14:paraId="3D329498" w14:textId="77777777" w:rsidR="001A3CB3" w:rsidRDefault="001909A5">
            <w:pPr>
              <w:spacing w:after="40"/>
            </w:pPr>
            <w:r>
              <w:rPr>
                <w:sz w:val="20"/>
              </w:rPr>
              <w:t>Portabilidad</w:t>
            </w:r>
          </w:p>
        </w:tc>
      </w:tr>
      <w:tr w:rsidR="001A3CB3" w14:paraId="722EF435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122B5340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Descripción:</w:t>
            </w:r>
          </w:p>
        </w:tc>
        <w:tc>
          <w:tcPr>
            <w:tcW w:w="7087" w:type="dxa"/>
          </w:tcPr>
          <w:p w14:paraId="23258A14" w14:textId="77777777" w:rsidR="001A3CB3" w:rsidRDefault="001909A5">
            <w:pPr>
              <w:spacing w:after="40"/>
            </w:pPr>
            <w:r>
              <w:rPr>
                <w:sz w:val="20"/>
              </w:rPr>
              <w:t>El backend del sistema deberá poder desplegarse en distintos entornos (desarrollo local, distintas máquinas del equipo) sin requerir cambios estructurales significativos en el código.</w:t>
            </w:r>
          </w:p>
        </w:tc>
      </w:tr>
      <w:tr w:rsidR="001A3CB3" w14:paraId="511F2837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0E5B9862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Justificación:</w:t>
            </w:r>
          </w:p>
        </w:tc>
        <w:tc>
          <w:tcPr>
            <w:tcW w:w="7087" w:type="dxa"/>
          </w:tcPr>
          <w:p w14:paraId="6AF19648" w14:textId="77777777" w:rsidR="001A3CB3" w:rsidRDefault="001909A5">
            <w:pPr>
              <w:spacing w:after="40"/>
            </w:pPr>
            <w:r>
              <w:rPr>
                <w:sz w:val="20"/>
              </w:rPr>
              <w:t>El equipo de desarrollo traba</w:t>
            </w:r>
            <w:r>
              <w:rPr>
                <w:sz w:val="20"/>
              </w:rPr>
              <w:t>ja desde múltiples máquinas; se identificaron previamente problemas de configuración (`local.properties`, puertos de API) que deben minimizarse mediante buenas prácticas de portabilidad.</w:t>
            </w:r>
          </w:p>
        </w:tc>
      </w:tr>
      <w:tr w:rsidR="001A3CB3" w14:paraId="25CFF232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3569ABA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Métrica:</w:t>
            </w:r>
          </w:p>
        </w:tc>
        <w:tc>
          <w:tcPr>
            <w:tcW w:w="7087" w:type="dxa"/>
          </w:tcPr>
          <w:p w14:paraId="1C7A95C2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Número de parámetros de configuración </w:t>
            </w:r>
            <w:r>
              <w:rPr>
                <w:sz w:val="20"/>
              </w:rPr>
              <w:t>externalizados (variables de entorno, archivos de configuración) frente a valores fijos ('hardcoded') en el código.</w:t>
            </w:r>
          </w:p>
        </w:tc>
      </w:tr>
      <w:tr w:rsidR="001A3CB3" w14:paraId="397E5CC8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58B1CEA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Valor esperado:</w:t>
            </w:r>
          </w:p>
        </w:tc>
        <w:tc>
          <w:tcPr>
            <w:tcW w:w="7087" w:type="dxa"/>
          </w:tcPr>
          <w:p w14:paraId="34E1120D" w14:textId="77777777" w:rsidR="001A3CB3" w:rsidRDefault="001909A5">
            <w:pPr>
              <w:spacing w:after="40"/>
            </w:pPr>
            <w:r>
              <w:rPr>
                <w:sz w:val="20"/>
              </w:rPr>
              <w:t>Los parámetros de conexión a base de datos y la URL base de la API deberán estar externalizados y no fijos en el código fue</w:t>
            </w:r>
            <w:r>
              <w:rPr>
                <w:sz w:val="20"/>
              </w:rPr>
              <w:t>nte.</w:t>
            </w:r>
          </w:p>
        </w:tc>
      </w:tr>
      <w:tr w:rsidR="001A3CB3" w14:paraId="53B36D3E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FBA3940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Método de validación:</w:t>
            </w:r>
          </w:p>
        </w:tc>
        <w:tc>
          <w:tcPr>
            <w:tcW w:w="7087" w:type="dxa"/>
          </w:tcPr>
          <w:p w14:paraId="663328DC" w14:textId="77777777" w:rsidR="001A3CB3" w:rsidRDefault="001909A5">
            <w:pPr>
              <w:spacing w:after="40"/>
            </w:pPr>
            <w:r>
              <w:rPr>
                <w:sz w:val="20"/>
              </w:rPr>
              <w:t>Revisión del código fuente del backend y de la configuración de la app Android (`local.properties`, archivos de configuración de Retrofit).</w:t>
            </w:r>
          </w:p>
        </w:tc>
      </w:tr>
      <w:tr w:rsidR="001A3CB3" w14:paraId="1008C922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2572BDE4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Casos de prueba asociados:</w:t>
            </w:r>
          </w:p>
        </w:tc>
        <w:tc>
          <w:tcPr>
            <w:tcW w:w="7087" w:type="dxa"/>
          </w:tcPr>
          <w:p w14:paraId="3DEB898D" w14:textId="77777777" w:rsidR="001A3CB3" w:rsidRDefault="001909A5">
            <w:pPr>
              <w:spacing w:after="40"/>
            </w:pPr>
            <w:r>
              <w:rPr>
                <w:sz w:val="20"/>
              </w:rPr>
              <w:t xml:space="preserve">CP-072 Verificar que el backend inicie correctamente en una </w:t>
            </w:r>
            <w:r>
              <w:rPr>
                <w:sz w:val="20"/>
              </w:rPr>
              <w:t>máquina distinta sin modificar el código fuente, solo la configuración.</w:t>
            </w:r>
          </w:p>
        </w:tc>
      </w:tr>
      <w:tr w:rsidR="001A3CB3" w14:paraId="18A76473" w14:textId="77777777">
        <w:trPr>
          <w:jc w:val="center"/>
        </w:trPr>
        <w:tc>
          <w:tcPr>
            <w:tcW w:w="2551" w:type="dxa"/>
            <w:shd w:val="clear" w:color="auto" w:fill="366091"/>
          </w:tcPr>
          <w:p w14:paraId="3C18C7D6" w14:textId="77777777" w:rsidR="001A3CB3" w:rsidRDefault="001909A5">
            <w:pPr>
              <w:spacing w:after="40"/>
            </w:pPr>
            <w:r>
              <w:rPr>
                <w:b/>
                <w:color w:val="FFFFFF"/>
                <w:sz w:val="20"/>
              </w:rPr>
              <w:t>Observaciones:</w:t>
            </w:r>
          </w:p>
        </w:tc>
        <w:tc>
          <w:tcPr>
            <w:tcW w:w="7087" w:type="dxa"/>
          </w:tcPr>
          <w:p w14:paraId="1DB73636" w14:textId="77777777" w:rsidR="001A3CB3" w:rsidRDefault="001909A5">
            <w:pPr>
              <w:spacing w:after="40"/>
            </w:pPr>
            <w:r>
              <w:rPr>
                <w:sz w:val="20"/>
              </w:rPr>
              <w:t>Relacionado con los problemas históricos de configuración de `local.properties` y del puerto de la API (3000 → 3001) documentados durante el desarrollo.</w:t>
            </w:r>
          </w:p>
        </w:tc>
      </w:tr>
    </w:tbl>
    <w:p w14:paraId="68C55768" w14:textId="77777777" w:rsidR="001A3CB3" w:rsidRDefault="001A3CB3"/>
    <w:sectPr w:rsidR="001A3C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9A5"/>
    <w:rsid w:val="001A3CB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D99C80"/>
  <w14:defaultImageDpi w14:val="300"/>
  <w15:docId w15:val="{6C0E4CF1-B637-4BC2-8D3B-2AE68E1B5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1828</Words>
  <Characters>10054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Mario Bautista Cristancho</cp:lastModifiedBy>
  <cp:revision>3</cp:revision>
  <dcterms:created xsi:type="dcterms:W3CDTF">2013-12-23T23:15:00Z</dcterms:created>
  <dcterms:modified xsi:type="dcterms:W3CDTF">2026-07-31T16:32:00Z</dcterms:modified>
  <cp:category/>
</cp:coreProperties>
</file>